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1921172"/>
        <w:docPartObj>
          <w:docPartGallery w:val="autotext"/>
        </w:docPartObj>
      </w:sdtPr>
      <w:sdtContent>
        <w:p>
          <w:r>
            <w:drawing>
              <wp:anchor distT="0" distB="0" distL="114300" distR="114300" simplePos="0" relativeHeight="251654144" behindDoc="1" locked="0" layoutInCell="1" allowOverlap="1">
                <wp:simplePos x="0" y="0"/>
                <wp:positionH relativeFrom="column">
                  <wp:posOffset>-1188720</wp:posOffset>
                </wp:positionH>
                <wp:positionV relativeFrom="paragraph">
                  <wp:posOffset>-914400</wp:posOffset>
                </wp:positionV>
                <wp:extent cx="7686675" cy="10873105"/>
                <wp:effectExtent l="0" t="0" r="0" b="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86674" cy="10872925"/>
                        </a:xfrm>
                        <a:prstGeom prst="rect">
                          <a:avLst/>
                        </a:prstGeom>
                        <a:noFill/>
                        <a:ln w="9525">
                          <a:noFill/>
                          <a:miter lim="800000"/>
                          <a:headEnd/>
                          <a:tailEnd/>
                        </a:ln>
                      </pic:spPr>
                    </pic:pic>
                  </a:graphicData>
                </a:graphic>
              </wp:anchor>
            </w:drawing>
          </w:r>
        </w:p>
        <w:p/>
        <w:tbl>
          <w:tblPr>
            <w:tblStyle w:val="9"/>
            <w:tblpPr w:leftFromText="187" w:rightFromText="187" w:horzAnchor="margin" w:tblpXSpec="center" w:tblpYSpec="bottom"/>
            <w:tblW w:w="4000" w:type="pct"/>
            <w:tblInd w:w="0" w:type="dxa"/>
            <w:tblLayout w:type="autofit"/>
            <w:tblCellMar>
              <w:top w:w="0" w:type="dxa"/>
              <w:left w:w="108" w:type="dxa"/>
              <w:bottom w:w="0" w:type="dxa"/>
              <w:right w:w="108" w:type="dxa"/>
            </w:tblCellMar>
          </w:tblPr>
          <w:tblGrid>
            <w:gridCol w:w="6834"/>
          </w:tblGrid>
          <w:tr>
            <w:tblPrEx>
              <w:tblCellMar>
                <w:top w:w="0" w:type="dxa"/>
                <w:left w:w="108" w:type="dxa"/>
                <w:bottom w:w="0" w:type="dxa"/>
                <w:right w:w="108" w:type="dxa"/>
              </w:tblCellMar>
            </w:tblPrEx>
            <w:tc>
              <w:tcPr>
                <w:tcW w:w="7672" w:type="dxa"/>
                <w:tcMar>
                  <w:top w:w="216" w:type="dxa"/>
                  <w:left w:w="115" w:type="dxa"/>
                  <w:bottom w:w="216" w:type="dxa"/>
                  <w:right w:w="115" w:type="dxa"/>
                </w:tcMar>
              </w:tcPr>
              <w:p>
                <w:pPr>
                  <w:pStyle w:val="18"/>
                  <w:rPr>
                    <w:color w:val="4F81BD" w:themeColor="accent1"/>
                    <w14:textFill>
                      <w14:solidFill>
                        <w14:schemeClr w14:val="accent1"/>
                      </w14:solidFill>
                    </w14:textFill>
                  </w:rPr>
                </w:pPr>
              </w:p>
            </w:tc>
          </w:tr>
        </w:tbl>
        <w:p/>
        <w:p/>
        <w:p/>
        <w:p/>
        <w:p>
          <w:r>
            <w:rPr>
              <w:rFonts w:hint="eastAsia"/>
            </w:rPr>
            <w:t xml:space="preserve">   </w:t>
          </w:r>
        </w:p>
        <w:p/>
        <w:p/>
        <w:p/>
        <w:p/>
        <w:p/>
        <w:p/>
        <w:p/>
        <w:p/>
        <w:p>
          <w:pPr>
            <w:tabs>
              <w:tab w:val="left" w:pos="7050"/>
            </w:tabs>
          </w:pPr>
          <w:r>
            <w:tab/>
          </w:r>
        </w:p>
        <w:p/>
        <w:p/>
        <w:p/>
        <w:p/>
        <w:p>
          <w:pPr>
            <w:jc w:val="center"/>
            <w:rPr>
              <w:rFonts w:ascii="Heiti SC Light" w:eastAsia="Heiti SC Light"/>
              <w:color w:val="FFFFFF"/>
              <w:sz w:val="32"/>
              <w:szCs w:val="32"/>
            </w:rPr>
          </w:pPr>
          <w:r>
            <w:rPr>
              <w:rFonts w:hint="eastAsia" w:ascii="Heiti SC Light" w:eastAsia="Heiti SC Light"/>
              <w:color w:val="FFFFFF"/>
              <w:sz w:val="32"/>
              <w:szCs w:val="32"/>
            </w:rPr>
            <w:t>（2020年第8期） 2020年8月25日</w:t>
          </w:r>
        </w:p>
        <w:p/>
        <w:p/>
        <w:p/>
        <w:p/>
        <w:p/>
        <w:p>
          <w:r>
            <w:rPr>
              <w:rFonts w:hint="eastAsia"/>
            </w:rPr>
            <w:t xml:space="preserve"> </w:t>
          </w:r>
        </w:p>
        <w:p/>
        <w:p/>
        <w:p/>
        <w:p/>
        <w:p/>
        <w:p/>
        <w:p/>
        <w:p/>
        <w:p/>
        <w:p/>
        <w:p/>
        <w:p/>
        <w:p>
          <w:pPr>
            <w:tabs>
              <w:tab w:val="left" w:pos="5245"/>
            </w:tabs>
          </w:pPr>
        </w:p>
        <w:p>
          <w:pPr>
            <w:tabs>
              <w:tab w:val="left" w:pos="5245"/>
            </w:tabs>
          </w:pPr>
        </w:p>
        <w:p>
          <w:pPr>
            <w:widowControl/>
            <w:tabs>
              <w:tab w:val="left" w:pos="5245"/>
            </w:tabs>
            <w:jc w:val="left"/>
          </w:pPr>
        </w:p>
        <w:p>
          <w:pPr>
            <w:widowControl/>
            <w:tabs>
              <w:tab w:val="left" w:pos="5245"/>
            </w:tabs>
            <w:jc w:val="left"/>
          </w:pPr>
        </w:p>
        <w:p>
          <w:pPr>
            <w:widowControl/>
            <w:tabs>
              <w:tab w:val="left" w:pos="5245"/>
            </w:tabs>
            <w:jc w:val="left"/>
          </w:pPr>
        </w:p>
      </w:sdtContent>
    </w:sdt>
    <w:p>
      <w:pPr>
        <w:tabs>
          <w:tab w:val="left" w:pos="5245"/>
        </w:tabs>
      </w:pPr>
      <w:r>
        <mc:AlternateContent>
          <mc:Choice Requires="wps">
            <w:drawing>
              <wp:anchor distT="0" distB="0" distL="114300" distR="114300" simplePos="0" relativeHeight="251655168" behindDoc="0" locked="0" layoutInCell="1" allowOverlap="1">
                <wp:simplePos x="0" y="0"/>
                <wp:positionH relativeFrom="column">
                  <wp:posOffset>-857250</wp:posOffset>
                </wp:positionH>
                <wp:positionV relativeFrom="paragraph">
                  <wp:posOffset>9525</wp:posOffset>
                </wp:positionV>
                <wp:extent cx="6848475" cy="635"/>
                <wp:effectExtent l="0" t="19050" r="9525" b="37465"/>
                <wp:wrapNone/>
                <wp:docPr id="52" name="Straight Connector 2"/>
                <wp:cNvGraphicFramePr/>
                <a:graphic xmlns:a="http://schemas.openxmlformats.org/drawingml/2006/main">
                  <a:graphicData uri="http://schemas.microsoft.com/office/word/2010/wordprocessingShape">
                    <wps:wsp>
                      <wps:cNvCnPr/>
                      <wps:spPr>
                        <a:xfrm>
                          <a:off x="0" y="0"/>
                          <a:ext cx="6848475" cy="635"/>
                        </a:xfrm>
                        <a:prstGeom prst="straightConnector1">
                          <a:avLst/>
                        </a:prstGeom>
                        <a:ln w="38100" cap="flat" cmpd="sng">
                          <a:solidFill>
                            <a:srgbClr val="548DD4"/>
                          </a:solidFill>
                          <a:prstDash val="solid"/>
                          <a:headEnd type="none" w="med" len="med"/>
                          <a:tailEnd type="none" w="med" len="med"/>
                        </a:ln>
                      </wps:spPr>
                      <wps:bodyPr/>
                    </wps:wsp>
                  </a:graphicData>
                </a:graphic>
              </wp:anchor>
            </w:drawing>
          </mc:Choice>
          <mc:Fallback>
            <w:pict>
              <v:shape id="Straight Connector 2" o:spid="_x0000_s1026" o:spt="32" type="#_x0000_t32" style="position:absolute;left:0pt;margin-left:-67.5pt;margin-top:0.75pt;height:0.05pt;width:539.25pt;z-index:251655168;mso-width-relative:page;mso-height-relative:page;" filled="f" stroked="t" coordsize="21600,21600" o:gfxdata="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bxj6W1gAAAAgBAAAPAAAAAAAAAAEAIAAAACIAAABkcnMv&#10;ZG93bnJldi54bWxQSwECFAAUAAAACACHTuJAnWWU3MwBAACfAwAADgAAAAAAAAABACAAAAAlAQAA&#10;ZHJzL2Uyb0RvYy54bWxQSwUGAAAAAAYABgBZAQAAYwUAAAAA&#10;">
                <v:fill on="f" focussize="0,0"/>
                <v:stroke weight="3pt" color="#548DD4" joinstyle="round"/>
                <v:imagedata o:title=""/>
                <o:lock v:ext="edit" aspectratio="f"/>
              </v:shape>
            </w:pict>
          </mc:Fallback>
        </mc:AlternateContent>
      </w:r>
      <w:r>
        <mc:AlternateContent>
          <mc:Choice Requires="wps">
            <w:drawing>
              <wp:anchor distT="0" distB="0" distL="114300" distR="114300" simplePos="0" relativeHeight="251656192" behindDoc="0" locked="0" layoutInCell="1" allowOverlap="1">
                <wp:simplePos x="0" y="0"/>
                <wp:positionH relativeFrom="column">
                  <wp:posOffset>1295400</wp:posOffset>
                </wp:positionH>
                <wp:positionV relativeFrom="paragraph">
                  <wp:posOffset>10160</wp:posOffset>
                </wp:positionV>
                <wp:extent cx="635" cy="8800465"/>
                <wp:effectExtent l="19050" t="0" r="37465" b="635"/>
                <wp:wrapNone/>
                <wp:docPr id="51" name="Straight Connector 3"/>
                <wp:cNvGraphicFramePr/>
                <a:graphic xmlns:a="http://schemas.openxmlformats.org/drawingml/2006/main">
                  <a:graphicData uri="http://schemas.microsoft.com/office/word/2010/wordprocessingShape">
                    <wps:wsp>
                      <wps:cNvCnPr/>
                      <wps:spPr>
                        <a:xfrm>
                          <a:off x="0" y="0"/>
                          <a:ext cx="635" cy="8800465"/>
                        </a:xfrm>
                        <a:prstGeom prst="straightConnector1">
                          <a:avLst/>
                        </a:prstGeom>
                        <a:ln w="31750" cap="flat" cmpd="sng">
                          <a:solidFill>
                            <a:srgbClr val="548DD4"/>
                          </a:solidFill>
                          <a:prstDash val="solid"/>
                          <a:headEnd type="none" w="med" len="med"/>
                          <a:tailEnd type="none" w="med" len="med"/>
                        </a:ln>
                      </wps:spPr>
                      <wps:bodyPr/>
                    </wps:wsp>
                  </a:graphicData>
                </a:graphic>
              </wp:anchor>
            </w:drawing>
          </mc:Choice>
          <mc:Fallback>
            <w:pict>
              <v:shape id="Straight Connector 3" o:spid="_x0000_s1026" o:spt="32" type="#_x0000_t32" style="position:absolute;left:0pt;margin-left:102pt;margin-top:0.8pt;height:692.95pt;width:0.05pt;z-index:251656192;mso-width-relative:page;mso-height-relative:page;" filled="f" stroked="t" coordsize="21600,21600" o:gfxdata="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rqZrw2QAAAAoBAAAPAAAAAAAAAAEAIAAAACIAAABk&#10;cnMvZG93bnJldi54bWxQSwECFAAUAAAACACHTuJATC4jEMwBAACfAwAADgAAAAAAAAABACAAAAAo&#10;AQAAZHJzL2Uyb0RvYy54bWxQSwUGAAAAAAYABgBZAQAAZgUAAAAA&#10;">
                <v:fill on="f" focussize="0,0"/>
                <v:stroke weight="2.5pt" color="#548DD4" joinstyle="round"/>
                <v:imagedata o:title=""/>
                <o:lock v:ext="edit" aspectratio="f"/>
              </v:shape>
            </w:pict>
          </mc:Fallback>
        </mc:AlternateContent>
      </w:r>
      <w:r>
        <w:rPr>
          <w:rFonts w:hint="eastAsia"/>
        </w:rPr>
        <w:t xml:space="preserve"> </w:t>
      </w:r>
    </w:p>
    <w:p>
      <w:pPr>
        <w:tabs>
          <w:tab w:val="center" w:pos="4156"/>
        </w:tabs>
      </w:pPr>
      <w:r>
        <mc:AlternateContent>
          <mc:Choice Requires="wps">
            <w:drawing>
              <wp:anchor distT="0" distB="0" distL="114300" distR="114300" simplePos="0" relativeHeight="251661312" behindDoc="0" locked="0" layoutInCell="1" allowOverlap="1">
                <wp:simplePos x="0" y="0"/>
                <wp:positionH relativeFrom="column">
                  <wp:posOffset>1554480</wp:posOffset>
                </wp:positionH>
                <wp:positionV relativeFrom="paragraph">
                  <wp:posOffset>106680</wp:posOffset>
                </wp:positionV>
                <wp:extent cx="4210050" cy="8143875"/>
                <wp:effectExtent l="0" t="0" r="0" b="0"/>
                <wp:wrapNone/>
                <wp:docPr id="50" name="文本框 14"/>
                <wp:cNvGraphicFramePr/>
                <a:graphic xmlns:a="http://schemas.openxmlformats.org/drawingml/2006/main">
                  <a:graphicData uri="http://schemas.microsoft.com/office/word/2010/wordprocessingShape">
                    <wps:wsp>
                      <wps:cNvSpPr txBox="1"/>
                      <wps:spPr>
                        <a:xfrm>
                          <a:off x="0" y="0"/>
                          <a:ext cx="4210050" cy="8143875"/>
                        </a:xfrm>
                        <a:prstGeom prst="rect">
                          <a:avLst/>
                        </a:prstGeom>
                        <a:noFill/>
                        <a:ln w="15875">
                          <a:noFill/>
                        </a:ln>
                      </wps:spPr>
                      <wps:txbx>
                        <w:txbxContent>
                          <w:p>
                            <w:pPr>
                              <w:widowControl/>
                              <w:shd w:val="clear" w:color="auto" w:fill="FFFFFF"/>
                              <w:spacing w:after="210"/>
                              <w:jc w:val="left"/>
                              <w:outlineLvl w:val="1"/>
                              <w:rPr>
                                <w:rFonts w:ascii="微软雅黑" w:hAnsi="微软雅黑" w:eastAsia="微软雅黑" w:cs="宋体"/>
                                <w:b/>
                                <w:bCs/>
                                <w:color w:val="333333"/>
                                <w:spacing w:val="8"/>
                                <w:kern w:val="0"/>
                                <w:sz w:val="33"/>
                                <w:szCs w:val="33"/>
                              </w:rPr>
                            </w:pPr>
                            <w:r>
                              <w:rPr>
                                <w:rFonts w:hint="eastAsia" w:asciiTheme="minorEastAsia" w:hAnsiTheme="minorEastAsia" w:eastAsiaTheme="minorEastAsia"/>
                                <w:b/>
                                <w:sz w:val="36"/>
                                <w:szCs w:val="36"/>
                              </w:rPr>
                              <w:t>1.医保目录调整正式方案出炉！</w:t>
                            </w:r>
                          </w:p>
                          <w:p>
                            <w:pPr>
                              <w:widowControl/>
                              <w:shd w:val="clear" w:color="auto" w:fill="FFFFFF"/>
                              <w:spacing w:after="190" w:line="560" w:lineRule="exact"/>
                              <w:jc w:val="left"/>
                              <w:outlineLvl w:val="1"/>
                              <w:rPr>
                                <w:rFonts w:asciiTheme="minorEastAsia" w:hAnsiTheme="minorEastAsia" w:eastAsiaTheme="minorEastAsia"/>
                                <w:b/>
                                <w:sz w:val="32"/>
                                <w:szCs w:val="32"/>
                              </w:rPr>
                            </w:pPr>
                          </w:p>
                          <w:p>
                            <w:pPr>
                              <w:widowControl/>
                              <w:shd w:val="clear" w:color="auto" w:fill="FFFFFF"/>
                              <w:spacing w:after="190" w:line="560" w:lineRule="exact"/>
                              <w:jc w:val="left"/>
                              <w:outlineLvl w:val="1"/>
                              <w:rPr>
                                <w:rFonts w:asciiTheme="minorEastAsia" w:hAnsiTheme="minorEastAsia" w:eastAsiaTheme="minorEastAsia"/>
                                <w:b/>
                                <w:sz w:val="32"/>
                                <w:szCs w:val="32"/>
                              </w:rPr>
                            </w:pPr>
                          </w:p>
                          <w:p>
                            <w:pPr>
                              <w:widowControl/>
                              <w:shd w:val="clear" w:color="auto" w:fill="FFFFFF"/>
                              <w:spacing w:after="210"/>
                              <w:jc w:val="left"/>
                              <w:outlineLvl w:val="1"/>
                              <w:rPr>
                                <w:rFonts w:ascii="微软雅黑" w:hAnsi="微软雅黑" w:eastAsia="微软雅黑" w:cs="宋体"/>
                                <w:color w:val="333333"/>
                                <w:spacing w:val="8"/>
                                <w:kern w:val="0"/>
                                <w:sz w:val="33"/>
                                <w:szCs w:val="33"/>
                              </w:rPr>
                            </w:pPr>
                            <w:r>
                              <w:rPr>
                                <w:rFonts w:hint="eastAsia" w:asciiTheme="minorEastAsia" w:hAnsiTheme="minorEastAsia" w:eastAsiaTheme="minorEastAsia"/>
                                <w:b/>
                                <w:sz w:val="36"/>
                                <w:szCs w:val="36"/>
                              </w:rPr>
                              <w:t>2.</w:t>
                            </w:r>
                            <w:r>
                              <w:rPr>
                                <w:rFonts w:hint="eastAsia" w:ascii="微软雅黑" w:hAnsi="微软雅黑" w:eastAsia="微软雅黑" w:cs="宋体"/>
                                <w:color w:val="333333"/>
                                <w:spacing w:val="8"/>
                                <w:kern w:val="0"/>
                                <w:sz w:val="33"/>
                                <w:szCs w:val="33"/>
                              </w:rPr>
                              <w:t xml:space="preserve"> </w:t>
                            </w:r>
                            <w:r>
                              <w:rPr>
                                <w:rFonts w:hint="eastAsia" w:asciiTheme="minorEastAsia" w:hAnsiTheme="minorEastAsia" w:eastAsiaTheme="minorEastAsia"/>
                                <w:b/>
                                <w:sz w:val="36"/>
                                <w:szCs w:val="36"/>
                              </w:rPr>
                              <w:t>2019-2020中国药品零售企业综合竞争力排行榜</w:t>
                            </w:r>
                          </w:p>
                          <w:p>
                            <w:pPr>
                              <w:widowControl/>
                              <w:shd w:val="clear" w:color="auto" w:fill="FFFFFF"/>
                              <w:spacing w:after="190" w:line="560" w:lineRule="exact"/>
                              <w:jc w:val="left"/>
                              <w:outlineLvl w:val="1"/>
                              <w:rPr>
                                <w:rFonts w:asciiTheme="minorEastAsia" w:hAnsiTheme="minorEastAsia" w:eastAsiaTheme="minorEastAsia"/>
                                <w:b/>
                                <w:sz w:val="32"/>
                                <w:szCs w:val="32"/>
                              </w:rPr>
                            </w:pPr>
                          </w:p>
                          <w:p>
                            <w:pPr>
                              <w:widowControl/>
                              <w:shd w:val="clear" w:color="auto" w:fill="FFFFFF"/>
                              <w:spacing w:after="190" w:line="560" w:lineRule="exact"/>
                              <w:jc w:val="left"/>
                              <w:outlineLvl w:val="1"/>
                              <w:rPr>
                                <w:rFonts w:asciiTheme="minorEastAsia" w:hAnsiTheme="minorEastAsia" w:eastAsiaTheme="minorEastAsia"/>
                                <w:b/>
                                <w:sz w:val="32"/>
                                <w:szCs w:val="32"/>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3.</w:t>
                            </w:r>
                            <w:r>
                              <w:rPr>
                                <w:rFonts w:asciiTheme="minorEastAsia" w:hAnsiTheme="minorEastAsia" w:eastAsiaTheme="minorEastAsia"/>
                                <w:b/>
                                <w:sz w:val="36"/>
                                <w:szCs w:val="36"/>
                              </w:rPr>
                              <w:t>刚刚！第三批国采中选结果正式公布（附各省采购量、金额）</w:t>
                            </w:r>
                          </w:p>
                          <w:p>
                            <w:pPr>
                              <w:widowControl/>
                              <w:shd w:val="clear" w:color="auto" w:fill="FFFFFF"/>
                              <w:spacing w:after="190"/>
                              <w:jc w:val="left"/>
                              <w:outlineLvl w:val="1"/>
                              <w:rPr>
                                <w:rFonts w:asciiTheme="minorEastAsia" w:hAnsiTheme="minorEastAsia" w:eastAsiaTheme="minorEastAsia"/>
                                <w:b/>
                                <w:sz w:val="36"/>
                                <w:szCs w:val="36"/>
                              </w:rPr>
                            </w:pPr>
                          </w:p>
                          <w:p>
                            <w:pPr>
                              <w:widowControl/>
                              <w:shd w:val="clear" w:color="auto" w:fill="FFFFFF"/>
                              <w:spacing w:after="190" w:line="560" w:lineRule="exact"/>
                              <w:jc w:val="left"/>
                              <w:outlineLvl w:val="1"/>
                              <w:rPr>
                                <w:rFonts w:asciiTheme="minorEastAsia" w:hAnsiTheme="minorEastAsia" w:eastAsiaTheme="minorEastAsia"/>
                                <w:b/>
                                <w:sz w:val="36"/>
                                <w:szCs w:val="36"/>
                              </w:rPr>
                            </w:pPr>
                          </w:p>
                          <w:p>
                            <w:pPr>
                              <w:widowControl/>
                              <w:shd w:val="clear" w:color="auto" w:fill="FFFFFF"/>
                              <w:spacing w:after="210"/>
                              <w:jc w:val="left"/>
                              <w:outlineLvl w:val="1"/>
                              <w:rPr>
                                <w:rFonts w:ascii="微软雅黑" w:hAnsi="微软雅黑" w:eastAsia="微软雅黑" w:cs="宋体"/>
                                <w:b/>
                                <w:bCs/>
                                <w:color w:val="333333"/>
                                <w:spacing w:val="8"/>
                                <w:kern w:val="0"/>
                                <w:sz w:val="33"/>
                                <w:szCs w:val="33"/>
                              </w:rPr>
                            </w:pPr>
                            <w:r>
                              <w:rPr>
                                <w:rFonts w:hint="eastAsia" w:asciiTheme="minorEastAsia" w:hAnsiTheme="minorEastAsia" w:eastAsiaTheme="minorEastAsia"/>
                                <w:b/>
                                <w:sz w:val="36"/>
                                <w:szCs w:val="36"/>
                              </w:rPr>
                              <w:t>4.</w:t>
                            </w:r>
                            <w:r>
                              <w:rPr>
                                <w:rFonts w:hint="eastAsia" w:ascii="微软雅黑" w:hAnsi="微软雅黑" w:eastAsia="微软雅黑" w:cs="宋体"/>
                                <w:color w:val="333333"/>
                                <w:spacing w:val="8"/>
                                <w:kern w:val="0"/>
                                <w:sz w:val="33"/>
                                <w:szCs w:val="33"/>
                              </w:rPr>
                              <w:t xml:space="preserve"> </w:t>
                            </w:r>
                            <w:r>
                              <w:rPr>
                                <w:rFonts w:hint="eastAsia" w:asciiTheme="minorEastAsia" w:hAnsiTheme="minorEastAsia" w:eastAsiaTheme="minorEastAsia"/>
                                <w:b/>
                                <w:sz w:val="36"/>
                                <w:szCs w:val="36"/>
                              </w:rPr>
                              <w:t>医药流通市场大变天！京东获第三方药品物流资质、邮政新增多条医药商标</w:t>
                            </w:r>
                          </w:p>
                          <w:p>
                            <w:pPr>
                              <w:widowControl/>
                              <w:shd w:val="clear" w:color="auto" w:fill="FFFFFF"/>
                              <w:spacing w:after="190" w:line="560" w:lineRule="exact"/>
                              <w:jc w:val="left"/>
                              <w:outlineLvl w:val="1"/>
                              <w:rPr>
                                <w:rFonts w:asciiTheme="minorEastAsia" w:hAnsiTheme="minorEastAsia" w:eastAsiaTheme="minorEastAsia"/>
                                <w:b/>
                                <w:sz w:val="36"/>
                                <w:szCs w:val="36"/>
                              </w:rPr>
                            </w:pPr>
                          </w:p>
                          <w:p>
                            <w:pPr>
                              <w:widowControl/>
                              <w:shd w:val="clear" w:color="auto" w:fill="FFFFFF"/>
                              <w:spacing w:after="190" w:line="560" w:lineRule="exact"/>
                              <w:jc w:val="left"/>
                              <w:outlineLvl w:val="1"/>
                              <w:rPr>
                                <w:rFonts w:asciiTheme="minorEastAsia" w:hAnsiTheme="minorEastAsia" w:eastAsiaTheme="minorEastAsia"/>
                                <w:b/>
                                <w:sz w:val="36"/>
                                <w:szCs w:val="36"/>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b/>
                                <w:sz w:val="36"/>
                                <w:szCs w:val="36"/>
                              </w:rPr>
                              <w:t xml:space="preserve">5. </w:t>
                            </w:r>
                            <w:r>
                              <w:rPr>
                                <w:rFonts w:hint="eastAsia" w:asciiTheme="minorEastAsia" w:hAnsiTheme="minorEastAsia" w:eastAsiaTheme="minorEastAsia"/>
                                <w:b/>
                                <w:sz w:val="36"/>
                                <w:szCs w:val="36"/>
                              </w:rPr>
                              <w:t>中国零售药店市场首破6600亿！</w:t>
                            </w:r>
                          </w:p>
                          <w:p>
                            <w:pPr>
                              <w:widowControl/>
                              <w:spacing w:before="100" w:beforeAutospacing="1" w:after="100" w:afterAutospacing="1"/>
                              <w:outlineLvl w:val="1"/>
                              <w:rPr>
                                <w:rFonts w:ascii="微软雅黑" w:hAnsi="微软雅黑" w:eastAsia="微软雅黑" w:cs="宋体"/>
                                <w:color w:val="333333"/>
                                <w:spacing w:val="8"/>
                                <w:kern w:val="0"/>
                                <w:sz w:val="33"/>
                                <w:szCs w:val="33"/>
                              </w:rPr>
                            </w:pPr>
                          </w:p>
                          <w:p>
                            <w:pPr>
                              <w:rPr>
                                <w:b/>
                                <w:sz w:val="44"/>
                                <w:szCs w:val="44"/>
                              </w:rPr>
                            </w:pPr>
                          </w:p>
                        </w:txbxContent>
                      </wps:txbx>
                      <wps:bodyPr upright="1"/>
                    </wps:wsp>
                  </a:graphicData>
                </a:graphic>
              </wp:anchor>
            </w:drawing>
          </mc:Choice>
          <mc:Fallback>
            <w:pict>
              <v:shape id="文本框 14" o:spid="_x0000_s1026" o:spt="202" type="#_x0000_t202" style="position:absolute;left:0pt;margin-left:122.4pt;margin-top:8.4pt;height:641.25pt;width:331.5pt;z-index:251661312;mso-width-relative:page;mso-height-relative:page;" filled="f" stroked="f" coordsize="21600,21600" o:gfxdata="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E0zl1ncAAAACwEAAA8AAAAAAAAAAQAg&#10;AAAAIgAAAGRycy9kb3ducmV2LnhtbFBLAQIUABQAAAAIAIdO4kAEpupVmAEAAA0DAAAOAAAAAAAA&#10;AAEAIAAAACsBAABkcnMvZTJvRG9jLnhtbFBLBQYAAAAABgAGAFkBAAA1BQAAAAA=&#10;">
                <v:fill on="f" focussize="0,0"/>
                <v:stroke on="f" weight="1.25pt"/>
                <v:imagedata o:title=""/>
                <o:lock v:ext="edit" aspectratio="f"/>
                <v:textbox>
                  <w:txbxContent>
                    <w:p>
                      <w:pPr>
                        <w:widowControl/>
                        <w:shd w:val="clear" w:color="auto" w:fill="FFFFFF"/>
                        <w:spacing w:after="210"/>
                        <w:jc w:val="left"/>
                        <w:outlineLvl w:val="1"/>
                        <w:rPr>
                          <w:rFonts w:ascii="微软雅黑" w:hAnsi="微软雅黑" w:eastAsia="微软雅黑" w:cs="宋体"/>
                          <w:b/>
                          <w:bCs/>
                          <w:color w:val="333333"/>
                          <w:spacing w:val="8"/>
                          <w:kern w:val="0"/>
                          <w:sz w:val="33"/>
                          <w:szCs w:val="33"/>
                        </w:rPr>
                      </w:pPr>
                      <w:r>
                        <w:rPr>
                          <w:rFonts w:hint="eastAsia" w:asciiTheme="minorEastAsia" w:hAnsiTheme="minorEastAsia" w:eastAsiaTheme="minorEastAsia"/>
                          <w:b/>
                          <w:sz w:val="36"/>
                          <w:szCs w:val="36"/>
                        </w:rPr>
                        <w:t>1.医保目录调整正式方案出炉！</w:t>
                      </w:r>
                    </w:p>
                    <w:p>
                      <w:pPr>
                        <w:widowControl/>
                        <w:shd w:val="clear" w:color="auto" w:fill="FFFFFF"/>
                        <w:spacing w:after="190" w:line="560" w:lineRule="exact"/>
                        <w:jc w:val="left"/>
                        <w:outlineLvl w:val="1"/>
                        <w:rPr>
                          <w:rFonts w:asciiTheme="minorEastAsia" w:hAnsiTheme="minorEastAsia" w:eastAsiaTheme="minorEastAsia"/>
                          <w:b/>
                          <w:sz w:val="32"/>
                          <w:szCs w:val="32"/>
                        </w:rPr>
                      </w:pPr>
                    </w:p>
                    <w:p>
                      <w:pPr>
                        <w:widowControl/>
                        <w:shd w:val="clear" w:color="auto" w:fill="FFFFFF"/>
                        <w:spacing w:after="190" w:line="560" w:lineRule="exact"/>
                        <w:jc w:val="left"/>
                        <w:outlineLvl w:val="1"/>
                        <w:rPr>
                          <w:rFonts w:asciiTheme="minorEastAsia" w:hAnsiTheme="minorEastAsia" w:eastAsiaTheme="minorEastAsia"/>
                          <w:b/>
                          <w:sz w:val="32"/>
                          <w:szCs w:val="32"/>
                        </w:rPr>
                      </w:pPr>
                    </w:p>
                    <w:p>
                      <w:pPr>
                        <w:widowControl/>
                        <w:shd w:val="clear" w:color="auto" w:fill="FFFFFF"/>
                        <w:spacing w:after="210"/>
                        <w:jc w:val="left"/>
                        <w:outlineLvl w:val="1"/>
                        <w:rPr>
                          <w:rFonts w:ascii="微软雅黑" w:hAnsi="微软雅黑" w:eastAsia="微软雅黑" w:cs="宋体"/>
                          <w:color w:val="333333"/>
                          <w:spacing w:val="8"/>
                          <w:kern w:val="0"/>
                          <w:sz w:val="33"/>
                          <w:szCs w:val="33"/>
                        </w:rPr>
                      </w:pPr>
                      <w:r>
                        <w:rPr>
                          <w:rFonts w:hint="eastAsia" w:asciiTheme="minorEastAsia" w:hAnsiTheme="minorEastAsia" w:eastAsiaTheme="minorEastAsia"/>
                          <w:b/>
                          <w:sz w:val="36"/>
                          <w:szCs w:val="36"/>
                        </w:rPr>
                        <w:t>2.</w:t>
                      </w:r>
                      <w:r>
                        <w:rPr>
                          <w:rFonts w:hint="eastAsia" w:ascii="微软雅黑" w:hAnsi="微软雅黑" w:eastAsia="微软雅黑" w:cs="宋体"/>
                          <w:color w:val="333333"/>
                          <w:spacing w:val="8"/>
                          <w:kern w:val="0"/>
                          <w:sz w:val="33"/>
                          <w:szCs w:val="33"/>
                        </w:rPr>
                        <w:t xml:space="preserve"> </w:t>
                      </w:r>
                      <w:r>
                        <w:rPr>
                          <w:rFonts w:hint="eastAsia" w:asciiTheme="minorEastAsia" w:hAnsiTheme="minorEastAsia" w:eastAsiaTheme="minorEastAsia"/>
                          <w:b/>
                          <w:sz w:val="36"/>
                          <w:szCs w:val="36"/>
                        </w:rPr>
                        <w:t>2019-2020中国药品零售企业综合竞争力排行榜</w:t>
                      </w:r>
                    </w:p>
                    <w:p>
                      <w:pPr>
                        <w:widowControl/>
                        <w:shd w:val="clear" w:color="auto" w:fill="FFFFFF"/>
                        <w:spacing w:after="190" w:line="560" w:lineRule="exact"/>
                        <w:jc w:val="left"/>
                        <w:outlineLvl w:val="1"/>
                        <w:rPr>
                          <w:rFonts w:asciiTheme="minorEastAsia" w:hAnsiTheme="minorEastAsia" w:eastAsiaTheme="minorEastAsia"/>
                          <w:b/>
                          <w:sz w:val="32"/>
                          <w:szCs w:val="32"/>
                        </w:rPr>
                      </w:pPr>
                    </w:p>
                    <w:p>
                      <w:pPr>
                        <w:widowControl/>
                        <w:shd w:val="clear" w:color="auto" w:fill="FFFFFF"/>
                        <w:spacing w:after="190" w:line="560" w:lineRule="exact"/>
                        <w:jc w:val="left"/>
                        <w:outlineLvl w:val="1"/>
                        <w:rPr>
                          <w:rFonts w:asciiTheme="minorEastAsia" w:hAnsiTheme="minorEastAsia" w:eastAsiaTheme="minorEastAsia"/>
                          <w:b/>
                          <w:sz w:val="32"/>
                          <w:szCs w:val="32"/>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3.</w:t>
                      </w:r>
                      <w:r>
                        <w:rPr>
                          <w:rFonts w:asciiTheme="minorEastAsia" w:hAnsiTheme="minorEastAsia" w:eastAsiaTheme="minorEastAsia"/>
                          <w:b/>
                          <w:sz w:val="36"/>
                          <w:szCs w:val="36"/>
                        </w:rPr>
                        <w:t>刚刚！第三批国采中选结果正式公布（附各省采购量、金额）</w:t>
                      </w:r>
                    </w:p>
                    <w:p>
                      <w:pPr>
                        <w:widowControl/>
                        <w:shd w:val="clear" w:color="auto" w:fill="FFFFFF"/>
                        <w:spacing w:after="190"/>
                        <w:jc w:val="left"/>
                        <w:outlineLvl w:val="1"/>
                        <w:rPr>
                          <w:rFonts w:asciiTheme="minorEastAsia" w:hAnsiTheme="minorEastAsia" w:eastAsiaTheme="minorEastAsia"/>
                          <w:b/>
                          <w:sz w:val="36"/>
                          <w:szCs w:val="36"/>
                        </w:rPr>
                      </w:pPr>
                    </w:p>
                    <w:p>
                      <w:pPr>
                        <w:widowControl/>
                        <w:shd w:val="clear" w:color="auto" w:fill="FFFFFF"/>
                        <w:spacing w:after="190" w:line="560" w:lineRule="exact"/>
                        <w:jc w:val="left"/>
                        <w:outlineLvl w:val="1"/>
                        <w:rPr>
                          <w:rFonts w:asciiTheme="minorEastAsia" w:hAnsiTheme="minorEastAsia" w:eastAsiaTheme="minorEastAsia"/>
                          <w:b/>
                          <w:sz w:val="36"/>
                          <w:szCs w:val="36"/>
                        </w:rPr>
                      </w:pPr>
                    </w:p>
                    <w:p>
                      <w:pPr>
                        <w:widowControl/>
                        <w:shd w:val="clear" w:color="auto" w:fill="FFFFFF"/>
                        <w:spacing w:after="210"/>
                        <w:jc w:val="left"/>
                        <w:outlineLvl w:val="1"/>
                        <w:rPr>
                          <w:rFonts w:ascii="微软雅黑" w:hAnsi="微软雅黑" w:eastAsia="微软雅黑" w:cs="宋体"/>
                          <w:b/>
                          <w:bCs/>
                          <w:color w:val="333333"/>
                          <w:spacing w:val="8"/>
                          <w:kern w:val="0"/>
                          <w:sz w:val="33"/>
                          <w:szCs w:val="33"/>
                        </w:rPr>
                      </w:pPr>
                      <w:r>
                        <w:rPr>
                          <w:rFonts w:hint="eastAsia" w:asciiTheme="minorEastAsia" w:hAnsiTheme="minorEastAsia" w:eastAsiaTheme="minorEastAsia"/>
                          <w:b/>
                          <w:sz w:val="36"/>
                          <w:szCs w:val="36"/>
                        </w:rPr>
                        <w:t>4.</w:t>
                      </w:r>
                      <w:r>
                        <w:rPr>
                          <w:rFonts w:hint="eastAsia" w:ascii="微软雅黑" w:hAnsi="微软雅黑" w:eastAsia="微软雅黑" w:cs="宋体"/>
                          <w:color w:val="333333"/>
                          <w:spacing w:val="8"/>
                          <w:kern w:val="0"/>
                          <w:sz w:val="33"/>
                          <w:szCs w:val="33"/>
                        </w:rPr>
                        <w:t xml:space="preserve"> </w:t>
                      </w:r>
                      <w:r>
                        <w:rPr>
                          <w:rFonts w:hint="eastAsia" w:asciiTheme="minorEastAsia" w:hAnsiTheme="minorEastAsia" w:eastAsiaTheme="minorEastAsia"/>
                          <w:b/>
                          <w:sz w:val="36"/>
                          <w:szCs w:val="36"/>
                        </w:rPr>
                        <w:t>医药流通市场大变天！京东获第三方药品物流资质、邮政新增多条医药商标</w:t>
                      </w:r>
                    </w:p>
                    <w:p>
                      <w:pPr>
                        <w:widowControl/>
                        <w:shd w:val="clear" w:color="auto" w:fill="FFFFFF"/>
                        <w:spacing w:after="190" w:line="560" w:lineRule="exact"/>
                        <w:jc w:val="left"/>
                        <w:outlineLvl w:val="1"/>
                        <w:rPr>
                          <w:rFonts w:asciiTheme="minorEastAsia" w:hAnsiTheme="minorEastAsia" w:eastAsiaTheme="minorEastAsia"/>
                          <w:b/>
                          <w:sz w:val="36"/>
                          <w:szCs w:val="36"/>
                        </w:rPr>
                      </w:pPr>
                    </w:p>
                    <w:p>
                      <w:pPr>
                        <w:widowControl/>
                        <w:shd w:val="clear" w:color="auto" w:fill="FFFFFF"/>
                        <w:spacing w:after="190" w:line="560" w:lineRule="exact"/>
                        <w:jc w:val="left"/>
                        <w:outlineLvl w:val="1"/>
                        <w:rPr>
                          <w:rFonts w:asciiTheme="minorEastAsia" w:hAnsiTheme="minorEastAsia" w:eastAsiaTheme="minorEastAsia"/>
                          <w:b/>
                          <w:sz w:val="36"/>
                          <w:szCs w:val="36"/>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b/>
                          <w:sz w:val="36"/>
                          <w:szCs w:val="36"/>
                        </w:rPr>
                        <w:t xml:space="preserve">5. </w:t>
                      </w:r>
                      <w:r>
                        <w:rPr>
                          <w:rFonts w:hint="eastAsia" w:asciiTheme="minorEastAsia" w:hAnsiTheme="minorEastAsia" w:eastAsiaTheme="minorEastAsia"/>
                          <w:b/>
                          <w:sz w:val="36"/>
                          <w:szCs w:val="36"/>
                        </w:rPr>
                        <w:t>中国零售药店市场首破6600亿！</w:t>
                      </w:r>
                    </w:p>
                    <w:p>
                      <w:pPr>
                        <w:widowControl/>
                        <w:spacing w:before="100" w:beforeAutospacing="1" w:after="100" w:afterAutospacing="1"/>
                        <w:outlineLvl w:val="1"/>
                        <w:rPr>
                          <w:rFonts w:ascii="微软雅黑" w:hAnsi="微软雅黑" w:eastAsia="微软雅黑" w:cs="宋体"/>
                          <w:color w:val="333333"/>
                          <w:spacing w:val="8"/>
                          <w:kern w:val="0"/>
                          <w:sz w:val="33"/>
                          <w:szCs w:val="33"/>
                        </w:rPr>
                      </w:pPr>
                    </w:p>
                    <w:p>
                      <w:pPr>
                        <w:rPr>
                          <w:b/>
                          <w:sz w:val="44"/>
                          <w:szCs w:val="44"/>
                        </w:rPr>
                      </w:pP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-788670</wp:posOffset>
                </wp:positionH>
                <wp:positionV relativeFrom="paragraph">
                  <wp:posOffset>40005</wp:posOffset>
                </wp:positionV>
                <wp:extent cx="1982470" cy="3190875"/>
                <wp:effectExtent l="0" t="0" r="0" b="0"/>
                <wp:wrapNone/>
                <wp:docPr id="49" name="文本框 11"/>
                <wp:cNvGraphicFramePr/>
                <a:graphic xmlns:a="http://schemas.openxmlformats.org/drawingml/2006/main">
                  <a:graphicData uri="http://schemas.microsoft.com/office/word/2010/wordprocessingShape">
                    <wps:wsp>
                      <wps:cNvSpPr txBox="1"/>
                      <wps:spPr>
                        <a:xfrm>
                          <a:off x="0" y="0"/>
                          <a:ext cx="1982470" cy="3190875"/>
                        </a:xfrm>
                        <a:prstGeom prst="rect">
                          <a:avLst/>
                        </a:prstGeom>
                        <a:noFill/>
                        <a:ln w="15875">
                          <a:noFill/>
                        </a:ln>
                      </wps:spPr>
                      <wps:txbx>
                        <w:txbxContent>
                          <w:p/>
                          <w:p/>
                          <w:p/>
                          <w:p>
                            <w:pPr>
                              <w:jc w:val="center"/>
                              <w:rPr>
                                <w:b/>
                                <w:sz w:val="44"/>
                                <w:szCs w:val="44"/>
                              </w:rPr>
                            </w:pPr>
                            <w:r>
                              <w:rPr>
                                <w:rFonts w:hint="eastAsia"/>
                                <w:b/>
                                <w:sz w:val="44"/>
                                <w:szCs w:val="44"/>
                              </w:rPr>
                              <w:t>目录</w:t>
                            </w:r>
                          </w:p>
                          <w:p>
                            <w:pPr>
                              <w:jc w:val="center"/>
                              <w:rPr>
                                <w:b/>
                                <w:sz w:val="44"/>
                                <w:szCs w:val="44"/>
                              </w:rPr>
                            </w:pPr>
                          </w:p>
                          <w:p>
                            <w:pPr>
                              <w:jc w:val="center"/>
                              <w:rPr>
                                <w:b/>
                                <w:sz w:val="44"/>
                                <w:szCs w:val="44"/>
                              </w:rPr>
                            </w:pPr>
                          </w:p>
                          <w:p>
                            <w:pPr>
                              <w:jc w:val="center"/>
                              <w:rPr>
                                <w:b/>
                                <w:sz w:val="44"/>
                                <w:szCs w:val="44"/>
                              </w:rPr>
                            </w:pPr>
                          </w:p>
                          <w:p>
                            <w:pPr>
                              <w:jc w:val="center"/>
                              <w:rPr>
                                <w:b/>
                                <w:sz w:val="36"/>
                                <w:szCs w:val="36"/>
                              </w:rPr>
                            </w:pPr>
                            <w:r>
                              <w:rPr>
                                <w:rFonts w:hint="eastAsia"/>
                                <w:b/>
                                <w:sz w:val="36"/>
                                <w:szCs w:val="36"/>
                              </w:rPr>
                              <w:t>（8月第8期）</w:t>
                            </w:r>
                          </w:p>
                        </w:txbxContent>
                      </wps:txbx>
                      <wps:bodyPr upright="1"/>
                    </wps:wsp>
                  </a:graphicData>
                </a:graphic>
              </wp:anchor>
            </w:drawing>
          </mc:Choice>
          <mc:Fallback>
            <w:pict>
              <v:shape id="文本框 11" o:spid="_x0000_s1026" o:spt="202" type="#_x0000_t202" style="position:absolute;left:0pt;margin-left:-62.1pt;margin-top:3.15pt;height:251.25pt;width:156.1pt;z-index:251658240;mso-width-relative:page;mso-height-relative:page;" filled="f" stroked="f" coordsize="21600,21600" o:gfxdata="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fYunetwAAAAKAQAADwAAAAAAAAAB&#10;ACAAAAAiAAAAZHJzL2Rvd25yZXYueG1sUEsBAhQAFAAAAAgAh07iQCK6PqOaAQAADQMAAA4AAAAA&#10;AAAAAQAgAAAAKwEAAGRycy9lMm9Eb2MueG1sUEsFBgAAAAAGAAYAWQEAADcFAAAAAA==&#10;">
                <v:fill on="f" focussize="0,0"/>
                <v:stroke on="f" weight="1.25pt"/>
                <v:imagedata o:title=""/>
                <o:lock v:ext="edit" aspectratio="f"/>
                <v:textbox>
                  <w:txbxContent>
                    <w:p/>
                    <w:p/>
                    <w:p/>
                    <w:p>
                      <w:pPr>
                        <w:jc w:val="center"/>
                        <w:rPr>
                          <w:b/>
                          <w:sz w:val="44"/>
                          <w:szCs w:val="44"/>
                        </w:rPr>
                      </w:pPr>
                      <w:r>
                        <w:rPr>
                          <w:rFonts w:hint="eastAsia"/>
                          <w:b/>
                          <w:sz w:val="44"/>
                          <w:szCs w:val="44"/>
                        </w:rPr>
                        <w:t>目录</w:t>
                      </w:r>
                    </w:p>
                    <w:p>
                      <w:pPr>
                        <w:jc w:val="center"/>
                        <w:rPr>
                          <w:b/>
                          <w:sz w:val="44"/>
                          <w:szCs w:val="44"/>
                        </w:rPr>
                      </w:pPr>
                    </w:p>
                    <w:p>
                      <w:pPr>
                        <w:jc w:val="center"/>
                        <w:rPr>
                          <w:b/>
                          <w:sz w:val="44"/>
                          <w:szCs w:val="44"/>
                        </w:rPr>
                      </w:pPr>
                    </w:p>
                    <w:p>
                      <w:pPr>
                        <w:jc w:val="center"/>
                        <w:rPr>
                          <w:b/>
                          <w:sz w:val="44"/>
                          <w:szCs w:val="44"/>
                        </w:rPr>
                      </w:pPr>
                    </w:p>
                    <w:p>
                      <w:pPr>
                        <w:jc w:val="center"/>
                        <w:rPr>
                          <w:b/>
                          <w:sz w:val="36"/>
                          <w:szCs w:val="36"/>
                        </w:rPr>
                      </w:pPr>
                      <w:r>
                        <w:rPr>
                          <w:rFonts w:hint="eastAsia"/>
                          <w:b/>
                          <w:sz w:val="36"/>
                          <w:szCs w:val="36"/>
                        </w:rPr>
                        <w:t>（8月第8期）</w:t>
                      </w:r>
                    </w:p>
                  </w:txbxContent>
                </v:textbox>
              </v:shape>
            </w:pict>
          </mc:Fallback>
        </mc:AlternateContent>
      </w:r>
    </w:p>
    <w:p>
      <w:pPr>
        <w:tabs>
          <w:tab w:val="left" w:pos="5245"/>
        </w:tabs>
      </w:pPr>
      <w:r>
        <w:rPr>
          <w:rFonts w:hint="eastAsia"/>
        </w:rPr>
        <w:t xml:space="preserve">    </w:t>
      </w:r>
    </w:p>
    <w:p>
      <w:pPr>
        <w:tabs>
          <w:tab w:val="left" w:pos="5245"/>
        </w:tabs>
      </w:pPr>
      <w:r>
        <w:rPr>
          <w:rFonts w:hint="eastAsia"/>
        </w:rPr>
        <w:t xml:space="preserve"> </w: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mc:AlternateContent>
          <mc:Choice Requires="wps">
            <w:drawing>
              <wp:anchor distT="0" distB="0" distL="114300" distR="114300" simplePos="0" relativeHeight="251658240" behindDoc="0" locked="0" layoutInCell="1" allowOverlap="1">
                <wp:simplePos x="0" y="0"/>
                <wp:positionH relativeFrom="column">
                  <wp:posOffset>-857250</wp:posOffset>
                </wp:positionH>
                <wp:positionV relativeFrom="paragraph">
                  <wp:posOffset>120015</wp:posOffset>
                </wp:positionV>
                <wp:extent cx="2143125" cy="635"/>
                <wp:effectExtent l="0" t="19050" r="9525" b="37465"/>
                <wp:wrapNone/>
                <wp:docPr id="48" name="Straight Connector 5"/>
                <wp:cNvGraphicFramePr/>
                <a:graphic xmlns:a="http://schemas.openxmlformats.org/drawingml/2006/main">
                  <a:graphicData uri="http://schemas.microsoft.com/office/word/2010/wordprocessingShape">
                    <wps:wsp>
                      <wps:cNvCnPr/>
                      <wps:spPr>
                        <a:xfrm>
                          <a:off x="0" y="0"/>
                          <a:ext cx="2143125" cy="635"/>
                        </a:xfrm>
                        <a:prstGeom prst="straightConnector1">
                          <a:avLst/>
                        </a:prstGeom>
                        <a:ln w="34925" cap="flat" cmpd="sng">
                          <a:solidFill>
                            <a:srgbClr val="548DD4"/>
                          </a:solidFill>
                          <a:prstDash val="solid"/>
                          <a:headEnd type="none" w="med" len="med"/>
                          <a:tailEnd type="none" w="med" len="med"/>
                        </a:ln>
                      </wps:spPr>
                      <wps:bodyPr/>
                    </wps:wsp>
                  </a:graphicData>
                </a:graphic>
              </wp:anchor>
            </w:drawing>
          </mc:Choice>
          <mc:Fallback>
            <w:pict>
              <v:shape id="Straight Connector 5" o:spid="_x0000_s1026" o:spt="32" type="#_x0000_t32" style="position:absolute;left:0pt;margin-left:-67.5pt;margin-top:9.45pt;height:0.05pt;width:168.75pt;z-index:251658240;mso-width-relative:page;mso-height-relative:page;" filled="f" stroked="t" coordsize="21600,21600" o:gfxdata="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&#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Yh7dLYAAAACgEAAA8AAAAAAAAAAQAgAAAAIgAAAGRy&#10;cy9kb3ducmV2LnhtbFBLAQIUABQAAAAIAIdO4kBdXw7FzAEAAJ8DAAAOAAAAAAAAAAEAIAAAACcB&#10;AABkcnMvZTJvRG9jLnhtbFBLBQYAAAAABgAGAFkBAABlBQAAAAA=&#10;">
                <v:fill on="f" focussize="0,0"/>
                <v:stroke weight="2.75pt" color="#548DD4" joinstyle="round"/>
                <v:imagedata o:title=""/>
                <o:lock v:ext="edit" aspectratio="f"/>
              </v:shape>
            </w:pict>
          </mc:Fallback>
        </mc:AlternateContent>
      </w:r>
    </w:p>
    <w:p>
      <w:pPr>
        <w:tabs>
          <w:tab w:val="left" w:pos="5245"/>
        </w:tabs>
      </w:pPr>
    </w:p>
    <w:p>
      <w:pPr>
        <w:tabs>
          <w:tab w:val="left" w:pos="5245"/>
        </w:tabs>
      </w:pPr>
    </w:p>
    <w:p>
      <w:pPr>
        <w:tabs>
          <w:tab w:val="left" w:pos="5245"/>
        </w:tabs>
      </w:pPr>
    </w:p>
    <w:p>
      <w:pPr>
        <w:tabs>
          <w:tab w:val="left" w:pos="5245"/>
        </w:tabs>
      </w:pPr>
      <w:r>
        <mc:AlternateContent>
          <mc:Choice Requires="wps">
            <w:drawing>
              <wp:anchor distT="0" distB="0" distL="114300" distR="114300" simplePos="0" relativeHeight="251659264" behindDoc="0" locked="0" layoutInCell="1" allowOverlap="1">
                <wp:simplePos x="0" y="0"/>
                <wp:positionH relativeFrom="column">
                  <wp:posOffset>-674370</wp:posOffset>
                </wp:positionH>
                <wp:positionV relativeFrom="paragraph">
                  <wp:posOffset>135255</wp:posOffset>
                </wp:positionV>
                <wp:extent cx="1781175" cy="762000"/>
                <wp:effectExtent l="0" t="0" r="0" b="0"/>
                <wp:wrapNone/>
                <wp:docPr id="47" name="文本框 12"/>
                <wp:cNvGraphicFramePr/>
                <a:graphic xmlns:a="http://schemas.openxmlformats.org/drawingml/2006/main">
                  <a:graphicData uri="http://schemas.microsoft.com/office/word/2010/wordprocessingShape">
                    <wps:wsp>
                      <wps:cNvSpPr txBox="1"/>
                      <wps:spPr>
                        <a:xfrm>
                          <a:off x="0" y="0"/>
                          <a:ext cx="1781175" cy="762000"/>
                        </a:xfrm>
                        <a:prstGeom prst="rect">
                          <a:avLst/>
                        </a:prstGeom>
                        <a:noFill/>
                        <a:ln w="15875">
                          <a:noFill/>
                        </a:ln>
                      </wps:spPr>
                      <wps:txbx>
                        <w:txbxContent>
                          <w:p>
                            <w:pPr>
                              <w:jc w:val="center"/>
                              <w:rPr>
                                <w:sz w:val="44"/>
                                <w:szCs w:val="44"/>
                              </w:rPr>
                            </w:pPr>
                            <w:r>
                              <w:rPr>
                                <w:rFonts w:hint="eastAsia"/>
                                <w:sz w:val="44"/>
                                <w:szCs w:val="44"/>
                              </w:rPr>
                              <w:t>2020.8.25</w:t>
                            </w:r>
                          </w:p>
                        </w:txbxContent>
                      </wps:txbx>
                      <wps:bodyPr upright="1"/>
                    </wps:wsp>
                  </a:graphicData>
                </a:graphic>
              </wp:anchor>
            </w:drawing>
          </mc:Choice>
          <mc:Fallback>
            <w:pict>
              <v:shape id="文本框 12" o:spid="_x0000_s1026" o:spt="202" type="#_x0000_t202" style="position:absolute;left:0pt;margin-left:-53.1pt;margin-top:10.65pt;height:60pt;width:140.25pt;z-index:251659264;mso-width-relative:page;mso-height-relative:page;" filled="f" stroked="f" coordsize="21600,21600" o:gfxdata="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djKqV3AAAAAsBAAAPAAAAAAAAAAEAIAAA&#10;ACIAAABkcnMvZG93bnJldi54bWxQSwECFAAUAAAACACHTuJAPuKYa5YBAAAMAwAADgAAAAAAAAAB&#10;ACAAAAArAQAAZHJzL2Uyb0RvYy54bWxQSwUGAAAAAAYABgBZAQAAMwUAAAAA&#10;">
                <v:fill on="f" focussize="0,0"/>
                <v:stroke on="f" weight="1.25pt"/>
                <v:imagedata o:title=""/>
                <o:lock v:ext="edit" aspectratio="f"/>
                <v:textbox>
                  <w:txbxContent>
                    <w:p>
                      <w:pPr>
                        <w:jc w:val="center"/>
                        <w:rPr>
                          <w:sz w:val="44"/>
                          <w:szCs w:val="44"/>
                        </w:rPr>
                      </w:pPr>
                      <w:r>
                        <w:rPr>
                          <w:rFonts w:hint="eastAsia"/>
                          <w:sz w:val="44"/>
                          <w:szCs w:val="44"/>
                        </w:rPr>
                        <w:t>2020.8.25</w:t>
                      </w:r>
                    </w:p>
                  </w:txbxContent>
                </v:textbox>
              </v:shape>
            </w:pict>
          </mc:Fallback>
        </mc:AlternateConten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mc:AlternateContent>
          <mc:Choice Requires="wps">
            <w:drawing>
              <wp:anchor distT="0" distB="0" distL="114300" distR="114300" simplePos="0" relativeHeight="251660288" behindDoc="0" locked="0" layoutInCell="1" allowOverlap="1">
                <wp:simplePos x="0" y="0"/>
                <wp:positionH relativeFrom="column">
                  <wp:posOffset>-586740</wp:posOffset>
                </wp:positionH>
                <wp:positionV relativeFrom="paragraph">
                  <wp:posOffset>152400</wp:posOffset>
                </wp:positionV>
                <wp:extent cx="1695450" cy="2562225"/>
                <wp:effectExtent l="0" t="0" r="0" b="0"/>
                <wp:wrapNone/>
                <wp:docPr id="46" name="文本框 13"/>
                <wp:cNvGraphicFramePr/>
                <a:graphic xmlns:a="http://schemas.openxmlformats.org/drawingml/2006/main">
                  <a:graphicData uri="http://schemas.microsoft.com/office/word/2010/wordprocessingShape">
                    <wps:wsp>
                      <wps:cNvSpPr txBox="1"/>
                      <wps:spPr>
                        <a:xfrm>
                          <a:off x="0" y="0"/>
                          <a:ext cx="1695450" cy="2562225"/>
                        </a:xfrm>
                        <a:prstGeom prst="rect">
                          <a:avLst/>
                        </a:prstGeom>
                        <a:noFill/>
                        <a:ln w="15875">
                          <a:noFill/>
                        </a:ln>
                      </wps:spPr>
                      <wps:txbx>
                        <w:txbxContent>
                          <w:p/>
                          <w:p/>
                          <w:p/>
                          <w:p>
                            <w:pPr>
                              <w:rPr>
                                <w:b/>
                                <w:sz w:val="32"/>
                                <w:szCs w:val="32"/>
                              </w:rPr>
                            </w:pPr>
                            <w:r>
                              <w:rPr>
                                <w:rFonts w:hint="eastAsia"/>
                                <w:b/>
                                <w:sz w:val="32"/>
                                <w:szCs w:val="32"/>
                              </w:rPr>
                              <w:t>总  编  朱卫东副总编  李厚佳  责任编</w:t>
                            </w:r>
                            <w:r>
                              <w:rPr>
                                <w:rFonts w:hint="eastAsia"/>
                                <w:b/>
                                <w:spacing w:val="22"/>
                                <w:sz w:val="32"/>
                                <w:szCs w:val="32"/>
                              </w:rPr>
                              <w:t>辑彭</w:t>
                            </w:r>
                            <w:r>
                              <w:rPr>
                                <w:rFonts w:hint="eastAsia"/>
                                <w:b/>
                                <w:sz w:val="32"/>
                                <w:szCs w:val="32"/>
                              </w:rPr>
                              <w:t>宇飞</w:t>
                            </w:r>
                          </w:p>
                        </w:txbxContent>
                      </wps:txbx>
                      <wps:bodyPr upright="1"/>
                    </wps:wsp>
                  </a:graphicData>
                </a:graphic>
              </wp:anchor>
            </w:drawing>
          </mc:Choice>
          <mc:Fallback>
            <w:pict>
              <v:shape id="文本框 13" o:spid="_x0000_s1026" o:spt="202" type="#_x0000_t202" style="position:absolute;left:0pt;margin-left:-46.2pt;margin-top:12pt;height:201.75pt;width:133.5pt;z-index:251660288;mso-width-relative:page;mso-height-relative:page;" filled="f" stroked="f" coordsize="21600,21600" o:gfxdata="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hBeYR3AAAAAoBAAAPAAAAAAAA&#10;AAEAIAAAACIAAABkcnMvZG93bnJldi54bWxQSwECFAAUAAAACACHTuJAwXwjhJwBAAANAwAADgAA&#10;AAAAAAABACAAAAArAQAAZHJzL2Uyb0RvYy54bWxQSwUGAAAAAAYABgBZAQAAOQUAAAAA&#10;">
                <v:fill on="f" focussize="0,0"/>
                <v:stroke on="f" weight="1.25pt"/>
                <v:imagedata o:title=""/>
                <o:lock v:ext="edit" aspectratio="f"/>
                <v:textbox>
                  <w:txbxContent>
                    <w:p/>
                    <w:p/>
                    <w:p/>
                    <w:p>
                      <w:pPr>
                        <w:rPr>
                          <w:b/>
                          <w:sz w:val="32"/>
                          <w:szCs w:val="32"/>
                        </w:rPr>
                      </w:pPr>
                      <w:r>
                        <w:rPr>
                          <w:rFonts w:hint="eastAsia"/>
                          <w:b/>
                          <w:sz w:val="32"/>
                          <w:szCs w:val="32"/>
                        </w:rPr>
                        <w:t>总  编  朱卫东副总编  李厚佳  责任编</w:t>
                      </w:r>
                      <w:r>
                        <w:rPr>
                          <w:rFonts w:hint="eastAsia"/>
                          <w:b/>
                          <w:spacing w:val="22"/>
                          <w:sz w:val="32"/>
                          <w:szCs w:val="32"/>
                        </w:rPr>
                        <w:t>辑彭</w:t>
                      </w:r>
                      <w:r>
                        <w:rPr>
                          <w:rFonts w:hint="eastAsia"/>
                          <w:b/>
                          <w:sz w:val="32"/>
                          <w:szCs w:val="32"/>
                        </w:rPr>
                        <w:t>宇飞</w:t>
                      </w:r>
                    </w:p>
                  </w:txbxContent>
                </v:textbox>
              </v:shape>
            </w:pict>
          </mc:Fallback>
        </mc:AlternateConten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mc:AlternateContent>
          <mc:Choice Requires="wps">
            <w:drawing>
              <wp:anchor distT="0" distB="0" distL="114300" distR="114300" simplePos="0" relativeHeight="251657216" behindDoc="0" locked="0" layoutInCell="1" allowOverlap="1">
                <wp:simplePos x="0" y="0"/>
                <wp:positionH relativeFrom="column">
                  <wp:posOffset>-857250</wp:posOffset>
                </wp:positionH>
                <wp:positionV relativeFrom="paragraph">
                  <wp:posOffset>488950</wp:posOffset>
                </wp:positionV>
                <wp:extent cx="6781800" cy="635"/>
                <wp:effectExtent l="0" t="19050" r="0" b="37465"/>
                <wp:wrapNone/>
                <wp:docPr id="44" name="Straight Connector 4"/>
                <wp:cNvGraphicFramePr/>
                <a:graphic xmlns:a="http://schemas.openxmlformats.org/drawingml/2006/main">
                  <a:graphicData uri="http://schemas.microsoft.com/office/word/2010/wordprocessingShape">
                    <wps:wsp>
                      <wps:cNvCnPr/>
                      <wps:spPr>
                        <a:xfrm>
                          <a:off x="0" y="0"/>
                          <a:ext cx="6781800" cy="635"/>
                        </a:xfrm>
                        <a:prstGeom prst="straightConnector1">
                          <a:avLst/>
                        </a:prstGeom>
                        <a:ln w="38100" cap="flat" cmpd="sng">
                          <a:solidFill>
                            <a:srgbClr val="548DD4"/>
                          </a:solidFill>
                          <a:prstDash val="solid"/>
                          <a:headEnd type="none" w="med" len="med"/>
                          <a:tailEnd type="none" w="med" len="med"/>
                        </a:ln>
                      </wps:spPr>
                      <wps:bodyPr/>
                    </wps:wsp>
                  </a:graphicData>
                </a:graphic>
              </wp:anchor>
            </w:drawing>
          </mc:Choice>
          <mc:Fallback>
            <w:pict>
              <v:shape id="Straight Connector 4" o:spid="_x0000_s1026" o:spt="32" type="#_x0000_t32" style="position:absolute;left:0pt;margin-left:-67.5pt;margin-top:38.5pt;height:0.05pt;width:534pt;z-index:251657216;mso-width-relative:page;mso-height-relative:page;" filled="f" stroked="t" coordsize="21600,21600" o:gfxdata="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IbLUXNgAAAAKAQAADwAAAAAAAAABACAAAAAiAAAAZHJz&#10;L2Rvd25yZXYueG1sUEsBAhQAFAAAAAgAh07iQNHchErLAQAAnwMAAA4AAAAAAAAAAQAgAAAAJwEA&#10;AGRycy9lMm9Eb2MueG1sUEsFBgAAAAAGAAYAWQEAAGQFAAAAAA==&#10;">
                <v:fill on="f" focussize="0,0"/>
                <v:stroke weight="3pt" color="#548DD4" joinstyle="round"/>
                <v:imagedata o:title=""/>
                <o:lock v:ext="edit" aspectratio="f"/>
              </v:shape>
            </w:pict>
          </mc:Fallback>
        </mc:AlternateContent>
      </w:r>
      <w:r>
        <w:rPr>
          <w:rFonts w:hint="eastAsia"/>
        </w:rPr>
        <w:t xml:space="preserve">                               </w:t>
      </w:r>
    </w:p>
    <w:tbl>
      <w:tblPr>
        <w:tblStyle w:val="10"/>
        <w:tblW w:w="9073"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6"/>
        <w:gridCol w:w="2341"/>
        <w:gridCol w:w="2049"/>
        <w:gridCol w:w="24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2127" w:type="dxa"/>
            <w:vAlign w:val="center"/>
          </w:tcPr>
          <w:p>
            <w:pPr>
              <w:tabs>
                <w:tab w:val="left" w:pos="7088"/>
              </w:tabs>
              <w:jc w:val="center"/>
              <w:rPr>
                <w:b/>
                <w:sz w:val="30"/>
                <w:szCs w:val="30"/>
              </w:rPr>
            </w:pPr>
            <w:r>
              <w:rPr>
                <w:rFonts w:hint="eastAsia"/>
                <w:b/>
                <w:sz w:val="30"/>
                <w:szCs w:val="30"/>
              </w:rPr>
              <w:t>信息01</w:t>
            </w:r>
          </w:p>
        </w:tc>
        <w:tc>
          <w:tcPr>
            <w:tcW w:w="6662" w:type="dxa"/>
            <w:gridSpan w:val="3"/>
            <w:vAlign w:val="center"/>
          </w:tcPr>
          <w:p>
            <w:pPr>
              <w:rPr>
                <w:b/>
                <w:sz w:val="32"/>
                <w:szCs w:val="32"/>
              </w:rPr>
            </w:pPr>
            <w:r>
              <w:rPr>
                <w:rFonts w:hint="eastAsia"/>
                <w:b/>
                <w:sz w:val="32"/>
                <w:szCs w:val="32"/>
              </w:rPr>
              <w:t>医保目录调整正式方案出炉！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2127" w:type="dxa"/>
            <w:vAlign w:val="center"/>
          </w:tcPr>
          <w:p>
            <w:pPr>
              <w:tabs>
                <w:tab w:val="left" w:pos="7088"/>
              </w:tabs>
              <w:jc w:val="center"/>
            </w:pPr>
            <w:r>
              <w:rPr>
                <w:rFonts w:hint="eastAsia"/>
                <w:b/>
                <w:sz w:val="30"/>
                <w:szCs w:val="30"/>
              </w:rPr>
              <w:t>发布</w:t>
            </w:r>
            <w:r>
              <w:rPr>
                <w:b/>
                <w:sz w:val="30"/>
                <w:szCs w:val="30"/>
              </w:rPr>
              <w:t>时间</w:t>
            </w:r>
          </w:p>
        </w:tc>
        <w:tc>
          <w:tcPr>
            <w:tcW w:w="2268" w:type="dxa"/>
            <w:vAlign w:val="center"/>
          </w:tcPr>
          <w:p>
            <w:pPr>
              <w:tabs>
                <w:tab w:val="left" w:pos="7088"/>
              </w:tabs>
              <w:ind w:firstLine="280" w:firstLineChars="100"/>
              <w:rPr>
                <w:rFonts w:asciiTheme="minorEastAsia" w:hAnsiTheme="minorEastAsia" w:eastAsiaTheme="minorEastAsia"/>
                <w:sz w:val="28"/>
                <w:szCs w:val="28"/>
              </w:rPr>
            </w:pPr>
            <w:r>
              <w:rPr>
                <w:rFonts w:hint="eastAsia" w:asciiTheme="minorEastAsia" w:hAnsiTheme="minorEastAsia" w:eastAsiaTheme="minorEastAsia"/>
                <w:sz w:val="28"/>
                <w:szCs w:val="28"/>
              </w:rPr>
              <w:t>2020-08-19</w:t>
            </w:r>
          </w:p>
        </w:tc>
        <w:tc>
          <w:tcPr>
            <w:tcW w:w="1985" w:type="dxa"/>
            <w:vAlign w:val="center"/>
          </w:tcPr>
          <w:p>
            <w:pPr>
              <w:tabs>
                <w:tab w:val="left" w:pos="7088"/>
              </w:tabs>
              <w:jc w:val="center"/>
              <w:rPr>
                <w:b/>
                <w:sz w:val="28"/>
                <w:szCs w:val="28"/>
              </w:rPr>
            </w:pPr>
            <w:r>
              <w:rPr>
                <w:rFonts w:hint="eastAsia"/>
                <w:b/>
                <w:sz w:val="30"/>
                <w:szCs w:val="30"/>
              </w:rPr>
              <w:t>信息来源</w:t>
            </w:r>
          </w:p>
        </w:tc>
        <w:tc>
          <w:tcPr>
            <w:tcW w:w="2409" w:type="dxa"/>
            <w:vAlign w:val="center"/>
          </w:tcPr>
          <w:p>
            <w:pPr>
              <w:tabs>
                <w:tab w:val="left" w:pos="7088"/>
              </w:tabs>
              <w:jc w:val="center"/>
              <w:rPr>
                <w:rFonts w:asciiTheme="minorEastAsia" w:hAnsiTheme="minorEastAsia" w:eastAsiaTheme="minorEastAsia"/>
                <w:sz w:val="28"/>
                <w:szCs w:val="28"/>
              </w:rPr>
            </w:pPr>
            <w:r>
              <w:fldChar w:fldCharType="begin"/>
            </w:r>
            <w:r>
              <w:instrText xml:space="preserve"> HYPERLINK "javascript:void(0);" </w:instrText>
            </w:r>
            <w:r>
              <w:fldChar w:fldCharType="separate"/>
            </w:r>
            <w:r>
              <w:rPr>
                <w:rFonts w:hint="eastAsia"/>
                <w:sz w:val="28"/>
                <w:szCs w:val="28"/>
              </w:rPr>
              <w:t>中国药店</w:t>
            </w:r>
            <w:r>
              <w:rPr>
                <w:rFonts w:hint="eastAsia"/>
                <w:sz w:val="28"/>
                <w:szCs w:val="28"/>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0" w:hRule="atLeast"/>
        </w:trPr>
        <w:tc>
          <w:tcPr>
            <w:tcW w:w="2127"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268" w:type="dxa"/>
            <w:vAlign w:val="center"/>
          </w:tcPr>
          <w:p>
            <w:pPr>
              <w:tabs>
                <w:tab w:val="left" w:pos="7088"/>
              </w:tabs>
              <w:jc w:val="center"/>
              <w:rPr>
                <w:sz w:val="28"/>
                <w:szCs w:val="28"/>
              </w:rPr>
            </w:pPr>
            <w:r>
              <w:rPr>
                <w:rFonts w:hint="eastAsia"/>
                <w:sz w:val="28"/>
                <w:szCs w:val="28"/>
              </w:rPr>
              <w:t>运营管理部</w:t>
            </w:r>
          </w:p>
        </w:tc>
        <w:tc>
          <w:tcPr>
            <w:tcW w:w="1985" w:type="dxa"/>
            <w:vAlign w:val="center"/>
          </w:tcPr>
          <w:p>
            <w:pPr>
              <w:tabs>
                <w:tab w:val="left" w:pos="7088"/>
              </w:tabs>
              <w:jc w:val="center"/>
              <w:rPr>
                <w:b/>
                <w:sz w:val="28"/>
                <w:szCs w:val="28"/>
              </w:rPr>
            </w:pPr>
            <w:r>
              <w:rPr>
                <w:rFonts w:hint="eastAsia"/>
                <w:b/>
                <w:sz w:val="30"/>
                <w:szCs w:val="30"/>
              </w:rPr>
              <w:t>信息确认</w:t>
            </w:r>
          </w:p>
        </w:tc>
        <w:tc>
          <w:tcPr>
            <w:tcW w:w="2409" w:type="dxa"/>
            <w:vAlign w:val="center"/>
          </w:tcPr>
          <w:p>
            <w:pPr>
              <w:tabs>
                <w:tab w:val="left" w:pos="7088"/>
              </w:tabs>
              <w:jc w:val="center"/>
              <w:rPr>
                <w:sz w:val="28"/>
                <w:szCs w:val="28"/>
              </w:rPr>
            </w:pPr>
            <w:r>
              <w:rPr>
                <w:rFonts w:hint="eastAsia"/>
                <w:sz w:val="28"/>
                <w:szCs w:val="28"/>
              </w:rPr>
              <w:t>彭宇飞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0" w:hRule="atLeast"/>
        </w:trPr>
        <w:tc>
          <w:tcPr>
            <w:tcW w:w="2127" w:type="dxa"/>
            <w:tcBorders>
              <w:bottom w:val="single" w:color="auto" w:sz="4" w:space="0"/>
            </w:tcBorders>
            <w:vAlign w:val="center"/>
          </w:tcPr>
          <w:p>
            <w:pPr>
              <w:tabs>
                <w:tab w:val="left" w:pos="7088"/>
              </w:tabs>
              <w:ind w:firstLine="301" w:firstLineChars="100"/>
              <w:rPr>
                <w:b/>
                <w:sz w:val="30"/>
                <w:szCs w:val="30"/>
              </w:rPr>
            </w:pPr>
            <w:r>
              <w:rPr>
                <w:rFonts w:hint="eastAsia"/>
                <w:b/>
                <w:sz w:val="30"/>
                <w:szCs w:val="30"/>
              </w:rPr>
              <w:t>确认</w:t>
            </w:r>
            <w:r>
              <w:rPr>
                <w:b/>
                <w:sz w:val="30"/>
                <w:szCs w:val="30"/>
              </w:rPr>
              <w:t>结果</w:t>
            </w:r>
          </w:p>
        </w:tc>
        <w:tc>
          <w:tcPr>
            <w:tcW w:w="6662" w:type="dxa"/>
            <w:gridSpan w:val="3"/>
            <w:tcBorders>
              <w:bottom w:val="single" w:color="auto" w:sz="4" w:space="0"/>
            </w:tcBorders>
            <w:vAlign w:val="center"/>
          </w:tcPr>
          <w:p>
            <w:pPr>
              <w:tabs>
                <w:tab w:val="left" w:pos="7088"/>
              </w:tabs>
              <w:jc w:val="left"/>
              <w:rPr>
                <w:sz w:val="28"/>
                <w:szCs w:val="28"/>
              </w:rPr>
            </w:pPr>
            <w:r>
              <w:rPr>
                <w:rFonts w:hint="eastAsia" w:asciiTheme="minorEastAsia" w:hAnsiTheme="minorEastAsia" w:eastAsiaTheme="minorEastAsia"/>
                <w:sz w:val="28"/>
                <w:szCs w:val="28"/>
              </w:rPr>
              <w:t>来源：</w:t>
            </w:r>
            <w:r>
              <w:fldChar w:fldCharType="begin"/>
            </w:r>
            <w:r>
              <w:instrText xml:space="preserve"> HYPERLINK "javascript:void(0);" </w:instrText>
            </w:r>
            <w:r>
              <w:fldChar w:fldCharType="separate"/>
            </w:r>
            <w:r>
              <w:rPr>
                <w:rFonts w:hint="eastAsia"/>
                <w:sz w:val="28"/>
                <w:szCs w:val="28"/>
              </w:rPr>
              <w:t>中国药店</w:t>
            </w:r>
            <w:r>
              <w:rPr>
                <w:rFonts w:hint="eastAsia"/>
                <w:sz w:val="28"/>
                <w:szCs w:val="28"/>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7" w:hRule="atLeast"/>
        </w:trPr>
        <w:tc>
          <w:tcPr>
            <w:tcW w:w="2127" w:type="dxa"/>
            <w:tcBorders>
              <w:top w:val="single" w:color="auto" w:sz="4" w:space="0"/>
            </w:tcBorders>
            <w:vAlign w:val="center"/>
          </w:tcPr>
          <w:p>
            <w:pPr>
              <w:tabs>
                <w:tab w:val="left" w:pos="7088"/>
              </w:tabs>
              <w:jc w:val="center"/>
              <w:rPr>
                <w:b/>
                <w:sz w:val="30"/>
                <w:szCs w:val="30"/>
              </w:rPr>
            </w:pPr>
            <w:r>
              <w:rPr>
                <w:rFonts w:hint="eastAsia"/>
                <w:b/>
                <w:sz w:val="30"/>
                <w:szCs w:val="30"/>
              </w:rPr>
              <w:t>关键词</w:t>
            </w:r>
          </w:p>
        </w:tc>
        <w:tc>
          <w:tcPr>
            <w:tcW w:w="6662" w:type="dxa"/>
            <w:gridSpan w:val="3"/>
            <w:tcBorders>
              <w:top w:val="single" w:color="auto" w:sz="4" w:space="0"/>
            </w:tcBorders>
            <w:vAlign w:val="center"/>
          </w:tcPr>
          <w:p>
            <w:pPr>
              <w:tabs>
                <w:tab w:val="left" w:pos="7088"/>
              </w:tabs>
              <w:jc w:val="left"/>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 xml:space="preserve">医保目录  </w:t>
            </w:r>
            <w:r>
              <w:rPr>
                <w:rFonts w:hint="eastAsia" w:asciiTheme="minorEastAsia" w:hAnsiTheme="minorEastAsia"/>
                <w:sz w:val="28"/>
                <w:szCs w:val="28"/>
                <w:shd w:val="clear" w:color="auto" w:fill="FFFFFF"/>
              </w:rPr>
              <w:t>调整</w:t>
            </w:r>
            <w:r>
              <w:rPr>
                <w:rFonts w:hint="eastAsia" w:cs="宋体" w:asciiTheme="minorEastAsia" w:hAnsiTheme="minorEastAsia" w:eastAsiaTheme="minorEastAsia"/>
                <w:kern w:val="0"/>
                <w:sz w:val="28"/>
                <w:szCs w:val="28"/>
              </w:rPr>
              <w:t xml:space="preserve">  范围</w:t>
            </w:r>
            <w:r>
              <w:rPr>
                <w:rFonts w:hint="eastAsia" w:asciiTheme="minorEastAsia" w:hAnsiTheme="minorEastAsia"/>
                <w:sz w:val="28"/>
                <w:szCs w:val="28"/>
                <w:shd w:val="clear" w:color="auto" w:fill="FFFFFF"/>
              </w:rPr>
              <w:t xml:space="preserve">  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6" w:hRule="atLeast"/>
        </w:trPr>
        <w:tc>
          <w:tcPr>
            <w:tcW w:w="2127" w:type="dxa"/>
            <w:vAlign w:val="center"/>
          </w:tcPr>
          <w:p>
            <w:pPr>
              <w:tabs>
                <w:tab w:val="left" w:pos="7088"/>
              </w:tabs>
              <w:jc w:val="center"/>
              <w:rPr>
                <w:b/>
                <w:sz w:val="30"/>
                <w:szCs w:val="30"/>
              </w:rPr>
            </w:pPr>
            <w:r>
              <w:rPr>
                <w:b/>
                <w:sz w:val="30"/>
                <w:szCs w:val="30"/>
              </w:rPr>
              <w:t>内容概要</w:t>
            </w:r>
          </w:p>
        </w:tc>
        <w:tc>
          <w:tcPr>
            <w:tcW w:w="6662" w:type="dxa"/>
            <w:gridSpan w:val="3"/>
          </w:tcPr>
          <w:p>
            <w:pPr>
              <w:rPr>
                <w:rFonts w:asciiTheme="minorEastAsia" w:hAnsiTheme="minorEastAsia" w:eastAsiaTheme="minorEastAsia"/>
                <w:sz w:val="28"/>
                <w:szCs w:val="28"/>
              </w:rPr>
            </w:pPr>
          </w:p>
          <w:p>
            <w:pPr>
              <w:ind w:firstLine="560" w:firstLineChars="200"/>
              <w:rPr>
                <w:rFonts w:asciiTheme="minorEastAsia" w:hAnsiTheme="minorEastAsia" w:eastAsiaTheme="minorEastAsia"/>
                <w:sz w:val="28"/>
                <w:szCs w:val="28"/>
              </w:rPr>
            </w:pPr>
            <w:r>
              <w:rPr>
                <w:rFonts w:asciiTheme="minorEastAsia" w:hAnsiTheme="minorEastAsia"/>
                <w:sz w:val="28"/>
                <w:szCs w:val="28"/>
                <w:shd w:val="clear" w:color="auto" w:fill="FFFFFF"/>
              </w:rPr>
              <w:t>国家医保局发布《2020年国家医保药品目录调整工作方案》（以下简称“工作方案”）和《2020年国家医保药品目录调整申报指南以下简称“申报指南”》的公告，公布了新一轮医保目录调整的最终方案。</w:t>
            </w:r>
          </w:p>
          <w:p>
            <w:pPr>
              <w:widowControl/>
              <w:shd w:val="clear" w:color="auto" w:fill="FFFFFF"/>
              <w:ind w:firstLine="560" w:firstLineChars="200"/>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1、</w:t>
            </w:r>
            <w:r>
              <w:rPr>
                <w:rFonts w:asciiTheme="minorEastAsia" w:hAnsiTheme="minorEastAsia"/>
                <w:sz w:val="28"/>
                <w:szCs w:val="28"/>
                <w:shd w:val="clear" w:color="auto" w:fill="FFFFFF"/>
              </w:rPr>
              <w:t>七类药拟纳入新增药品范围</w:t>
            </w:r>
            <w:r>
              <w:rPr>
                <w:rFonts w:hint="eastAsia" w:asciiTheme="minorEastAsia" w:hAnsiTheme="minorEastAsia"/>
                <w:sz w:val="28"/>
                <w:szCs w:val="28"/>
                <w:shd w:val="clear" w:color="auto" w:fill="FFFFFF"/>
              </w:rPr>
              <w:t>；</w:t>
            </w:r>
          </w:p>
          <w:p>
            <w:pPr>
              <w:ind w:firstLine="560" w:firstLineChars="200"/>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2、</w:t>
            </w:r>
            <w:r>
              <w:rPr>
                <w:rFonts w:asciiTheme="minorEastAsia" w:hAnsiTheme="minorEastAsia"/>
                <w:sz w:val="28"/>
                <w:szCs w:val="28"/>
                <w:shd w:val="clear" w:color="auto" w:fill="FFFFFF"/>
              </w:rPr>
              <w:t>两类药品将被调出目录药品的范围</w:t>
            </w:r>
            <w:r>
              <w:rPr>
                <w:rFonts w:hint="eastAsia" w:asciiTheme="minorEastAsia" w:hAnsiTheme="minorEastAsia"/>
                <w:sz w:val="28"/>
                <w:szCs w:val="28"/>
                <w:shd w:val="clear" w:color="auto" w:fill="FFFFFF"/>
              </w:rPr>
              <w:t>；</w:t>
            </w:r>
          </w:p>
          <w:p>
            <w:pPr>
              <w:ind w:firstLine="560" w:firstLineChars="200"/>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3、</w:t>
            </w:r>
            <w:r>
              <w:rPr>
                <w:rFonts w:asciiTheme="minorEastAsia" w:hAnsiTheme="minorEastAsia"/>
                <w:sz w:val="28"/>
                <w:szCs w:val="28"/>
                <w:shd w:val="clear" w:color="auto" w:fill="FFFFFF"/>
              </w:rPr>
              <w:t>三类药调整支付范围</w:t>
            </w:r>
            <w:r>
              <w:rPr>
                <w:rFonts w:hint="eastAsia" w:asciiTheme="minorEastAsia" w:hAnsiTheme="minorEastAsia"/>
                <w:sz w:val="28"/>
                <w:szCs w:val="28"/>
                <w:shd w:val="clear" w:color="auto" w:fill="FFFFFF"/>
              </w:rPr>
              <w:t>。</w:t>
            </w:r>
          </w:p>
          <w:p>
            <w:pPr>
              <w:rPr>
                <w:rFonts w:asciiTheme="minorEastAsia" w:hAnsiTheme="minorEastAsia" w:eastAsiaTheme="minorEastAsia"/>
                <w:sz w:val="28"/>
                <w:szCs w:val="28"/>
              </w:rPr>
            </w:pPr>
          </w:p>
          <w:p>
            <w:pPr>
              <w:rPr>
                <w:rFonts w:asciiTheme="minorEastAsia" w:hAnsiTheme="minorEastAsia" w:eastAsiaTheme="minorEastAsia"/>
                <w:sz w:val="28"/>
                <w:szCs w:val="28"/>
              </w:rPr>
            </w:pPr>
          </w:p>
          <w:p>
            <w:pPr>
              <w:rPr>
                <w:rFonts w:asciiTheme="minorEastAsia" w:hAnsiTheme="minorEastAsia" w:eastAsiaTheme="minorEastAsia"/>
                <w:sz w:val="28"/>
                <w:szCs w:val="28"/>
              </w:rPr>
            </w:pPr>
          </w:p>
          <w:p>
            <w:pPr>
              <w:rPr>
                <w:rFonts w:asciiTheme="minorEastAsia" w:hAnsiTheme="minorEastAsia" w:eastAsiaTheme="minorEastAsia"/>
                <w:sz w:val="28"/>
                <w:szCs w:val="28"/>
              </w:rPr>
            </w:pPr>
          </w:p>
          <w:p>
            <w:pPr>
              <w:rPr>
                <w:rFonts w:asciiTheme="minorEastAsia" w:hAnsiTheme="minorEastAsia" w:eastAsiaTheme="minorEastAsia"/>
                <w:sz w:val="28"/>
                <w:szCs w:val="28"/>
              </w:rPr>
            </w:pPr>
          </w:p>
          <w:p>
            <w:pPr>
              <w:rPr>
                <w:rFonts w:asciiTheme="minorEastAsia" w:hAnsiTheme="minorEastAsia" w:eastAsiaTheme="minorEastAsia"/>
                <w:sz w:val="28"/>
                <w:szCs w:val="28"/>
              </w:rPr>
            </w:pPr>
          </w:p>
          <w:p>
            <w:pPr>
              <w:widowControl/>
              <w:shd w:val="clear" w:color="auto" w:fill="FFFFFF"/>
              <w:spacing w:after="190"/>
              <w:outlineLvl w:val="1"/>
              <w:rPr>
                <w:rFonts w:asciiTheme="minorEastAsia" w:hAnsiTheme="minorEastAsia" w:eastAsiaTheme="minorEastAsia"/>
                <w:sz w:val="28"/>
                <w:szCs w:val="28"/>
              </w:rPr>
            </w:pPr>
            <w:r>
              <w:rPr>
                <w:rFonts w:hint="eastAsia"/>
              </w:rPr>
              <w:t>附件1:</w:t>
            </w:r>
            <w:r>
              <w:rPr>
                <w:rFonts w:hint="eastAsia" w:ascii="微软雅黑" w:hAnsi="微软雅黑" w:eastAsia="微软雅黑" w:cs="宋体"/>
                <w:color w:val="333333"/>
                <w:spacing w:val="8"/>
                <w:kern w:val="0"/>
                <w:sz w:val="33"/>
                <w:szCs w:val="33"/>
              </w:rPr>
              <w:t xml:space="preserve"> </w:t>
            </w:r>
            <w:r>
              <w:rPr>
                <w:rFonts w:hint="eastAsia"/>
              </w:rPr>
              <w:t>医保目录调整正式方案出炉！</w:t>
            </w:r>
          </w:p>
        </w:tc>
      </w:tr>
    </w:tbl>
    <w:p>
      <w:pPr>
        <w:tabs>
          <w:tab w:val="left" w:pos="5245"/>
        </w:tabs>
      </w:pPr>
      <w:r>
        <w:rPr>
          <w:rFonts w:hint="eastAsia"/>
        </w:rPr>
        <w:t xml:space="preserve"> </w:t>
      </w:r>
    </w:p>
    <w:tbl>
      <w:tblPr>
        <w:tblStyle w:val="10"/>
        <w:tblW w:w="9073"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7"/>
        <w:gridCol w:w="2268"/>
        <w:gridCol w:w="142"/>
        <w:gridCol w:w="1843"/>
        <w:gridCol w:w="2409"/>
        <w:gridCol w:w="2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27" w:type="dxa"/>
            <w:vAlign w:val="center"/>
          </w:tcPr>
          <w:p>
            <w:pPr>
              <w:tabs>
                <w:tab w:val="left" w:pos="5245"/>
              </w:tabs>
              <w:jc w:val="center"/>
              <w:rPr>
                <w:b/>
                <w:sz w:val="30"/>
                <w:szCs w:val="30"/>
              </w:rPr>
            </w:pPr>
            <w:r>
              <w:rPr>
                <w:rFonts w:hint="eastAsia"/>
                <w:b/>
                <w:sz w:val="30"/>
                <w:szCs w:val="30"/>
              </w:rPr>
              <w:t>信息02</w:t>
            </w:r>
          </w:p>
        </w:tc>
        <w:tc>
          <w:tcPr>
            <w:tcW w:w="6946" w:type="dxa"/>
            <w:gridSpan w:val="5"/>
            <w:vAlign w:val="center"/>
          </w:tcPr>
          <w:p>
            <w:pPr>
              <w:rPr>
                <w:rFonts w:asciiTheme="minorEastAsia" w:hAnsiTheme="minorEastAsia" w:eastAsiaTheme="minorEastAsia"/>
                <w:b/>
                <w:sz w:val="32"/>
                <w:szCs w:val="32"/>
              </w:rPr>
            </w:pPr>
            <w:r>
              <w:rPr>
                <w:rFonts w:hint="eastAsia"/>
                <w:b/>
                <w:sz w:val="32"/>
                <w:szCs w:val="32"/>
              </w:rPr>
              <w:t>2019-2020中国药品零售企业综合竞争力排行榜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27" w:type="dxa"/>
            <w:vAlign w:val="center"/>
          </w:tcPr>
          <w:p>
            <w:pPr>
              <w:tabs>
                <w:tab w:val="left" w:pos="5245"/>
              </w:tabs>
              <w:jc w:val="center"/>
            </w:pPr>
            <w:r>
              <w:rPr>
                <w:rFonts w:hint="eastAsia"/>
                <w:b/>
                <w:sz w:val="30"/>
                <w:szCs w:val="30"/>
              </w:rPr>
              <w:t>发布</w:t>
            </w:r>
            <w:r>
              <w:rPr>
                <w:b/>
                <w:sz w:val="30"/>
                <w:szCs w:val="30"/>
              </w:rPr>
              <w:t>时间</w:t>
            </w:r>
          </w:p>
        </w:tc>
        <w:tc>
          <w:tcPr>
            <w:tcW w:w="2410" w:type="dxa"/>
            <w:gridSpan w:val="2"/>
            <w:vAlign w:val="center"/>
          </w:tcPr>
          <w:p>
            <w:pPr>
              <w:widowControl/>
              <w:spacing w:line="300" w:lineRule="atLeast"/>
              <w:ind w:firstLine="280" w:firstLineChars="100"/>
              <w:jc w:val="left"/>
              <w:rPr>
                <w:rFonts w:asciiTheme="minorEastAsia" w:hAnsiTheme="minorEastAsia" w:eastAsiaTheme="minorEastAsia"/>
                <w:sz w:val="28"/>
                <w:szCs w:val="28"/>
              </w:rPr>
            </w:pPr>
            <w:r>
              <w:rPr>
                <w:rFonts w:hint="eastAsia" w:cs="Helvetica" w:asciiTheme="minorEastAsia" w:hAnsiTheme="minorEastAsia" w:eastAsiaTheme="minorEastAsia"/>
                <w:kern w:val="0"/>
                <w:sz w:val="28"/>
                <w:szCs w:val="28"/>
              </w:rPr>
              <w:t>2020-08-16</w:t>
            </w:r>
          </w:p>
        </w:tc>
        <w:tc>
          <w:tcPr>
            <w:tcW w:w="1843" w:type="dxa"/>
            <w:vAlign w:val="center"/>
          </w:tcPr>
          <w:p>
            <w:pPr>
              <w:jc w:val="center"/>
              <w:rPr>
                <w:b/>
                <w:sz w:val="30"/>
                <w:szCs w:val="30"/>
              </w:rPr>
            </w:pPr>
            <w:r>
              <w:rPr>
                <w:rFonts w:hint="eastAsia"/>
                <w:b/>
                <w:sz w:val="30"/>
                <w:szCs w:val="30"/>
              </w:rPr>
              <w:t>信息来源</w:t>
            </w:r>
          </w:p>
        </w:tc>
        <w:tc>
          <w:tcPr>
            <w:tcW w:w="2693" w:type="dxa"/>
            <w:gridSpan w:val="2"/>
            <w:vAlign w:val="center"/>
          </w:tcPr>
          <w:p>
            <w:pPr>
              <w:jc w:val="center"/>
              <w:rPr>
                <w:sz w:val="28"/>
                <w:szCs w:val="28"/>
              </w:rPr>
            </w:pPr>
            <w:r>
              <w:rPr>
                <w:rFonts w:hint="eastAsia"/>
                <w:sz w:val="28"/>
                <w:szCs w:val="28"/>
              </w:rPr>
              <w:t>第一药店财智 </w:t>
            </w:r>
          </w:p>
          <w:p>
            <w:pPr>
              <w:jc w:val="center"/>
              <w:rPr>
                <w:rFonts w:ascii="Helvetica" w:hAnsi="Helvetica" w:cs="Helvetica"/>
                <w:kern w:val="0"/>
                <w:sz w:val="28"/>
                <w:szCs w:val="28"/>
              </w:rPr>
            </w:pPr>
            <w:r>
              <w:fldChar w:fldCharType="begin"/>
            </w:r>
            <w:r>
              <w:instrText xml:space="preserve"> HYPERLINK "javascript:void(0);" </w:instrText>
            </w:r>
            <w:r>
              <w:fldChar w:fldCharType="separate"/>
            </w:r>
            <w:r>
              <w:rPr>
                <w:rFonts w:hint="eastAsia"/>
                <w:sz w:val="28"/>
                <w:szCs w:val="28"/>
              </w:rPr>
              <w:t>谷丰观点</w:t>
            </w:r>
            <w:r>
              <w:rPr>
                <w:rFonts w:hint="eastAsia"/>
                <w:sz w:val="28"/>
                <w:szCs w:val="28"/>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27" w:type="dxa"/>
            <w:vAlign w:val="center"/>
          </w:tcPr>
          <w:p>
            <w:pPr>
              <w:tabs>
                <w:tab w:val="left" w:pos="5245"/>
              </w:tabs>
              <w:jc w:val="center"/>
              <w:rPr>
                <w:b/>
                <w:sz w:val="30"/>
                <w:szCs w:val="30"/>
              </w:rPr>
            </w:pPr>
            <w:r>
              <w:rPr>
                <w:rFonts w:hint="eastAsia"/>
                <w:b/>
                <w:sz w:val="30"/>
                <w:szCs w:val="30"/>
              </w:rPr>
              <w:t>信息</w:t>
            </w:r>
            <w:r>
              <w:rPr>
                <w:b/>
                <w:sz w:val="30"/>
                <w:szCs w:val="30"/>
              </w:rPr>
              <w:t>提供</w:t>
            </w:r>
          </w:p>
        </w:tc>
        <w:tc>
          <w:tcPr>
            <w:tcW w:w="2410" w:type="dxa"/>
            <w:gridSpan w:val="2"/>
            <w:vAlign w:val="center"/>
          </w:tcPr>
          <w:p>
            <w:pPr>
              <w:jc w:val="center"/>
              <w:rPr>
                <w:sz w:val="28"/>
                <w:szCs w:val="28"/>
              </w:rPr>
            </w:pPr>
            <w:r>
              <w:rPr>
                <w:rFonts w:hint="eastAsia"/>
                <w:sz w:val="28"/>
                <w:szCs w:val="28"/>
              </w:rPr>
              <w:t>运营管理部</w:t>
            </w:r>
          </w:p>
        </w:tc>
        <w:tc>
          <w:tcPr>
            <w:tcW w:w="1843" w:type="dxa"/>
            <w:vAlign w:val="center"/>
          </w:tcPr>
          <w:p>
            <w:pPr>
              <w:jc w:val="center"/>
              <w:rPr>
                <w:b/>
                <w:sz w:val="28"/>
                <w:szCs w:val="28"/>
              </w:rPr>
            </w:pPr>
            <w:r>
              <w:rPr>
                <w:rFonts w:hint="eastAsia"/>
                <w:b/>
                <w:sz w:val="30"/>
                <w:szCs w:val="30"/>
              </w:rPr>
              <w:t>信息确认</w:t>
            </w:r>
          </w:p>
        </w:tc>
        <w:tc>
          <w:tcPr>
            <w:tcW w:w="2693" w:type="dxa"/>
            <w:gridSpan w:val="2"/>
            <w:vAlign w:val="center"/>
          </w:tcPr>
          <w:p>
            <w:pPr>
              <w:jc w:val="center"/>
              <w:rPr>
                <w:sz w:val="28"/>
                <w:szCs w:val="28"/>
              </w:rPr>
            </w:pPr>
            <w:r>
              <w:rPr>
                <w:rFonts w:hint="eastAsia"/>
                <w:sz w:val="28"/>
                <w:szCs w:val="28"/>
              </w:rPr>
              <w:t>彭宇飞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9" w:hRule="atLeast"/>
        </w:trPr>
        <w:tc>
          <w:tcPr>
            <w:tcW w:w="2127" w:type="dxa"/>
            <w:vAlign w:val="center"/>
          </w:tcPr>
          <w:p>
            <w:pPr>
              <w:tabs>
                <w:tab w:val="left" w:pos="5245"/>
              </w:tabs>
              <w:jc w:val="center"/>
              <w:rPr>
                <w:b/>
                <w:sz w:val="30"/>
                <w:szCs w:val="30"/>
              </w:rPr>
            </w:pPr>
            <w:r>
              <w:rPr>
                <w:rFonts w:hint="eastAsia"/>
                <w:b/>
                <w:sz w:val="30"/>
                <w:szCs w:val="30"/>
              </w:rPr>
              <w:t>确认</w:t>
            </w:r>
            <w:r>
              <w:rPr>
                <w:b/>
                <w:sz w:val="30"/>
                <w:szCs w:val="30"/>
              </w:rPr>
              <w:t>结果</w:t>
            </w:r>
          </w:p>
        </w:tc>
        <w:tc>
          <w:tcPr>
            <w:tcW w:w="6946" w:type="dxa"/>
            <w:gridSpan w:val="5"/>
            <w:vAlign w:val="center"/>
          </w:tcPr>
          <w:p>
            <w:pPr>
              <w:rPr>
                <w:rFonts w:cs="Helvetica" w:asciiTheme="minorEastAsia" w:hAnsiTheme="minorEastAsia" w:eastAsiaTheme="minorEastAsia"/>
                <w:kern w:val="0"/>
                <w:sz w:val="32"/>
                <w:szCs w:val="32"/>
              </w:rPr>
            </w:pPr>
            <w:r>
              <w:rPr>
                <w:rFonts w:asciiTheme="minorEastAsia" w:hAnsiTheme="minorEastAsia" w:eastAsiaTheme="minorEastAsia"/>
                <w:sz w:val="28"/>
                <w:szCs w:val="28"/>
              </w:rPr>
              <w:t>来源：</w:t>
            </w:r>
            <w:r>
              <w:rPr>
                <w:rFonts w:hint="eastAsia"/>
                <w:sz w:val="28"/>
                <w:szCs w:val="28"/>
              </w:rPr>
              <w:t>第一药店财智 </w:t>
            </w:r>
            <w:r>
              <w:fldChar w:fldCharType="begin"/>
            </w:r>
            <w:r>
              <w:instrText xml:space="preserve"> HYPERLINK "javascript:void(0);" </w:instrText>
            </w:r>
            <w:r>
              <w:fldChar w:fldCharType="separate"/>
            </w:r>
            <w:r>
              <w:rPr>
                <w:rFonts w:hint="eastAsia"/>
                <w:sz w:val="28"/>
                <w:szCs w:val="28"/>
              </w:rPr>
              <w:t>谷丰观点</w:t>
            </w:r>
            <w:r>
              <w:rPr>
                <w:rFonts w:hint="eastAsia"/>
                <w:sz w:val="28"/>
                <w:szCs w:val="28"/>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8" w:hRule="atLeast"/>
        </w:trPr>
        <w:tc>
          <w:tcPr>
            <w:tcW w:w="2127" w:type="dxa"/>
            <w:vAlign w:val="center"/>
          </w:tcPr>
          <w:p>
            <w:pPr>
              <w:tabs>
                <w:tab w:val="left" w:pos="5245"/>
              </w:tabs>
              <w:jc w:val="center"/>
              <w:rPr>
                <w:b/>
                <w:sz w:val="30"/>
                <w:szCs w:val="30"/>
              </w:rPr>
            </w:pPr>
            <w:r>
              <w:rPr>
                <w:rFonts w:hint="eastAsia"/>
                <w:b/>
                <w:sz w:val="30"/>
                <w:szCs w:val="30"/>
              </w:rPr>
              <w:t>关键词</w:t>
            </w:r>
          </w:p>
        </w:tc>
        <w:tc>
          <w:tcPr>
            <w:tcW w:w="6946" w:type="dxa"/>
            <w:gridSpan w:val="5"/>
            <w:vAlign w:val="center"/>
          </w:tcPr>
          <w:p>
            <w:pPr>
              <w:jc w:val="left"/>
              <w:rPr>
                <w:sz w:val="28"/>
                <w:szCs w:val="28"/>
              </w:rPr>
            </w:pPr>
            <w:r>
              <w:rPr>
                <w:rFonts w:hint="eastAsia" w:asciiTheme="minorEastAsia" w:hAnsiTheme="minorEastAsia"/>
                <w:sz w:val="28"/>
                <w:szCs w:val="28"/>
              </w:rPr>
              <w:t>药品</w:t>
            </w:r>
            <w:r>
              <w:rPr>
                <w:rFonts w:hint="eastAsia" w:asciiTheme="minorEastAsia" w:hAnsiTheme="minorEastAsia"/>
                <w:sz w:val="28"/>
                <w:szCs w:val="28"/>
                <w:shd w:val="clear" w:color="auto" w:fill="FFFFFF"/>
              </w:rPr>
              <w:t xml:space="preserve">  </w:t>
            </w:r>
            <w:r>
              <w:rPr>
                <w:rFonts w:hint="eastAsia" w:asciiTheme="minorEastAsia" w:hAnsiTheme="minorEastAsia"/>
                <w:sz w:val="28"/>
                <w:szCs w:val="28"/>
              </w:rPr>
              <w:t>零售企业</w:t>
            </w:r>
            <w:r>
              <w:rPr>
                <w:rFonts w:hint="eastAsia" w:asciiTheme="minorEastAsia" w:hAnsiTheme="minorEastAsia"/>
                <w:sz w:val="28"/>
                <w:szCs w:val="28"/>
                <w:shd w:val="clear" w:color="auto" w:fill="FFFFFF"/>
              </w:rPr>
              <w:t xml:space="preserve">  </w:t>
            </w:r>
            <w:r>
              <w:rPr>
                <w:rFonts w:hint="eastAsia" w:asciiTheme="minorEastAsia" w:hAnsiTheme="minorEastAsia"/>
                <w:sz w:val="28"/>
                <w:szCs w:val="28"/>
              </w:rPr>
              <w:t>综合竞争力</w:t>
            </w:r>
            <w:r>
              <w:rPr>
                <w:rFonts w:hint="eastAsia" w:asciiTheme="minorEastAsia" w:hAnsiTheme="minorEastAsia"/>
                <w:sz w:val="28"/>
                <w:szCs w:val="28"/>
                <w:shd w:val="clear" w:color="auto" w:fill="FFFFFF"/>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37" w:hRule="atLeast"/>
        </w:trPr>
        <w:tc>
          <w:tcPr>
            <w:tcW w:w="2127" w:type="dxa"/>
            <w:vAlign w:val="center"/>
          </w:tcPr>
          <w:p>
            <w:pPr>
              <w:tabs>
                <w:tab w:val="left" w:pos="5245"/>
              </w:tabs>
              <w:jc w:val="center"/>
              <w:rPr>
                <w:b/>
                <w:sz w:val="30"/>
                <w:szCs w:val="30"/>
              </w:rPr>
            </w:pPr>
            <w:r>
              <w:rPr>
                <w:rFonts w:hint="eastAsia"/>
                <w:b/>
                <w:sz w:val="30"/>
                <w:szCs w:val="30"/>
              </w:rPr>
              <w:t>内容概要</w:t>
            </w:r>
          </w:p>
        </w:tc>
        <w:tc>
          <w:tcPr>
            <w:tcW w:w="6946" w:type="dxa"/>
            <w:gridSpan w:val="5"/>
          </w:tcPr>
          <w:p>
            <w:pPr>
              <w:ind w:firstLine="560" w:firstLineChars="200"/>
              <w:rPr>
                <w:rFonts w:asciiTheme="minorEastAsia" w:hAnsiTheme="minorEastAsia"/>
                <w:sz w:val="28"/>
                <w:szCs w:val="28"/>
                <w:shd w:val="clear" w:color="auto" w:fill="FFFFFF"/>
              </w:rPr>
            </w:pPr>
          </w:p>
          <w:p>
            <w:pPr>
              <w:widowControl/>
              <w:shd w:val="clear" w:color="auto" w:fill="FFFFFF"/>
              <w:ind w:firstLine="560" w:firstLineChars="200"/>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8月14日西普会上，“2019-2020年度中国药品零售企业综合竞争力排行榜”隆重揭晓。所有上榜企业荣获2020年度西普金奖。</w:t>
            </w:r>
          </w:p>
          <w:p>
            <w:pPr>
              <w:rPr>
                <w:rFonts w:asciiTheme="minorEastAsia" w:hAnsiTheme="minorEastAsia"/>
                <w:sz w:val="28"/>
                <w:szCs w:val="28"/>
                <w:shd w:val="clear" w:color="auto" w:fill="FFFFFF"/>
              </w:rPr>
            </w:pPr>
            <w:r>
              <w:rPr>
                <w:rFonts w:hint="eastAsia" w:ascii="宋体" w:hAnsi="宋体"/>
                <w:sz w:val="28"/>
                <w:szCs w:val="28"/>
                <w:shd w:val="clear" w:color="auto" w:fill="FFFFFF"/>
              </w:rPr>
              <w:t>◆</w:t>
            </w:r>
            <w:r>
              <w:rPr>
                <w:rFonts w:hint="eastAsia" w:asciiTheme="minorEastAsia" w:hAnsiTheme="minorEastAsia"/>
                <w:sz w:val="28"/>
                <w:szCs w:val="28"/>
                <w:shd w:val="clear" w:color="auto" w:fill="FFFFFF"/>
              </w:rPr>
              <w:t>产业集中度进一步提升，百强市场份额超过四成</w:t>
            </w:r>
          </w:p>
          <w:p>
            <w:pPr>
              <w:rPr>
                <w:rFonts w:asciiTheme="minorEastAsia" w:hAnsiTheme="minorEastAsia"/>
                <w:sz w:val="28"/>
                <w:szCs w:val="28"/>
                <w:shd w:val="clear" w:color="auto" w:fill="FFFFFF"/>
              </w:rPr>
            </w:pPr>
            <w:r>
              <w:rPr>
                <w:rFonts w:hint="eastAsia" w:ascii="宋体" w:hAnsi="宋体"/>
                <w:sz w:val="28"/>
                <w:szCs w:val="28"/>
                <w:shd w:val="clear" w:color="auto" w:fill="FFFFFF"/>
              </w:rPr>
              <w:t>◆</w:t>
            </w:r>
            <w:r>
              <w:rPr>
                <w:rFonts w:hint="eastAsia" w:asciiTheme="minorEastAsia" w:hAnsiTheme="minorEastAsia"/>
                <w:sz w:val="28"/>
                <w:szCs w:val="28"/>
                <w:shd w:val="clear" w:color="auto" w:fill="FFFFFF"/>
              </w:rPr>
              <w:t>龙头连锁高速发展，以门店扩张驱动为主</w:t>
            </w:r>
          </w:p>
          <w:p>
            <w:pPr>
              <w:rPr>
                <w:rFonts w:asciiTheme="minorEastAsia" w:hAnsiTheme="minorEastAsia"/>
                <w:sz w:val="28"/>
                <w:szCs w:val="28"/>
                <w:shd w:val="clear" w:color="auto" w:fill="FFFFFF"/>
              </w:rPr>
            </w:pPr>
            <w:r>
              <w:rPr>
                <w:rFonts w:hint="eastAsia" w:ascii="宋体" w:hAnsi="宋体"/>
                <w:sz w:val="28"/>
                <w:szCs w:val="28"/>
                <w:shd w:val="clear" w:color="auto" w:fill="FFFFFF"/>
              </w:rPr>
              <w:t>◆</w:t>
            </w:r>
            <w:r>
              <w:rPr>
                <w:rFonts w:hint="eastAsia" w:asciiTheme="minorEastAsia" w:hAnsiTheme="minorEastAsia"/>
                <w:sz w:val="28"/>
                <w:szCs w:val="28"/>
                <w:shd w:val="clear" w:color="auto" w:fill="FFFFFF"/>
              </w:rPr>
              <w:t>2019-2020中国药品零售企业综合竞争力排行榜</w:t>
            </w:r>
          </w:p>
          <w:p>
            <w:pPr>
              <w:rPr>
                <w:rFonts w:asciiTheme="minorEastAsia" w:hAnsiTheme="minorEastAsia"/>
                <w:sz w:val="28"/>
                <w:szCs w:val="28"/>
                <w:shd w:val="clear" w:color="auto" w:fill="FFFFFF"/>
              </w:rPr>
            </w:pPr>
          </w:p>
          <w:p>
            <w:pPr>
              <w:widowControl/>
              <w:spacing w:line="420" w:lineRule="atLeast"/>
              <w:rPr>
                <w:rFonts w:asciiTheme="minorEastAsia" w:hAnsiTheme="minorEastAsia"/>
                <w:sz w:val="28"/>
                <w:szCs w:val="28"/>
                <w:shd w:val="clear" w:color="auto" w:fill="FFFFFF"/>
              </w:rPr>
            </w:pPr>
          </w:p>
          <w:p>
            <w:pPr>
              <w:widowControl/>
              <w:spacing w:line="420" w:lineRule="atLeast"/>
              <w:rPr>
                <w:rFonts w:asciiTheme="minorEastAsia" w:hAnsiTheme="minorEastAsia"/>
                <w:sz w:val="28"/>
                <w:szCs w:val="28"/>
                <w:shd w:val="clear" w:color="auto" w:fill="FFFFFF"/>
              </w:rPr>
            </w:pPr>
          </w:p>
          <w:p>
            <w:pPr>
              <w:widowControl/>
              <w:spacing w:line="420" w:lineRule="atLeast"/>
              <w:rPr>
                <w:rFonts w:asciiTheme="minorEastAsia" w:hAnsiTheme="minorEastAsia"/>
                <w:sz w:val="28"/>
                <w:szCs w:val="28"/>
                <w:shd w:val="clear" w:color="auto" w:fill="FFFFFF"/>
              </w:rPr>
            </w:pPr>
          </w:p>
          <w:p>
            <w:pPr>
              <w:widowControl/>
              <w:spacing w:line="420" w:lineRule="atLeast"/>
              <w:rPr>
                <w:rFonts w:asciiTheme="minorEastAsia" w:hAnsiTheme="minorEastAsia"/>
                <w:sz w:val="28"/>
                <w:szCs w:val="28"/>
                <w:shd w:val="clear" w:color="auto" w:fill="FFFFFF"/>
              </w:rPr>
            </w:pPr>
          </w:p>
          <w:p>
            <w:pPr>
              <w:widowControl/>
              <w:spacing w:line="420" w:lineRule="atLeast"/>
              <w:rPr>
                <w:rFonts w:asciiTheme="minorEastAsia" w:hAnsiTheme="minorEastAsia"/>
                <w:sz w:val="28"/>
                <w:szCs w:val="28"/>
                <w:shd w:val="clear" w:color="auto" w:fill="FFFFFF"/>
              </w:rPr>
            </w:pPr>
          </w:p>
          <w:p>
            <w:pPr>
              <w:widowControl/>
              <w:shd w:val="clear" w:color="auto" w:fill="FFFFFF"/>
              <w:spacing w:after="190"/>
              <w:outlineLvl w:val="1"/>
              <w:rPr>
                <w:rFonts w:asciiTheme="minorEastAsia" w:hAnsiTheme="minorEastAsia"/>
                <w:sz w:val="28"/>
                <w:szCs w:val="28"/>
                <w:shd w:val="clear" w:color="auto" w:fill="FFFFFF"/>
              </w:rPr>
            </w:pPr>
            <w:r>
              <w:rPr>
                <w:rFonts w:hint="eastAsia"/>
              </w:rPr>
              <w:t>附件2：2019-2020中国药品零售企业综合竞争力排行榜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2127" w:type="dxa"/>
            <w:vAlign w:val="center"/>
          </w:tcPr>
          <w:p>
            <w:pPr>
              <w:jc w:val="center"/>
              <w:rPr>
                <w:b/>
                <w:sz w:val="30"/>
                <w:szCs w:val="30"/>
              </w:rPr>
            </w:pPr>
            <w:r>
              <w:rPr>
                <w:rFonts w:hint="eastAsia"/>
                <w:b/>
                <w:sz w:val="30"/>
                <w:szCs w:val="30"/>
              </w:rPr>
              <w:t>信息03</w:t>
            </w:r>
          </w:p>
        </w:tc>
        <w:tc>
          <w:tcPr>
            <w:tcW w:w="6946" w:type="dxa"/>
            <w:gridSpan w:val="5"/>
            <w:vAlign w:val="center"/>
          </w:tcPr>
          <w:p>
            <w:pPr>
              <w:rPr>
                <w:rFonts w:asciiTheme="minorEastAsia" w:hAnsiTheme="minorEastAsia" w:eastAsiaTheme="minorEastAsia"/>
                <w:b/>
                <w:sz w:val="32"/>
                <w:szCs w:val="32"/>
              </w:rPr>
            </w:pPr>
            <w:r>
              <w:rPr>
                <w:b/>
                <w:sz w:val="32"/>
                <w:szCs w:val="32"/>
              </w:rPr>
              <w:t>刚刚！第三批国采中选结果正式公布（附各省采购量、金额）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trPr>
        <w:tc>
          <w:tcPr>
            <w:tcW w:w="2127" w:type="dxa"/>
            <w:tcBorders>
              <w:bottom w:val="single" w:color="auto" w:sz="4" w:space="0"/>
            </w:tcBorders>
            <w:vAlign w:val="center"/>
          </w:tcPr>
          <w:p>
            <w:pPr>
              <w:tabs>
                <w:tab w:val="left" w:pos="5245"/>
              </w:tabs>
              <w:jc w:val="center"/>
            </w:pPr>
            <w:r>
              <w:rPr>
                <w:rFonts w:hint="eastAsia"/>
                <w:b/>
                <w:sz w:val="30"/>
                <w:szCs w:val="30"/>
              </w:rPr>
              <w:t>发布</w:t>
            </w:r>
            <w:r>
              <w:rPr>
                <w:b/>
                <w:sz w:val="30"/>
                <w:szCs w:val="30"/>
              </w:rPr>
              <w:t>时间</w:t>
            </w:r>
          </w:p>
        </w:tc>
        <w:tc>
          <w:tcPr>
            <w:tcW w:w="2268" w:type="dxa"/>
            <w:tcBorders>
              <w:bottom w:val="single" w:color="auto" w:sz="4" w:space="0"/>
            </w:tcBorders>
            <w:vAlign w:val="center"/>
          </w:tcPr>
          <w:p>
            <w:pPr>
              <w:widowControl/>
              <w:spacing w:line="300" w:lineRule="atLeast"/>
              <w:ind w:firstLine="280" w:firstLineChars="100"/>
              <w:jc w:val="left"/>
              <w:rPr>
                <w:rFonts w:asciiTheme="minorEastAsia" w:hAnsiTheme="minorEastAsia" w:eastAsiaTheme="minorEastAsia"/>
                <w:sz w:val="28"/>
                <w:szCs w:val="28"/>
              </w:rPr>
            </w:pPr>
            <w:r>
              <w:rPr>
                <w:rFonts w:hint="eastAsia" w:cs="Helvetica" w:asciiTheme="minorEastAsia" w:hAnsiTheme="minorEastAsia" w:eastAsiaTheme="minorEastAsia"/>
                <w:kern w:val="0"/>
                <w:sz w:val="28"/>
                <w:szCs w:val="28"/>
              </w:rPr>
              <w:t>2020-08-24</w:t>
            </w:r>
          </w:p>
        </w:tc>
        <w:tc>
          <w:tcPr>
            <w:tcW w:w="1985" w:type="dxa"/>
            <w:gridSpan w:val="2"/>
            <w:tcBorders>
              <w:bottom w:val="single" w:color="auto" w:sz="4" w:space="0"/>
            </w:tcBorders>
            <w:vAlign w:val="center"/>
          </w:tcPr>
          <w:p>
            <w:pPr>
              <w:jc w:val="center"/>
              <w:rPr>
                <w:b/>
                <w:sz w:val="30"/>
                <w:szCs w:val="30"/>
              </w:rPr>
            </w:pPr>
            <w:r>
              <w:rPr>
                <w:rFonts w:hint="eastAsia"/>
                <w:b/>
                <w:sz w:val="30"/>
                <w:szCs w:val="30"/>
              </w:rPr>
              <w:t>信息来源</w:t>
            </w:r>
          </w:p>
        </w:tc>
        <w:tc>
          <w:tcPr>
            <w:tcW w:w="2693" w:type="dxa"/>
            <w:gridSpan w:val="2"/>
            <w:tcBorders>
              <w:bottom w:val="single" w:color="auto" w:sz="4" w:space="0"/>
            </w:tcBorders>
            <w:vAlign w:val="center"/>
          </w:tcPr>
          <w:p>
            <w:pPr>
              <w:jc w:val="center"/>
              <w:rPr>
                <w:rFonts w:ascii="Helvetica" w:hAnsi="Helvetica" w:cs="Helvetica"/>
                <w:kern w:val="0"/>
                <w:sz w:val="28"/>
                <w:szCs w:val="28"/>
              </w:rPr>
            </w:pPr>
            <w:r>
              <w:rPr>
                <w:rFonts w:hint="eastAsia"/>
                <w:sz w:val="28"/>
                <w:szCs w:val="28"/>
              </w:rPr>
              <w:t>医药云端信息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27" w:type="dxa"/>
            <w:tcBorders>
              <w:top w:val="single" w:color="auto" w:sz="4" w:space="0"/>
            </w:tcBorders>
            <w:vAlign w:val="center"/>
          </w:tcPr>
          <w:p>
            <w:pPr>
              <w:tabs>
                <w:tab w:val="left" w:pos="5245"/>
              </w:tabs>
              <w:jc w:val="center"/>
              <w:rPr>
                <w:b/>
                <w:sz w:val="30"/>
                <w:szCs w:val="30"/>
              </w:rPr>
            </w:pPr>
            <w:r>
              <w:rPr>
                <w:rFonts w:hint="eastAsia"/>
                <w:b/>
                <w:sz w:val="30"/>
                <w:szCs w:val="30"/>
              </w:rPr>
              <w:t>信息</w:t>
            </w:r>
            <w:r>
              <w:rPr>
                <w:b/>
                <w:sz w:val="30"/>
                <w:szCs w:val="30"/>
              </w:rPr>
              <w:t>提供</w:t>
            </w:r>
          </w:p>
        </w:tc>
        <w:tc>
          <w:tcPr>
            <w:tcW w:w="2268" w:type="dxa"/>
            <w:tcBorders>
              <w:top w:val="single" w:color="auto" w:sz="4" w:space="0"/>
            </w:tcBorders>
            <w:vAlign w:val="center"/>
          </w:tcPr>
          <w:p>
            <w:pPr>
              <w:jc w:val="center"/>
              <w:rPr>
                <w:sz w:val="28"/>
                <w:szCs w:val="28"/>
              </w:rPr>
            </w:pPr>
            <w:r>
              <w:rPr>
                <w:rFonts w:hint="eastAsia"/>
                <w:sz w:val="28"/>
                <w:szCs w:val="28"/>
              </w:rPr>
              <w:t>运营管理部</w:t>
            </w:r>
          </w:p>
        </w:tc>
        <w:tc>
          <w:tcPr>
            <w:tcW w:w="1985" w:type="dxa"/>
            <w:gridSpan w:val="2"/>
            <w:tcBorders>
              <w:top w:val="single" w:color="auto" w:sz="4" w:space="0"/>
            </w:tcBorders>
            <w:vAlign w:val="center"/>
          </w:tcPr>
          <w:p>
            <w:pPr>
              <w:jc w:val="center"/>
              <w:rPr>
                <w:b/>
                <w:sz w:val="28"/>
                <w:szCs w:val="28"/>
              </w:rPr>
            </w:pPr>
            <w:r>
              <w:rPr>
                <w:rFonts w:hint="eastAsia"/>
                <w:b/>
                <w:sz w:val="30"/>
                <w:szCs w:val="30"/>
              </w:rPr>
              <w:t>信息确认</w:t>
            </w:r>
          </w:p>
        </w:tc>
        <w:tc>
          <w:tcPr>
            <w:tcW w:w="2693" w:type="dxa"/>
            <w:gridSpan w:val="2"/>
            <w:tcBorders>
              <w:top w:val="single" w:color="auto" w:sz="4" w:space="0"/>
            </w:tcBorders>
            <w:vAlign w:val="center"/>
          </w:tcPr>
          <w:p>
            <w:pPr>
              <w:jc w:val="center"/>
              <w:rPr>
                <w:sz w:val="28"/>
                <w:szCs w:val="28"/>
              </w:rPr>
            </w:pPr>
            <w:r>
              <w:rPr>
                <w:rFonts w:hint="eastAsia"/>
                <w:sz w:val="28"/>
                <w:szCs w:val="28"/>
              </w:rPr>
              <w:t>彭宇飞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4" w:hRule="atLeast"/>
        </w:trPr>
        <w:tc>
          <w:tcPr>
            <w:tcW w:w="2127" w:type="dxa"/>
            <w:vAlign w:val="center"/>
          </w:tcPr>
          <w:p>
            <w:pPr>
              <w:tabs>
                <w:tab w:val="left" w:pos="5245"/>
              </w:tabs>
              <w:jc w:val="center"/>
              <w:rPr>
                <w:b/>
                <w:sz w:val="30"/>
                <w:szCs w:val="30"/>
              </w:rPr>
            </w:pPr>
            <w:r>
              <w:rPr>
                <w:rFonts w:hint="eastAsia"/>
                <w:b/>
                <w:sz w:val="30"/>
                <w:szCs w:val="30"/>
              </w:rPr>
              <w:t>确认</w:t>
            </w:r>
            <w:r>
              <w:rPr>
                <w:b/>
                <w:sz w:val="30"/>
                <w:szCs w:val="30"/>
              </w:rPr>
              <w:t>结果</w:t>
            </w:r>
          </w:p>
        </w:tc>
        <w:tc>
          <w:tcPr>
            <w:tcW w:w="6946" w:type="dxa"/>
            <w:gridSpan w:val="5"/>
            <w:vAlign w:val="center"/>
          </w:tcPr>
          <w:p>
            <w:pPr>
              <w:widowControl/>
              <w:spacing w:line="300" w:lineRule="atLeast"/>
              <w:jc w:val="left"/>
              <w:rPr>
                <w:rFonts w:ascii="Helvetica" w:hAnsi="Helvetica" w:cs="Helvetica"/>
                <w:color w:val="000000" w:themeColor="text1"/>
                <w:kern w:val="0"/>
                <w:sz w:val="28"/>
                <w:szCs w:val="28"/>
                <w14:textFill>
                  <w14:solidFill>
                    <w14:schemeClr w14:val="tx1"/>
                  </w14:solidFill>
                </w14:textFill>
              </w:rPr>
            </w:pPr>
            <w:r>
              <w:rPr>
                <w:rFonts w:hint="eastAsia" w:cs="Helvetica" w:asciiTheme="minorEastAsia" w:hAnsiTheme="minorEastAsia" w:eastAsiaTheme="minorEastAsia"/>
                <w:color w:val="000000" w:themeColor="text1"/>
                <w:kern w:val="0"/>
                <w:sz w:val="28"/>
                <w:szCs w:val="28"/>
                <w14:textFill>
                  <w14:solidFill>
                    <w14:schemeClr w14:val="tx1"/>
                  </w14:solidFill>
                </w14:textFill>
              </w:rPr>
              <w:t>来源：</w:t>
            </w:r>
            <w:r>
              <w:rPr>
                <w:rFonts w:hint="eastAsia"/>
                <w:sz w:val="28"/>
                <w:szCs w:val="28"/>
              </w:rPr>
              <w:t>医药云端信息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127" w:type="dxa"/>
            <w:vAlign w:val="center"/>
          </w:tcPr>
          <w:p>
            <w:pPr>
              <w:jc w:val="center"/>
              <w:rPr>
                <w:b/>
                <w:sz w:val="30"/>
                <w:szCs w:val="30"/>
              </w:rPr>
            </w:pPr>
            <w:r>
              <w:rPr>
                <w:rFonts w:hint="eastAsia"/>
                <w:b/>
                <w:sz w:val="30"/>
                <w:szCs w:val="30"/>
              </w:rPr>
              <w:t>关键词</w:t>
            </w:r>
          </w:p>
        </w:tc>
        <w:tc>
          <w:tcPr>
            <w:tcW w:w="6946" w:type="dxa"/>
            <w:gridSpan w:val="5"/>
            <w:vAlign w:val="center"/>
          </w:tcPr>
          <w:p>
            <w:pPr>
              <w:jc w:val="left"/>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sz w:val="28"/>
                <w:szCs w:val="28"/>
              </w:rPr>
              <w:t>全国  药品  第三批</w:t>
            </w:r>
            <w:r>
              <w:rPr>
                <w:rFonts w:hint="eastAsia" w:asciiTheme="minorEastAsia" w:hAnsiTheme="minorEastAsia" w:eastAsiaTheme="minorEastAsia"/>
                <w:sz w:val="28"/>
                <w:szCs w:val="28"/>
              </w:rPr>
              <w:t xml:space="preserve">  </w:t>
            </w:r>
            <w:r>
              <w:rPr>
                <w:rFonts w:hint="eastAsia" w:asciiTheme="minorEastAsia" w:hAnsiTheme="minorEastAsia"/>
                <w:spacing w:val="15"/>
                <w:sz w:val="28"/>
                <w:szCs w:val="28"/>
              </w:rPr>
              <w:t>集采</w:t>
            </w:r>
            <w:r>
              <w:rPr>
                <w:rFonts w:hint="eastAsia" w:asciiTheme="minorEastAsia" w:hAnsiTheme="minorEastAsia" w:eastAsiaTheme="minorEastAsia"/>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27" w:hRule="atLeast"/>
        </w:trPr>
        <w:tc>
          <w:tcPr>
            <w:tcW w:w="2127" w:type="dxa"/>
            <w:vAlign w:val="center"/>
          </w:tcPr>
          <w:p>
            <w:pPr>
              <w:tabs>
                <w:tab w:val="left" w:pos="7088"/>
              </w:tabs>
              <w:spacing w:line="380" w:lineRule="exact"/>
              <w:jc w:val="center"/>
              <w:rPr>
                <w:b/>
                <w:sz w:val="30"/>
                <w:szCs w:val="30"/>
              </w:rPr>
            </w:pPr>
            <w:r>
              <w:rPr>
                <w:rFonts w:hint="eastAsia"/>
                <w:b/>
                <w:sz w:val="30"/>
                <w:szCs w:val="30"/>
              </w:rPr>
              <w:t>内容概要</w:t>
            </w:r>
          </w:p>
        </w:tc>
        <w:tc>
          <w:tcPr>
            <w:tcW w:w="6946" w:type="dxa"/>
            <w:gridSpan w:val="5"/>
            <w:vAlign w:val="center"/>
          </w:tcPr>
          <w:p>
            <w:pPr>
              <w:ind w:firstLine="620" w:firstLineChars="200"/>
              <w:rPr>
                <w:rFonts w:asciiTheme="minorEastAsia" w:hAnsiTheme="minorEastAsia"/>
                <w:color w:val="333333"/>
                <w:spacing w:val="15"/>
                <w:sz w:val="28"/>
                <w:szCs w:val="28"/>
              </w:rPr>
            </w:pPr>
          </w:p>
          <w:p>
            <w:pPr>
              <w:widowControl/>
              <w:shd w:val="clear" w:color="auto" w:fill="FFFFFF"/>
              <w:spacing w:line="420" w:lineRule="atLeast"/>
              <w:ind w:left="120" w:right="120" w:firstLine="620" w:firstLineChars="200"/>
              <w:rPr>
                <w:rFonts w:hint="eastAsia" w:asciiTheme="minorEastAsia" w:hAnsiTheme="minorEastAsia"/>
                <w:color w:val="333333"/>
                <w:spacing w:val="15"/>
                <w:sz w:val="28"/>
                <w:szCs w:val="28"/>
              </w:rPr>
            </w:pPr>
            <w:r>
              <w:rPr>
                <w:rFonts w:hint="eastAsia" w:asciiTheme="minorEastAsia" w:hAnsiTheme="minorEastAsia"/>
                <w:color w:val="333333"/>
                <w:spacing w:val="15"/>
                <w:sz w:val="28"/>
                <w:szCs w:val="28"/>
              </w:rPr>
              <w:t>8月24日，上海阳光医药采购网发布消息，第三批国采中选结果正式发布，第三批国采中选品种首年约定采购金额：311538.78万元。</w:t>
            </w:r>
          </w:p>
          <w:p>
            <w:pPr>
              <w:widowControl/>
              <w:shd w:val="clear" w:color="auto" w:fill="FFFFFF"/>
              <w:spacing w:line="420" w:lineRule="atLeast"/>
              <w:ind w:left="120" w:right="120" w:firstLine="560" w:firstLineChars="200"/>
              <w:rPr>
                <w:rFonts w:hint="eastAsia" w:asciiTheme="minorEastAsia" w:hAnsiTheme="minorEastAsia"/>
                <w:color w:val="333333"/>
                <w:spacing w:val="15"/>
                <w:sz w:val="28"/>
                <w:szCs w:val="28"/>
              </w:rPr>
            </w:pPr>
            <w:r>
              <w:rPr>
                <w:rFonts w:hint="eastAsia" w:ascii="宋体" w:hAnsi="宋体"/>
                <w:sz w:val="28"/>
                <w:szCs w:val="28"/>
                <w:shd w:val="clear" w:color="auto" w:fill="FFFFFF"/>
              </w:rPr>
              <w:t>◆</w:t>
            </w:r>
            <w:r>
              <w:rPr>
                <w:rFonts w:hint="eastAsia" w:asciiTheme="minorEastAsia" w:hAnsiTheme="minorEastAsia"/>
                <w:color w:val="333333"/>
                <w:spacing w:val="15"/>
                <w:sz w:val="28"/>
                <w:szCs w:val="28"/>
              </w:rPr>
              <w:t>第三批国家集采中选结果表</w:t>
            </w:r>
          </w:p>
          <w:p>
            <w:pPr>
              <w:widowControl/>
              <w:shd w:val="clear" w:color="auto" w:fill="FFFFFF"/>
              <w:spacing w:line="420" w:lineRule="atLeast"/>
              <w:ind w:left="120" w:right="120" w:firstLine="560" w:firstLineChars="200"/>
              <w:rPr>
                <w:rFonts w:hint="eastAsia" w:asciiTheme="minorEastAsia" w:hAnsiTheme="minorEastAsia"/>
                <w:color w:val="333333"/>
                <w:spacing w:val="15"/>
                <w:sz w:val="28"/>
                <w:szCs w:val="28"/>
              </w:rPr>
            </w:pPr>
            <w:r>
              <w:rPr>
                <w:rFonts w:hint="eastAsia" w:ascii="宋体" w:hAnsi="宋体"/>
                <w:sz w:val="28"/>
                <w:szCs w:val="28"/>
                <w:shd w:val="clear" w:color="auto" w:fill="FFFFFF"/>
              </w:rPr>
              <w:t>◆</w:t>
            </w:r>
            <w:r>
              <w:rPr>
                <w:rFonts w:hint="eastAsia" w:asciiTheme="minorEastAsia" w:hAnsiTheme="minorEastAsia"/>
                <w:color w:val="333333"/>
                <w:spacing w:val="15"/>
                <w:sz w:val="28"/>
                <w:szCs w:val="28"/>
              </w:rPr>
              <w:t>各省第三批带量采购首年采购金额</w:t>
            </w:r>
          </w:p>
          <w:p>
            <w:pPr>
              <w:widowControl/>
              <w:shd w:val="clear" w:color="auto" w:fill="FFFFFF"/>
              <w:spacing w:line="420" w:lineRule="atLeast"/>
              <w:ind w:right="120"/>
              <w:rPr>
                <w:rFonts w:asciiTheme="minorEastAsia" w:hAnsiTheme="minorEastAsia"/>
                <w:color w:val="333333"/>
                <w:spacing w:val="15"/>
                <w:sz w:val="28"/>
                <w:szCs w:val="28"/>
              </w:rPr>
            </w:pPr>
          </w:p>
          <w:p>
            <w:pPr>
              <w:rPr>
                <w:rFonts w:hint="eastAsia" w:asciiTheme="minorEastAsia" w:hAnsiTheme="minorEastAsia"/>
                <w:spacing w:val="15"/>
                <w:sz w:val="28"/>
                <w:szCs w:val="28"/>
              </w:rPr>
            </w:pPr>
          </w:p>
          <w:p>
            <w:pPr>
              <w:rPr>
                <w:rFonts w:asciiTheme="minorEastAsia" w:hAnsiTheme="minorEastAsia"/>
                <w:spacing w:val="15"/>
                <w:sz w:val="28"/>
                <w:szCs w:val="28"/>
              </w:rPr>
            </w:pPr>
          </w:p>
          <w:p>
            <w:pPr>
              <w:rPr>
                <w:rFonts w:asciiTheme="minorEastAsia" w:hAnsiTheme="minorEastAsia" w:eastAsiaTheme="minorEastAsia"/>
                <w:color w:val="000000" w:themeColor="text1"/>
                <w:szCs w:val="21"/>
                <w14:textFill>
                  <w14:solidFill>
                    <w14:schemeClr w14:val="tx1"/>
                  </w14:solidFill>
                </w14:textFill>
              </w:rPr>
            </w:pPr>
          </w:p>
          <w:p>
            <w:pPr>
              <w:rPr>
                <w:rFonts w:asciiTheme="minorEastAsia" w:hAnsiTheme="minorEastAsia" w:eastAsiaTheme="minorEastAsia"/>
                <w:color w:val="000000" w:themeColor="text1"/>
                <w:szCs w:val="21"/>
                <w14:textFill>
                  <w14:solidFill>
                    <w14:schemeClr w14:val="tx1"/>
                  </w14:solidFill>
                </w14:textFill>
              </w:rPr>
            </w:pPr>
          </w:p>
          <w:p>
            <w:pPr>
              <w:rPr>
                <w:rFonts w:asciiTheme="minorEastAsia" w:hAnsiTheme="minorEastAsia" w:eastAsiaTheme="minorEastAsia"/>
                <w:color w:val="000000" w:themeColor="text1"/>
                <w:szCs w:val="21"/>
                <w14:textFill>
                  <w14:solidFill>
                    <w14:schemeClr w14:val="tx1"/>
                  </w14:solidFill>
                </w14:textFill>
              </w:rPr>
            </w:pPr>
          </w:p>
          <w:p>
            <w:pPr>
              <w:rPr>
                <w:rFonts w:asciiTheme="minorEastAsia" w:hAnsiTheme="minorEastAsia" w:eastAsiaTheme="minorEastAsia"/>
                <w:color w:val="000000" w:themeColor="text1"/>
                <w:szCs w:val="21"/>
                <w14:textFill>
                  <w14:solidFill>
                    <w14:schemeClr w14:val="tx1"/>
                  </w14:solidFill>
                </w14:textFill>
              </w:rPr>
            </w:pPr>
          </w:p>
          <w:p>
            <w:pPr>
              <w:rPr>
                <w:rFonts w:hint="eastAsia" w:asciiTheme="minorEastAsia" w:hAnsiTheme="minorEastAsia" w:eastAsiaTheme="minorEastAsia"/>
                <w:color w:val="000000" w:themeColor="text1"/>
                <w:szCs w:val="21"/>
                <w14:textFill>
                  <w14:solidFill>
                    <w14:schemeClr w14:val="tx1"/>
                  </w14:solidFill>
                </w14:textFill>
              </w:rPr>
            </w:pPr>
          </w:p>
          <w:p>
            <w:pPr>
              <w:rPr>
                <w:rFonts w:asciiTheme="minorEastAsia" w:hAnsiTheme="minorEastAsia" w:eastAsiaTheme="minorEastAsia"/>
                <w:color w:val="000000" w:themeColor="text1"/>
                <w:szCs w:val="21"/>
                <w14:textFill>
                  <w14:solidFill>
                    <w14:schemeClr w14:val="tx1"/>
                  </w14:solidFill>
                </w14:textFill>
              </w:rPr>
            </w:pPr>
          </w:p>
          <w:p>
            <w:pPr>
              <w:rPr>
                <w:rFonts w:asciiTheme="minorEastAsia" w:hAnsiTheme="minorEastAsia" w:eastAsiaTheme="minorEastAsia"/>
                <w:color w:val="000000" w:themeColor="text1"/>
                <w:szCs w:val="21"/>
                <w14:textFill>
                  <w14:solidFill>
                    <w14:schemeClr w14:val="tx1"/>
                  </w14:solidFill>
                </w14:textFill>
              </w:rPr>
            </w:pPr>
          </w:p>
          <w:p>
            <w:pPr>
              <w:widowControl/>
              <w:spacing w:before="100" w:beforeAutospacing="1" w:after="100" w:afterAutospacing="1" w:line="480" w:lineRule="auto"/>
              <w:outlineLvl w:val="1"/>
              <w:rPr>
                <w:rFonts w:ascii="微软雅黑" w:hAnsi="微软雅黑" w:eastAsia="微软雅黑" w:cs="宋体"/>
                <w:color w:val="333333"/>
                <w:spacing w:val="8"/>
                <w:kern w:val="0"/>
                <w:sz w:val="33"/>
                <w:szCs w:val="33"/>
              </w:rPr>
            </w:pPr>
            <w:r>
              <w:rPr>
                <w:rFonts w:hint="eastAsia" w:asciiTheme="minorEastAsia" w:hAnsiTheme="minorEastAsia" w:eastAsiaTheme="minorEastAsia"/>
                <w:color w:val="000000" w:themeColor="text1"/>
                <w:szCs w:val="21"/>
                <w14:textFill>
                  <w14:solidFill>
                    <w14:schemeClr w14:val="tx1"/>
                  </w14:solidFill>
                </w14:textFill>
              </w:rPr>
              <w:t>附件3：</w:t>
            </w:r>
            <w:r>
              <w:rPr>
                <w:rFonts w:asciiTheme="minorEastAsia" w:hAnsiTheme="minorEastAsia" w:eastAsiaTheme="minorEastAsia"/>
                <w:color w:val="000000" w:themeColor="text1"/>
                <w:szCs w:val="21"/>
                <w14:textFill>
                  <w14:solidFill>
                    <w14:schemeClr w14:val="tx1"/>
                  </w14:solidFill>
                </w14:textFill>
              </w:rPr>
              <w:t>刚刚！第三批国采中选结果正式公布（附各省采购量、金额）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1090" w:hRule="atLeast"/>
        </w:trPr>
        <w:tc>
          <w:tcPr>
            <w:tcW w:w="2127" w:type="dxa"/>
            <w:tcBorders>
              <w:right w:val="outset" w:color="auto" w:sz="6" w:space="0"/>
            </w:tcBorders>
            <w:vAlign w:val="center"/>
          </w:tcPr>
          <w:p>
            <w:pPr>
              <w:tabs>
                <w:tab w:val="left" w:pos="7088"/>
              </w:tabs>
              <w:jc w:val="center"/>
              <w:rPr>
                <w:b/>
                <w:sz w:val="30"/>
                <w:szCs w:val="30"/>
              </w:rPr>
            </w:pPr>
            <w:r>
              <w:rPr>
                <w:rFonts w:hint="eastAsia"/>
                <w:b/>
                <w:sz w:val="30"/>
                <w:szCs w:val="30"/>
              </w:rPr>
              <w:t>信息04</w:t>
            </w:r>
          </w:p>
        </w:tc>
        <w:tc>
          <w:tcPr>
            <w:tcW w:w="6662" w:type="dxa"/>
            <w:gridSpan w:val="4"/>
            <w:tcBorders>
              <w:top w:val="outset" w:color="auto" w:sz="6" w:space="0"/>
              <w:left w:val="outset" w:color="auto" w:sz="6" w:space="0"/>
              <w:bottom w:val="inset" w:color="auto" w:sz="6" w:space="0"/>
              <w:right w:val="inset" w:color="auto" w:sz="6" w:space="0"/>
            </w:tcBorders>
            <w:vAlign w:val="center"/>
          </w:tcPr>
          <w:p>
            <w:pPr>
              <w:rPr>
                <w:rFonts w:cs="Helvetica" w:asciiTheme="minorEastAsia" w:hAnsiTheme="minorEastAsia" w:eastAsiaTheme="minorEastAsia"/>
                <w:b/>
                <w:color w:val="000000"/>
                <w:kern w:val="0"/>
                <w:sz w:val="32"/>
                <w:szCs w:val="32"/>
              </w:rPr>
            </w:pPr>
            <w:r>
              <w:rPr>
                <w:rFonts w:hint="eastAsia"/>
                <w:b/>
                <w:sz w:val="32"/>
                <w:szCs w:val="32"/>
              </w:rPr>
              <w:t>医药流通市场大变天！京东获第三方药品物流资质、邮政新增多条医药商标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38" w:hRule="atLeast"/>
        </w:trPr>
        <w:tc>
          <w:tcPr>
            <w:tcW w:w="2127" w:type="dxa"/>
            <w:vAlign w:val="center"/>
          </w:tcPr>
          <w:p>
            <w:pPr>
              <w:tabs>
                <w:tab w:val="left" w:pos="7088"/>
              </w:tabs>
              <w:jc w:val="center"/>
            </w:pPr>
            <w:r>
              <w:rPr>
                <w:rFonts w:hint="eastAsia"/>
                <w:b/>
                <w:sz w:val="30"/>
                <w:szCs w:val="30"/>
              </w:rPr>
              <w:t>发布</w:t>
            </w:r>
            <w:r>
              <w:rPr>
                <w:b/>
                <w:sz w:val="30"/>
                <w:szCs w:val="30"/>
              </w:rPr>
              <w:t>时间</w:t>
            </w:r>
          </w:p>
        </w:tc>
        <w:tc>
          <w:tcPr>
            <w:tcW w:w="2268" w:type="dxa"/>
            <w:tcBorders>
              <w:top w:val="inset" w:color="auto" w:sz="6" w:space="0"/>
            </w:tcBorders>
            <w:vAlign w:val="center"/>
          </w:tcPr>
          <w:p>
            <w:pPr>
              <w:tabs>
                <w:tab w:val="left" w:pos="7088"/>
              </w:tabs>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2020-08-11</w:t>
            </w:r>
          </w:p>
        </w:tc>
        <w:tc>
          <w:tcPr>
            <w:tcW w:w="1985" w:type="dxa"/>
            <w:gridSpan w:val="2"/>
            <w:tcBorders>
              <w:top w:val="inset" w:color="auto" w:sz="6" w:space="0"/>
            </w:tcBorders>
            <w:vAlign w:val="center"/>
          </w:tcPr>
          <w:p>
            <w:pPr>
              <w:tabs>
                <w:tab w:val="left" w:pos="7088"/>
              </w:tabs>
              <w:jc w:val="center"/>
              <w:rPr>
                <w:b/>
                <w:sz w:val="30"/>
                <w:szCs w:val="30"/>
              </w:rPr>
            </w:pPr>
            <w:r>
              <w:rPr>
                <w:rFonts w:hint="eastAsia"/>
                <w:b/>
                <w:sz w:val="30"/>
                <w:szCs w:val="30"/>
              </w:rPr>
              <w:t>信息来源</w:t>
            </w:r>
          </w:p>
        </w:tc>
        <w:tc>
          <w:tcPr>
            <w:tcW w:w="2409" w:type="dxa"/>
            <w:tcBorders>
              <w:top w:val="inset" w:color="auto" w:sz="6" w:space="0"/>
            </w:tcBorders>
            <w:vAlign w:val="center"/>
          </w:tcPr>
          <w:p>
            <w:pPr>
              <w:tabs>
                <w:tab w:val="left" w:pos="7088"/>
              </w:tabs>
              <w:jc w:val="center"/>
              <w:rPr>
                <w:rFonts w:asciiTheme="minorEastAsia" w:hAnsiTheme="minorEastAsia" w:eastAsiaTheme="minorEastAsia"/>
                <w:sz w:val="28"/>
                <w:szCs w:val="28"/>
              </w:rPr>
            </w:pPr>
            <w:r>
              <w:fldChar w:fldCharType="begin"/>
            </w:r>
            <w:r>
              <w:instrText xml:space="preserve"> HYPERLINK "javascript:void(0);" </w:instrText>
            </w:r>
            <w:r>
              <w:fldChar w:fldCharType="separate"/>
            </w:r>
            <w:r>
              <w:rPr>
                <w:rFonts w:hint="eastAsia"/>
                <w:sz w:val="28"/>
                <w:szCs w:val="28"/>
              </w:rPr>
              <w:t>医药经济报</w:t>
            </w:r>
            <w:r>
              <w:rPr>
                <w:rFonts w:hint="eastAsia"/>
                <w:sz w:val="28"/>
                <w:szCs w:val="28"/>
              </w:rPr>
              <w:fldChar w:fldCharType="end"/>
            </w:r>
            <w:r>
              <w:rPr>
                <w:rFonts w:asciiTheme="minorEastAsia" w:hAnsiTheme="minorEastAsia" w:eastAsiaTheme="minorEastAsia"/>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56" w:hRule="atLeast"/>
        </w:trPr>
        <w:tc>
          <w:tcPr>
            <w:tcW w:w="2127"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268" w:type="dxa"/>
            <w:vAlign w:val="center"/>
          </w:tcPr>
          <w:p>
            <w:pPr>
              <w:tabs>
                <w:tab w:val="left" w:pos="7088"/>
              </w:tabs>
              <w:jc w:val="center"/>
              <w:rPr>
                <w:sz w:val="28"/>
                <w:szCs w:val="28"/>
              </w:rPr>
            </w:pPr>
            <w:r>
              <w:rPr>
                <w:rFonts w:hint="eastAsia"/>
                <w:sz w:val="28"/>
                <w:szCs w:val="28"/>
              </w:rPr>
              <w:t>运营管理部</w:t>
            </w:r>
          </w:p>
        </w:tc>
        <w:tc>
          <w:tcPr>
            <w:tcW w:w="1985" w:type="dxa"/>
            <w:gridSpan w:val="2"/>
            <w:vAlign w:val="center"/>
          </w:tcPr>
          <w:p>
            <w:pPr>
              <w:tabs>
                <w:tab w:val="left" w:pos="7088"/>
              </w:tabs>
              <w:jc w:val="center"/>
              <w:rPr>
                <w:b/>
                <w:sz w:val="30"/>
                <w:szCs w:val="30"/>
              </w:rPr>
            </w:pPr>
            <w:r>
              <w:rPr>
                <w:rFonts w:hint="eastAsia"/>
                <w:b/>
                <w:sz w:val="30"/>
                <w:szCs w:val="30"/>
              </w:rPr>
              <w:t>信息确认</w:t>
            </w:r>
          </w:p>
        </w:tc>
        <w:tc>
          <w:tcPr>
            <w:tcW w:w="2409" w:type="dxa"/>
            <w:vAlign w:val="center"/>
          </w:tcPr>
          <w:p>
            <w:pPr>
              <w:tabs>
                <w:tab w:val="left" w:pos="7088"/>
              </w:tabs>
              <w:jc w:val="center"/>
              <w:rPr>
                <w:sz w:val="28"/>
                <w:szCs w:val="28"/>
              </w:rPr>
            </w:pPr>
            <w:r>
              <w:rPr>
                <w:rFonts w:hint="eastAsia"/>
                <w:sz w:val="28"/>
                <w:szCs w:val="28"/>
              </w:rPr>
              <w:t>彭宇飞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78" w:hRule="atLeast"/>
        </w:trPr>
        <w:tc>
          <w:tcPr>
            <w:tcW w:w="2127" w:type="dxa"/>
            <w:tcBorders>
              <w:bottom w:val="single" w:color="auto" w:sz="4" w:space="0"/>
            </w:tcBorders>
            <w:vAlign w:val="center"/>
          </w:tcPr>
          <w:p>
            <w:pPr>
              <w:tabs>
                <w:tab w:val="left" w:pos="7088"/>
              </w:tabs>
              <w:jc w:val="center"/>
              <w:rPr>
                <w:b/>
                <w:sz w:val="30"/>
                <w:szCs w:val="30"/>
              </w:rPr>
            </w:pPr>
            <w:r>
              <w:rPr>
                <w:rFonts w:hint="eastAsia"/>
                <w:b/>
                <w:sz w:val="30"/>
                <w:szCs w:val="30"/>
              </w:rPr>
              <w:t>确认</w:t>
            </w:r>
            <w:r>
              <w:rPr>
                <w:b/>
                <w:sz w:val="30"/>
                <w:szCs w:val="30"/>
              </w:rPr>
              <w:t>结果</w:t>
            </w:r>
          </w:p>
        </w:tc>
        <w:tc>
          <w:tcPr>
            <w:tcW w:w="6662" w:type="dxa"/>
            <w:gridSpan w:val="4"/>
            <w:tcBorders>
              <w:bottom w:val="single" w:color="auto" w:sz="4" w:space="0"/>
            </w:tcBorders>
            <w:vAlign w:val="center"/>
          </w:tcPr>
          <w:p>
            <w:pPr>
              <w:tabs>
                <w:tab w:val="left" w:pos="7088"/>
              </w:tabs>
              <w:jc w:val="left"/>
              <w:rPr>
                <w:rFonts w:asciiTheme="minorEastAsia" w:hAnsiTheme="minorEastAsia" w:eastAsiaTheme="minorEastAsia"/>
                <w:sz w:val="28"/>
                <w:szCs w:val="28"/>
              </w:rPr>
            </w:pPr>
            <w:r>
              <w:rPr>
                <w:rFonts w:hint="eastAsia" w:asciiTheme="minorEastAsia" w:hAnsiTheme="minorEastAsia" w:eastAsiaTheme="minorEastAsia"/>
                <w:sz w:val="28"/>
                <w:szCs w:val="28"/>
              </w:rPr>
              <w:t>来源：</w:t>
            </w:r>
            <w:r>
              <w:fldChar w:fldCharType="begin"/>
            </w:r>
            <w:r>
              <w:instrText xml:space="preserve"> HYPERLINK "javascript:void(0);" </w:instrText>
            </w:r>
            <w:r>
              <w:fldChar w:fldCharType="separate"/>
            </w:r>
            <w:r>
              <w:rPr>
                <w:rFonts w:hint="eastAsia"/>
                <w:sz w:val="28"/>
                <w:szCs w:val="28"/>
              </w:rPr>
              <w:t>医药经济报</w:t>
            </w:r>
            <w:r>
              <w:rPr>
                <w:rFonts w:hint="eastAsia"/>
                <w:sz w:val="28"/>
                <w:szCs w:val="28"/>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958" w:hRule="atLeast"/>
        </w:trPr>
        <w:tc>
          <w:tcPr>
            <w:tcW w:w="2127" w:type="dxa"/>
            <w:tcBorders>
              <w:top w:val="single" w:color="auto" w:sz="4" w:space="0"/>
            </w:tcBorders>
            <w:vAlign w:val="center"/>
          </w:tcPr>
          <w:p>
            <w:pPr>
              <w:tabs>
                <w:tab w:val="left" w:pos="7088"/>
              </w:tabs>
              <w:jc w:val="center"/>
              <w:rPr>
                <w:b/>
                <w:sz w:val="30"/>
                <w:szCs w:val="30"/>
              </w:rPr>
            </w:pPr>
            <w:r>
              <w:rPr>
                <w:rFonts w:hint="eastAsia"/>
                <w:b/>
                <w:sz w:val="30"/>
                <w:szCs w:val="30"/>
              </w:rPr>
              <w:t xml:space="preserve">   关键词</w:t>
            </w:r>
            <w:r>
              <w:rPr>
                <w:rFonts w:hint="eastAsia"/>
                <w:b/>
                <w:sz w:val="30"/>
                <w:szCs w:val="30"/>
              </w:rPr>
              <w:tab/>
            </w:r>
            <w:r>
              <w:rPr>
                <w:rFonts w:hint="eastAsia"/>
                <w:b/>
                <w:sz w:val="30"/>
                <w:szCs w:val="30"/>
              </w:rPr>
              <w:t>药政重点 二票制</w:t>
            </w:r>
          </w:p>
        </w:tc>
        <w:tc>
          <w:tcPr>
            <w:tcW w:w="6662" w:type="dxa"/>
            <w:gridSpan w:val="4"/>
            <w:tcBorders>
              <w:top w:val="single" w:color="auto" w:sz="4" w:space="0"/>
            </w:tcBorders>
            <w:vAlign w:val="center"/>
          </w:tcPr>
          <w:p>
            <w:pPr>
              <w:tabs>
                <w:tab w:val="left" w:pos="7088"/>
              </w:tabs>
              <w:jc w:val="left"/>
              <w:rPr>
                <w:rFonts w:asciiTheme="minorEastAsia" w:hAnsiTheme="minorEastAsia" w:eastAsiaTheme="minorEastAsia"/>
                <w:sz w:val="28"/>
                <w:szCs w:val="28"/>
              </w:rPr>
            </w:pPr>
            <w:r>
              <w:rPr>
                <w:rFonts w:hint="eastAsia" w:asciiTheme="minorEastAsia" w:hAnsiTheme="minorEastAsia"/>
                <w:sz w:val="28"/>
                <w:szCs w:val="28"/>
              </w:rPr>
              <w:t xml:space="preserve">医药流通  物流资质  </w:t>
            </w:r>
            <w:r>
              <w:rPr>
                <w:rFonts w:hint="eastAsia" w:asciiTheme="minorEastAsia" w:hAnsiTheme="minorEastAsia" w:eastAsiaTheme="minorEastAsia"/>
                <w:sz w:val="28"/>
                <w:szCs w:val="28"/>
              </w:rPr>
              <w:t xml:space="preserve">商标  市场竞争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4" w:type="dxa"/>
          <w:trHeight w:val="879" w:hRule="atLeast"/>
        </w:trPr>
        <w:tc>
          <w:tcPr>
            <w:tcW w:w="2127" w:type="dxa"/>
            <w:vAlign w:val="center"/>
          </w:tcPr>
          <w:p>
            <w:pPr>
              <w:tabs>
                <w:tab w:val="left" w:pos="7088"/>
              </w:tabs>
              <w:jc w:val="center"/>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内容概要</w:t>
            </w:r>
          </w:p>
        </w:tc>
        <w:tc>
          <w:tcPr>
            <w:tcW w:w="6662" w:type="dxa"/>
            <w:gridSpan w:val="4"/>
            <w:vAlign w:val="center"/>
          </w:tcPr>
          <w:p>
            <w:pPr>
              <w:ind w:firstLine="560" w:firstLineChars="200"/>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 xml:space="preserve"> </w:t>
            </w:r>
          </w:p>
          <w:p>
            <w:pPr>
              <w:widowControl/>
              <w:shd w:val="clear" w:color="auto" w:fill="FFFFFF"/>
              <w:spacing w:line="420" w:lineRule="atLeast"/>
              <w:ind w:left="120" w:right="120" w:firstLine="560" w:firstLineChars="200"/>
              <w:rPr>
                <w:rFonts w:asciiTheme="minorEastAsia" w:hAnsiTheme="minorEastAsia"/>
                <w:sz w:val="28"/>
                <w:szCs w:val="28"/>
              </w:rPr>
            </w:pPr>
            <w:r>
              <w:rPr>
                <w:rFonts w:hint="eastAsia" w:asciiTheme="minorEastAsia" w:hAnsiTheme="minorEastAsia"/>
                <w:sz w:val="28"/>
                <w:szCs w:val="28"/>
              </w:rPr>
              <w:t>中国邮政集团有限公司新增多条商标信息，商标名称显示为中邮医药、中邮药房、中邮健康等，目前商标状态均为“等待实质审查”。除了京东、邮政，近年来，顺丰、“三通一达”等物流巨头也纷纷布局，在各项政策叠加下，医药流通市场进一步加速洗牌。</w:t>
            </w:r>
          </w:p>
          <w:p>
            <w:pPr>
              <w:rPr>
                <w:rFonts w:asciiTheme="minorEastAsia" w:hAnsiTheme="minorEastAsia"/>
                <w:sz w:val="28"/>
                <w:szCs w:val="28"/>
              </w:rPr>
            </w:pPr>
          </w:p>
          <w:p>
            <w:pPr>
              <w:rPr>
                <w:rFonts w:cs="宋体" w:asciiTheme="minorEastAsia" w:hAnsiTheme="minorEastAsia" w:eastAsiaTheme="minorEastAsia"/>
                <w:kern w:val="0"/>
                <w:sz w:val="28"/>
                <w:szCs w:val="28"/>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rFonts w:ascii="宋体" w:hAnsi="宋体" w:cs="宋体"/>
                <w:kern w:val="0"/>
                <w:szCs w:val="21"/>
              </w:rPr>
            </w:pPr>
          </w:p>
          <w:p>
            <w:pPr>
              <w:rPr>
                <w:szCs w:val="21"/>
              </w:rPr>
            </w:pPr>
            <w:r>
              <w:rPr>
                <w:rFonts w:hint="eastAsia" w:ascii="宋体" w:hAnsi="宋体" w:cs="宋体"/>
                <w:kern w:val="0"/>
                <w:szCs w:val="21"/>
              </w:rPr>
              <w:t>附件4：医药流通市场大变天！京东获第三方药品物流资质、邮政新增多条医药商标</w:t>
            </w:r>
          </w:p>
        </w:tc>
      </w:tr>
    </w:tbl>
    <w:tbl>
      <w:tblPr>
        <w:tblStyle w:val="10"/>
        <w:tblpPr w:leftFromText="180" w:rightFromText="180" w:vertAnchor="text" w:horzAnchor="margin" w:tblpXSpec="center" w:tblpY="347"/>
        <w:tblW w:w="90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6"/>
        <w:gridCol w:w="2341"/>
        <w:gridCol w:w="2341"/>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2196" w:type="dxa"/>
            <w:vAlign w:val="center"/>
          </w:tcPr>
          <w:p>
            <w:pPr>
              <w:tabs>
                <w:tab w:val="left" w:pos="7088"/>
              </w:tabs>
              <w:jc w:val="center"/>
              <w:rPr>
                <w:b/>
                <w:sz w:val="30"/>
                <w:szCs w:val="30"/>
              </w:rPr>
            </w:pPr>
            <w:r>
              <w:rPr>
                <w:rFonts w:hint="eastAsia"/>
                <w:b/>
                <w:sz w:val="30"/>
                <w:szCs w:val="30"/>
              </w:rPr>
              <w:t>信息05</w:t>
            </w:r>
          </w:p>
        </w:tc>
        <w:tc>
          <w:tcPr>
            <w:tcW w:w="6877" w:type="dxa"/>
            <w:gridSpan w:val="3"/>
            <w:vAlign w:val="center"/>
          </w:tcPr>
          <w:p>
            <w:pPr>
              <w:rPr>
                <w:b/>
                <w:sz w:val="32"/>
                <w:szCs w:val="32"/>
              </w:rPr>
            </w:pPr>
            <w:r>
              <w:rPr>
                <w:rFonts w:hint="eastAsia"/>
                <w:b/>
                <w:sz w:val="32"/>
                <w:szCs w:val="32"/>
              </w:rPr>
              <w:t>中国零售药店市场首破6600亿！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96" w:type="dxa"/>
            <w:vAlign w:val="center"/>
          </w:tcPr>
          <w:p>
            <w:pPr>
              <w:tabs>
                <w:tab w:val="left" w:pos="7088"/>
              </w:tabs>
              <w:jc w:val="center"/>
            </w:pPr>
            <w:r>
              <w:rPr>
                <w:rFonts w:hint="eastAsia"/>
                <w:b/>
                <w:sz w:val="30"/>
                <w:szCs w:val="30"/>
              </w:rPr>
              <w:t>发布</w:t>
            </w:r>
            <w:r>
              <w:rPr>
                <w:b/>
                <w:sz w:val="30"/>
                <w:szCs w:val="30"/>
              </w:rPr>
              <w:t>时间</w:t>
            </w:r>
          </w:p>
        </w:tc>
        <w:tc>
          <w:tcPr>
            <w:tcW w:w="2341" w:type="dxa"/>
            <w:vAlign w:val="center"/>
          </w:tcPr>
          <w:p>
            <w:pPr>
              <w:tabs>
                <w:tab w:val="left" w:pos="7088"/>
              </w:tabs>
              <w:jc w:val="center"/>
              <w:rPr>
                <w:rFonts w:asciiTheme="minorEastAsia" w:hAnsiTheme="minorEastAsia" w:eastAsiaTheme="minorEastAsia"/>
                <w:sz w:val="30"/>
                <w:szCs w:val="30"/>
              </w:rPr>
            </w:pPr>
            <w:r>
              <w:rPr>
                <w:rFonts w:hint="eastAsia" w:asciiTheme="minorEastAsia" w:hAnsiTheme="minorEastAsia" w:eastAsiaTheme="minorEastAsia"/>
                <w:sz w:val="30"/>
                <w:szCs w:val="30"/>
              </w:rPr>
              <w:t>2020-08-24</w:t>
            </w:r>
          </w:p>
        </w:tc>
        <w:tc>
          <w:tcPr>
            <w:tcW w:w="2341" w:type="dxa"/>
            <w:vAlign w:val="center"/>
          </w:tcPr>
          <w:p>
            <w:pPr>
              <w:tabs>
                <w:tab w:val="left" w:pos="7088"/>
              </w:tabs>
              <w:jc w:val="center"/>
              <w:rPr>
                <w:b/>
                <w:sz w:val="28"/>
                <w:szCs w:val="28"/>
              </w:rPr>
            </w:pPr>
            <w:r>
              <w:rPr>
                <w:rFonts w:hint="eastAsia"/>
                <w:b/>
                <w:sz w:val="30"/>
                <w:szCs w:val="30"/>
              </w:rPr>
              <w:t>信息来源</w:t>
            </w:r>
          </w:p>
        </w:tc>
        <w:tc>
          <w:tcPr>
            <w:tcW w:w="2195" w:type="dxa"/>
            <w:vAlign w:val="center"/>
          </w:tcPr>
          <w:p>
            <w:pPr>
              <w:tabs>
                <w:tab w:val="left" w:pos="7088"/>
              </w:tabs>
              <w:jc w:val="center"/>
              <w:rPr>
                <w:rFonts w:hint="eastAsia"/>
                <w:sz w:val="28"/>
                <w:szCs w:val="28"/>
              </w:rPr>
            </w:pPr>
            <w:r>
              <w:rPr>
                <w:rFonts w:hint="eastAsia"/>
                <w:sz w:val="28"/>
                <w:szCs w:val="28"/>
              </w:rPr>
              <w:t>米内网 </w:t>
            </w:r>
          </w:p>
          <w:p>
            <w:pPr>
              <w:tabs>
                <w:tab w:val="left" w:pos="7088"/>
              </w:tabs>
              <w:jc w:val="center"/>
              <w:rPr>
                <w:rFonts w:asciiTheme="minorEastAsia" w:hAnsiTheme="minorEastAsia" w:eastAsiaTheme="minorEastAsia"/>
                <w:sz w:val="28"/>
                <w:szCs w:val="28"/>
              </w:rPr>
            </w:pPr>
            <w:r>
              <w:fldChar w:fldCharType="begin"/>
            </w:r>
            <w:r>
              <w:instrText xml:space="preserve"> HYPERLINK "javascript:void(0);" </w:instrText>
            </w:r>
            <w:r>
              <w:fldChar w:fldCharType="separate"/>
            </w:r>
            <w:r>
              <w:rPr>
                <w:rFonts w:hint="eastAsia"/>
                <w:sz w:val="28"/>
                <w:szCs w:val="28"/>
              </w:rPr>
              <w:t>谷丰观点</w:t>
            </w:r>
            <w:r>
              <w:rPr>
                <w:rFonts w:hint="eastAsia"/>
                <w:sz w:val="28"/>
                <w:szCs w:val="28"/>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96"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341" w:type="dxa"/>
            <w:vAlign w:val="center"/>
          </w:tcPr>
          <w:p>
            <w:pPr>
              <w:tabs>
                <w:tab w:val="left" w:pos="7088"/>
              </w:tabs>
              <w:jc w:val="center"/>
              <w:rPr>
                <w:sz w:val="30"/>
                <w:szCs w:val="30"/>
              </w:rPr>
            </w:pPr>
            <w:r>
              <w:rPr>
                <w:rFonts w:hint="eastAsia"/>
                <w:sz w:val="28"/>
                <w:szCs w:val="28"/>
              </w:rPr>
              <w:t>运营管理部</w:t>
            </w:r>
          </w:p>
        </w:tc>
        <w:tc>
          <w:tcPr>
            <w:tcW w:w="2341" w:type="dxa"/>
            <w:vAlign w:val="center"/>
          </w:tcPr>
          <w:p>
            <w:pPr>
              <w:tabs>
                <w:tab w:val="left" w:pos="7088"/>
              </w:tabs>
              <w:jc w:val="center"/>
              <w:rPr>
                <w:b/>
                <w:sz w:val="28"/>
                <w:szCs w:val="28"/>
              </w:rPr>
            </w:pPr>
            <w:r>
              <w:rPr>
                <w:rFonts w:hint="eastAsia"/>
                <w:b/>
                <w:sz w:val="30"/>
                <w:szCs w:val="30"/>
              </w:rPr>
              <w:t>信息确认</w:t>
            </w:r>
          </w:p>
        </w:tc>
        <w:tc>
          <w:tcPr>
            <w:tcW w:w="2195" w:type="dxa"/>
            <w:vAlign w:val="center"/>
          </w:tcPr>
          <w:p>
            <w:pPr>
              <w:tabs>
                <w:tab w:val="left" w:pos="7088"/>
              </w:tabs>
              <w:jc w:val="center"/>
              <w:rPr>
                <w:sz w:val="30"/>
                <w:szCs w:val="30"/>
              </w:rPr>
            </w:pPr>
            <w:r>
              <w:rPr>
                <w:rFonts w:hint="eastAsia"/>
                <w:sz w:val="30"/>
                <w:szCs w:val="30"/>
              </w:rPr>
              <w:t>彭宇飞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2196" w:type="dxa"/>
            <w:tcBorders>
              <w:bottom w:val="single" w:color="auto" w:sz="4" w:space="0"/>
            </w:tcBorders>
            <w:vAlign w:val="center"/>
          </w:tcPr>
          <w:p>
            <w:pPr>
              <w:tabs>
                <w:tab w:val="left" w:pos="7088"/>
              </w:tabs>
              <w:ind w:firstLine="452" w:firstLineChars="150"/>
              <w:rPr>
                <w:b/>
                <w:sz w:val="30"/>
                <w:szCs w:val="30"/>
              </w:rPr>
            </w:pPr>
            <w:r>
              <w:rPr>
                <w:rFonts w:hint="eastAsia"/>
                <w:b/>
                <w:sz w:val="30"/>
                <w:szCs w:val="30"/>
              </w:rPr>
              <w:t>确认</w:t>
            </w:r>
            <w:r>
              <w:rPr>
                <w:b/>
                <w:sz w:val="30"/>
                <w:szCs w:val="30"/>
              </w:rPr>
              <w:t>结果</w:t>
            </w:r>
          </w:p>
        </w:tc>
        <w:tc>
          <w:tcPr>
            <w:tcW w:w="6877" w:type="dxa"/>
            <w:gridSpan w:val="3"/>
            <w:tcBorders>
              <w:bottom w:val="single" w:color="auto" w:sz="4" w:space="0"/>
            </w:tcBorders>
            <w:vAlign w:val="center"/>
          </w:tcPr>
          <w:p>
            <w:pPr>
              <w:tabs>
                <w:tab w:val="left" w:pos="7088"/>
              </w:tabs>
              <w:jc w:val="left"/>
              <w:rPr>
                <w:sz w:val="28"/>
                <w:szCs w:val="28"/>
              </w:rPr>
            </w:pPr>
            <w:r>
              <w:rPr>
                <w:rFonts w:hint="eastAsia"/>
                <w:sz w:val="30"/>
                <w:szCs w:val="30"/>
              </w:rPr>
              <w:t>来源：</w:t>
            </w:r>
            <w:r>
              <w:rPr>
                <w:rFonts w:hint="eastAsia"/>
                <w:sz w:val="28"/>
                <w:szCs w:val="28"/>
              </w:rPr>
              <w:t>米内网 </w:t>
            </w:r>
            <w:r>
              <w:fldChar w:fldCharType="begin"/>
            </w:r>
            <w:r>
              <w:instrText xml:space="preserve"> HYPERLINK "javascript:void(0);" </w:instrText>
            </w:r>
            <w:r>
              <w:fldChar w:fldCharType="separate"/>
            </w:r>
            <w:r>
              <w:rPr>
                <w:rFonts w:hint="eastAsia"/>
                <w:sz w:val="28"/>
                <w:szCs w:val="28"/>
              </w:rPr>
              <w:t>谷丰观点</w:t>
            </w:r>
            <w:r>
              <w:rPr>
                <w:rFonts w:hint="eastAsia"/>
                <w:sz w:val="28"/>
                <w:szCs w:val="28"/>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5" w:hRule="atLeast"/>
        </w:trPr>
        <w:tc>
          <w:tcPr>
            <w:tcW w:w="2196" w:type="dxa"/>
            <w:tcBorders>
              <w:top w:val="single" w:color="auto" w:sz="4" w:space="0"/>
            </w:tcBorders>
            <w:vAlign w:val="center"/>
          </w:tcPr>
          <w:p>
            <w:pPr>
              <w:tabs>
                <w:tab w:val="left" w:pos="7088"/>
              </w:tabs>
              <w:jc w:val="center"/>
              <w:rPr>
                <w:b/>
                <w:sz w:val="30"/>
                <w:szCs w:val="30"/>
              </w:rPr>
            </w:pPr>
            <w:r>
              <w:rPr>
                <w:rFonts w:hint="eastAsia"/>
                <w:b/>
                <w:sz w:val="30"/>
                <w:szCs w:val="30"/>
              </w:rPr>
              <w:t>关键词</w:t>
            </w:r>
          </w:p>
        </w:tc>
        <w:tc>
          <w:tcPr>
            <w:tcW w:w="6877" w:type="dxa"/>
            <w:gridSpan w:val="3"/>
            <w:tcBorders>
              <w:top w:val="single" w:color="auto" w:sz="4" w:space="0"/>
            </w:tcBorders>
            <w:vAlign w:val="center"/>
          </w:tcPr>
          <w:p>
            <w:pPr>
              <w:tabs>
                <w:tab w:val="left" w:pos="7088"/>
              </w:tabs>
              <w:jc w:val="left"/>
              <w:rPr>
                <w:rFonts w:cs="宋体" w:asciiTheme="majorEastAsia" w:hAnsiTheme="majorEastAsia" w:eastAsiaTheme="majorEastAsia"/>
                <w:kern w:val="0"/>
                <w:sz w:val="30"/>
                <w:szCs w:val="30"/>
              </w:rPr>
            </w:pPr>
            <w:r>
              <w:rPr>
                <w:rFonts w:hint="eastAsia" w:asciiTheme="minorEastAsia" w:hAnsiTheme="minorEastAsia"/>
                <w:sz w:val="28"/>
                <w:szCs w:val="28"/>
                <w:shd w:val="clear" w:color="auto" w:fill="FFFFFF"/>
              </w:rPr>
              <w:t>药店</w:t>
            </w:r>
            <w:r>
              <w:rPr>
                <w:rFonts w:hint="eastAsia" w:cs="宋体" w:asciiTheme="majorEastAsia" w:hAnsiTheme="majorEastAsia" w:eastAsiaTheme="majorEastAsia"/>
                <w:kern w:val="0"/>
                <w:sz w:val="30"/>
                <w:szCs w:val="30"/>
              </w:rPr>
              <w:t xml:space="preserve">  </w:t>
            </w:r>
            <w:r>
              <w:rPr>
                <w:rFonts w:hint="eastAsia" w:asciiTheme="minorEastAsia" w:hAnsiTheme="minorEastAsia"/>
                <w:sz w:val="28"/>
                <w:szCs w:val="28"/>
                <w:shd w:val="clear" w:color="auto" w:fill="FFFFFF"/>
              </w:rPr>
              <w:t>零售</w:t>
            </w:r>
            <w:r>
              <w:rPr>
                <w:rFonts w:hint="eastAsia" w:cs="宋体" w:asciiTheme="majorEastAsia" w:hAnsiTheme="majorEastAsia" w:eastAsiaTheme="majorEastAsia"/>
                <w:kern w:val="0"/>
                <w:sz w:val="30"/>
                <w:szCs w:val="30"/>
              </w:rPr>
              <w:t xml:space="preserve">  </w:t>
            </w:r>
            <w:r>
              <w:rPr>
                <w:rFonts w:hint="eastAsia" w:asciiTheme="minorEastAsia" w:hAnsiTheme="minorEastAsia"/>
                <w:sz w:val="28"/>
                <w:szCs w:val="28"/>
                <w:shd w:val="clear" w:color="auto" w:fill="FFFFFF"/>
              </w:rPr>
              <w:t>规模  市场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6" w:hRule="atLeast"/>
        </w:trPr>
        <w:tc>
          <w:tcPr>
            <w:tcW w:w="2196" w:type="dxa"/>
            <w:vAlign w:val="center"/>
          </w:tcPr>
          <w:p>
            <w:pPr>
              <w:tabs>
                <w:tab w:val="left" w:pos="7088"/>
              </w:tabs>
              <w:jc w:val="center"/>
              <w:rPr>
                <w:b/>
                <w:sz w:val="30"/>
                <w:szCs w:val="30"/>
              </w:rPr>
            </w:pPr>
            <w:r>
              <w:rPr>
                <w:b/>
                <w:sz w:val="30"/>
                <w:szCs w:val="30"/>
              </w:rPr>
              <w:t>内容概要</w:t>
            </w:r>
          </w:p>
        </w:tc>
        <w:tc>
          <w:tcPr>
            <w:tcW w:w="6877" w:type="dxa"/>
            <w:gridSpan w:val="3"/>
            <w:vAlign w:val="center"/>
          </w:tcPr>
          <w:p>
            <w:pPr>
              <w:ind w:firstLine="560" w:firstLineChars="200"/>
              <w:rPr>
                <w:rFonts w:asciiTheme="minorEastAsia" w:hAnsiTheme="minorEastAsia"/>
                <w:sz w:val="28"/>
                <w:szCs w:val="28"/>
                <w:shd w:val="clear" w:color="auto" w:fill="FFFFFF"/>
              </w:rPr>
            </w:pPr>
          </w:p>
          <w:p>
            <w:pPr>
              <w:ind w:firstLine="560" w:firstLineChars="200"/>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今年8月，国家药监局发布《2019年度药品监管统计年报》，截至2019年底，全国共有《药品经营许可证》持证企业54.4万家，其中批发企业1.4万家；零售连锁企业6701家，零售连锁企业门店29.0万家；零售药店23.4万家。</w:t>
            </w:r>
            <w:r>
              <w:fldChar w:fldCharType="begin"/>
            </w:r>
            <w:r>
              <w:instrText xml:space="preserve"> HYPERLINK "https://mp.weixin.qq.com/s?__biz=MzA3MzM3NzYyNg==&amp;mid=2247495322&amp;idx=1&amp;sn=de1dc47f84138bd63f0cdbb78edfe46b&amp;chksm=9f0d5cafa87ad5b96f090dbbcf60bab8c225d4f7531c0e78f0f150af2a31bfb5974732f29127&amp;mpshare=1&amp;scene=1&amp;srcid=0824Cau8VFnlYfTewIzn6OJj&amp;sharer_sharetime=1598269186556&amp;sharer_shareid=40073f3a88ec896afeb4647df54285f7&amp;key=56c1a4d5743468c9b6005984414b20ce1ba9ad794e053ccb2811678eececd8dfbda3342f2bac1a21d42927d09318e27545f3fa24a601461968c90669b747f3f79c137ecdcbb3aa7c3e2f612036b04124079d6bc8f8bab32a14e7409fe16192781296650b83719c650e1d7550f0fee9bb60921b1f052593839e7acf938d2eb3bb&amp;ascene=1&amp;uin=MjEzNDI5NjE4MA%3D%3D&amp;devicetype=Windows+7+x64&amp;version=62090529&amp;lang=zh_CN&amp;exportkey=ATsDRmA42Ie2%2FASQvnojQUs%3D&amp;pass_ticket=Qdke5f%2FVInBSVwcmTLHvThWoVUJs5EHKExDb%2BC2NvERi72Fhry93nbdROiHBJjP%2B&amp;winzoom=1" </w:instrText>
            </w:r>
            <w:r>
              <w:fldChar w:fldCharType="separate"/>
            </w:r>
            <w:r>
              <w:rPr>
                <w:rFonts w:hint="eastAsia" w:asciiTheme="minorEastAsia" w:hAnsiTheme="minorEastAsia"/>
                <w:sz w:val="28"/>
                <w:szCs w:val="28"/>
                <w:shd w:val="clear" w:color="auto" w:fill="FFFFFF"/>
              </w:rPr>
              <w:t>米内网</w:t>
            </w:r>
            <w:r>
              <w:rPr>
                <w:rFonts w:hint="eastAsia" w:asciiTheme="minorEastAsia" w:hAnsiTheme="minorEastAsia"/>
                <w:sz w:val="28"/>
                <w:szCs w:val="28"/>
                <w:shd w:val="clear" w:color="auto" w:fill="FFFFFF"/>
              </w:rPr>
              <w:fldChar w:fldCharType="end"/>
            </w:r>
            <w:r>
              <w:rPr>
                <w:rFonts w:hint="eastAsia" w:asciiTheme="minorEastAsia" w:hAnsiTheme="minorEastAsia"/>
                <w:sz w:val="28"/>
                <w:szCs w:val="28"/>
                <w:shd w:val="clear" w:color="auto" w:fill="FFFFFF"/>
              </w:rPr>
              <w:t>显示，按终端平均零售价计算，2019年中国实体药店和网上药店(含药品和非药品)销售规模达6620亿元，同比增长8.4%。</w:t>
            </w:r>
          </w:p>
          <w:p>
            <w:pPr>
              <w:rPr>
                <w:rFonts w:hint="eastAsia" w:cs="宋体" w:asciiTheme="minorEastAsia" w:hAnsiTheme="minorEastAsia" w:eastAsiaTheme="minorEastAsia"/>
                <w:kern w:val="0"/>
                <w:szCs w:val="21"/>
              </w:rPr>
            </w:pPr>
          </w:p>
          <w:p>
            <w:pPr>
              <w:rPr>
                <w:rFonts w:hint="eastAsia" w:cs="宋体" w:asciiTheme="minorEastAsia" w:hAnsiTheme="minorEastAsia" w:eastAsiaTheme="minorEastAsia"/>
                <w:kern w:val="0"/>
                <w:szCs w:val="21"/>
              </w:rPr>
            </w:pPr>
          </w:p>
          <w:p>
            <w:pPr>
              <w:rPr>
                <w:rFonts w:hint="eastAsia" w:cs="宋体" w:asciiTheme="minorEastAsia" w:hAnsiTheme="minorEastAsia" w:eastAsiaTheme="minorEastAsia"/>
                <w:kern w:val="0"/>
                <w:szCs w:val="21"/>
              </w:rPr>
            </w:pPr>
          </w:p>
          <w:p>
            <w:pPr>
              <w:rPr>
                <w:rFonts w:hint="eastAsia"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rPr>
                <w:rFonts w:cs="宋体" w:asciiTheme="minorEastAsia" w:hAnsiTheme="minorEastAsia" w:eastAsiaTheme="minorEastAsia"/>
                <w:kern w:val="0"/>
                <w:szCs w:val="21"/>
              </w:rPr>
            </w:pPr>
          </w:p>
          <w:p>
            <w:pPr>
              <w:spacing w:line="480" w:lineRule="auto"/>
              <w:rPr>
                <w:b/>
                <w:sz w:val="32"/>
                <w:szCs w:val="32"/>
              </w:rPr>
            </w:pPr>
            <w:r>
              <w:rPr>
                <w:rFonts w:hint="eastAsia" w:ascii="宋体" w:hAnsi="宋体" w:cs="宋体"/>
                <w:kern w:val="0"/>
                <w:szCs w:val="21"/>
              </w:rPr>
              <w:t>附件5:中国零售药店市场首破6600亿！</w:t>
            </w:r>
          </w:p>
        </w:tc>
      </w:tr>
    </w:tbl>
    <w:p>
      <w:pPr>
        <w:widowControl/>
        <w:spacing w:before="100" w:beforeAutospacing="1" w:after="100" w:afterAutospacing="1" w:line="900" w:lineRule="atLeast"/>
        <w:outlineLvl w:val="1"/>
        <w:rPr>
          <w:rFonts w:ascii="微软雅黑" w:hAnsi="微软雅黑" w:eastAsia="微软雅黑" w:cs="宋体"/>
          <w:b/>
          <w:color w:val="333333"/>
          <w:kern w:val="36"/>
          <w:sz w:val="24"/>
        </w:rPr>
      </w:pPr>
      <w:r>
        <w:rPr>
          <w:rFonts w:hint="eastAsia" w:ascii="微软雅黑" w:hAnsi="微软雅黑" w:eastAsia="微软雅黑" w:cs="宋体"/>
          <w:b/>
          <w:color w:val="333333"/>
          <w:kern w:val="36"/>
          <w:sz w:val="24"/>
        </w:rPr>
        <w:t>附件1</w:t>
      </w:r>
    </w:p>
    <w:p>
      <w:pPr>
        <w:pStyle w:val="2"/>
        <w:shd w:val="clear" w:color="auto" w:fill="FFFFFF"/>
        <w:spacing w:beforeAutospacing="0" w:after="210" w:afterAutospacing="0"/>
        <w:rPr>
          <w:rFonts w:ascii="微软雅黑" w:hAnsi="微软雅黑" w:eastAsia="微软雅黑"/>
          <w:b/>
          <w:bCs/>
          <w:color w:val="333333"/>
          <w:spacing w:val="8"/>
          <w:sz w:val="33"/>
          <w:szCs w:val="33"/>
        </w:rPr>
      </w:pPr>
    </w:p>
    <w:p>
      <w:pPr>
        <w:widowControl/>
        <w:shd w:val="clear" w:color="auto" w:fill="FFFFFF"/>
        <w:spacing w:after="210"/>
        <w:jc w:val="left"/>
        <w:outlineLvl w:val="1"/>
        <w:rPr>
          <w:rFonts w:ascii="微软雅黑" w:hAnsi="微软雅黑" w:eastAsia="微软雅黑" w:cs="宋体"/>
          <w:b/>
          <w:bCs/>
          <w:color w:val="333333"/>
          <w:spacing w:val="8"/>
          <w:kern w:val="0"/>
          <w:sz w:val="33"/>
          <w:szCs w:val="33"/>
        </w:rPr>
      </w:pPr>
      <w:r>
        <w:rPr>
          <w:rFonts w:hint="eastAsia" w:ascii="微软雅黑" w:hAnsi="微软雅黑" w:eastAsia="微软雅黑" w:cs="宋体"/>
          <w:color w:val="333333"/>
          <w:spacing w:val="8"/>
          <w:kern w:val="0"/>
          <w:sz w:val="33"/>
          <w:szCs w:val="33"/>
        </w:rPr>
        <w:t>医保目录调整正式方案出炉！</w:t>
      </w:r>
    </w:p>
    <w:p>
      <w:pPr>
        <w:widowControl/>
        <w:spacing w:before="100" w:beforeAutospacing="1" w:after="100" w:afterAutospacing="1"/>
        <w:ind w:firstLine="210" w:firstLineChars="100"/>
        <w:outlineLvl w:val="1"/>
      </w:pPr>
      <w:r>
        <w:fldChar w:fldCharType="begin"/>
      </w:r>
      <w:r>
        <w:instrText xml:space="preserve"> HYPERLINK "javascript:void(0);" </w:instrText>
      </w:r>
      <w:r>
        <w:fldChar w:fldCharType="separate"/>
      </w:r>
      <w:r>
        <w:rPr>
          <w:rFonts w:hint="eastAsia"/>
        </w:rPr>
        <w:t>中国药店</w:t>
      </w:r>
      <w:r>
        <w:rPr>
          <w:rFonts w:hint="eastAsia"/>
        </w:rPr>
        <w:fldChar w:fldCharType="end"/>
      </w:r>
      <w:r>
        <w:rPr>
          <w:rFonts w:hint="eastAsia"/>
        </w:rPr>
        <w:t xml:space="preserve">  2020-08-19</w:t>
      </w:r>
    </w:p>
    <w:p>
      <w:pPr>
        <w:widowControl/>
        <w:shd w:val="clear" w:color="auto" w:fill="FFFFFF"/>
        <w:rPr>
          <w:rFonts w:ascii="微软雅黑" w:hAnsi="微软雅黑" w:eastAsia="微软雅黑" w:cs="宋体"/>
          <w:color w:val="333333"/>
          <w:spacing w:val="23"/>
          <w:kern w:val="0"/>
          <w:sz w:val="24"/>
          <w:szCs w:val="24"/>
        </w:rPr>
      </w:pPr>
    </w:p>
    <w:p>
      <w:pPr>
        <w:widowControl/>
        <w:shd w:val="clear" w:color="auto" w:fill="FFFFFF"/>
        <w:spacing w:line="420" w:lineRule="atLeast"/>
        <w:ind w:firstLine="560" w:firstLineChars="200"/>
        <w:rPr>
          <w:rFonts w:ascii="微软雅黑" w:hAnsi="微软雅黑" w:eastAsia="微软雅黑" w:cs="宋体"/>
          <w:color w:val="333333"/>
          <w:spacing w:val="23"/>
          <w:kern w:val="0"/>
          <w:sz w:val="26"/>
          <w:szCs w:val="26"/>
        </w:rPr>
      </w:pPr>
      <w:r>
        <w:rPr>
          <w:rFonts w:asciiTheme="minorEastAsia" w:hAnsiTheme="minorEastAsia"/>
          <w:sz w:val="28"/>
          <w:szCs w:val="28"/>
          <w:shd w:val="clear" w:color="auto" w:fill="FFFFFF"/>
        </w:rPr>
        <w:t>8月17日晚，国家医保局发布《2020年国家医保药品目录调整工作方案》（以下简称“工作方案”）和《2020年国家医保药品目录调整申报指南以下简称“申报指南”》的公告，公布了新一轮医保目录调整的最终方案。</w:t>
      </w:r>
    </w:p>
    <w:p>
      <w:pPr>
        <w:widowControl/>
        <w:shd w:val="clear" w:color="auto" w:fill="FFFFFF"/>
        <w:spacing w:line="420" w:lineRule="atLeast"/>
        <w:rPr>
          <w:rFonts w:ascii="微软雅黑" w:hAnsi="微软雅黑" w:eastAsia="微软雅黑" w:cs="宋体"/>
          <w:color w:val="333333"/>
          <w:spacing w:val="23"/>
          <w:kern w:val="0"/>
          <w:sz w:val="26"/>
          <w:szCs w:val="26"/>
        </w:rPr>
      </w:pPr>
    </w:p>
    <w:p>
      <w:pPr>
        <w:widowControl/>
        <w:shd w:val="clear" w:color="auto" w:fill="FFFFFF"/>
        <w:rPr>
          <w:rFonts w:asciiTheme="minorEastAsia" w:hAnsiTheme="minorEastAsia"/>
          <w:b/>
          <w:sz w:val="28"/>
          <w:szCs w:val="28"/>
          <w:shd w:val="clear" w:color="auto" w:fill="FFFFFF"/>
        </w:rPr>
      </w:pPr>
      <w:r>
        <w:rPr>
          <w:rFonts w:asciiTheme="minorEastAsia" w:hAnsiTheme="minorEastAsia"/>
          <w:b/>
          <w:sz w:val="28"/>
          <w:szCs w:val="28"/>
          <w:shd w:val="clear" w:color="auto" w:fill="FFFFFF"/>
        </w:rPr>
        <w:t>七类药拟纳入新增药品范围</w:t>
      </w:r>
    </w:p>
    <w:p>
      <w:pPr>
        <w:widowControl/>
        <w:shd w:val="clear" w:color="auto" w:fill="FFFFFF"/>
        <w:spacing w:line="420" w:lineRule="atLeast"/>
        <w:ind w:firstLine="560" w:firstLineChars="200"/>
        <w:rPr>
          <w:rFonts w:asciiTheme="minorEastAsia" w:hAnsiTheme="minorEastAsia"/>
          <w:sz w:val="28"/>
          <w:szCs w:val="28"/>
          <w:shd w:val="clear" w:color="auto" w:fill="FFFFFF"/>
        </w:rPr>
      </w:pPr>
      <w:r>
        <w:rPr>
          <w:rFonts w:asciiTheme="minorEastAsia" w:hAnsiTheme="minorEastAsia"/>
          <w:sz w:val="28"/>
          <w:szCs w:val="28"/>
          <w:shd w:val="clear" w:color="auto" w:fill="FFFFFF"/>
        </w:rPr>
        <w:t>工作方案显示，符合《基本医疗保险用药管理暂行办法》第七条、第八条规定，且具备以下情形之一的药品目录外的药品，可以纳入 2020 年药品目录拟新增药品范围。</w:t>
      </w:r>
    </w:p>
    <w:p>
      <w:pPr>
        <w:widowControl/>
        <w:shd w:val="clear" w:color="auto" w:fill="FFFFFF"/>
        <w:spacing w:line="420" w:lineRule="atLeast"/>
        <w:ind w:firstLine="560" w:firstLineChars="200"/>
        <w:rPr>
          <w:rFonts w:asciiTheme="minorEastAsia" w:hAnsiTheme="minorEastAsia"/>
          <w:sz w:val="28"/>
          <w:szCs w:val="28"/>
          <w:shd w:val="clear" w:color="auto" w:fill="FFFFFF"/>
        </w:rPr>
      </w:pPr>
      <w:r>
        <w:rPr>
          <w:rFonts w:asciiTheme="minorEastAsia" w:hAnsiTheme="minorEastAsia"/>
          <w:sz w:val="28"/>
          <w:szCs w:val="28"/>
          <w:shd w:val="clear" w:color="auto" w:fill="FFFFFF"/>
        </w:rPr>
        <w:t>1.与新冠肺炎相关的呼吸系统疾病治疗用药。</w:t>
      </w:r>
    </w:p>
    <w:p>
      <w:pPr>
        <w:widowControl/>
        <w:shd w:val="clear" w:color="auto" w:fill="FFFFFF"/>
        <w:spacing w:line="420" w:lineRule="atLeast"/>
        <w:ind w:firstLine="560" w:firstLineChars="200"/>
        <w:rPr>
          <w:rFonts w:asciiTheme="minorEastAsia" w:hAnsiTheme="minorEastAsia"/>
          <w:sz w:val="28"/>
          <w:szCs w:val="28"/>
          <w:shd w:val="clear" w:color="auto" w:fill="FFFFFF"/>
        </w:rPr>
      </w:pPr>
      <w:r>
        <w:rPr>
          <w:rFonts w:asciiTheme="minorEastAsia" w:hAnsiTheme="minorEastAsia"/>
          <w:sz w:val="28"/>
          <w:szCs w:val="28"/>
          <w:shd w:val="clear" w:color="auto" w:fill="FFFFFF"/>
        </w:rPr>
        <w:t>2.纳入《国家基本药物目录(2018年版)》的药品。</w:t>
      </w:r>
    </w:p>
    <w:p>
      <w:pPr>
        <w:widowControl/>
        <w:shd w:val="clear" w:color="auto" w:fill="FFFFFF"/>
        <w:spacing w:line="420" w:lineRule="atLeast"/>
        <w:ind w:firstLine="560" w:firstLineChars="200"/>
        <w:rPr>
          <w:rFonts w:asciiTheme="minorEastAsia" w:hAnsiTheme="minorEastAsia"/>
          <w:sz w:val="28"/>
          <w:szCs w:val="28"/>
          <w:shd w:val="clear" w:color="auto" w:fill="FFFFFF"/>
        </w:rPr>
      </w:pPr>
      <w:r>
        <w:rPr>
          <w:rFonts w:asciiTheme="minorEastAsia" w:hAnsiTheme="minorEastAsia"/>
          <w:sz w:val="28"/>
          <w:szCs w:val="28"/>
          <w:shd w:val="clear" w:color="auto" w:fill="FFFFFF"/>
        </w:rPr>
        <w:t>3.纳入临床急需境外新药名单、鼓励仿制药品目录或鼓励研发申报儿童药品清单，且于2020年8月17日(含，下同)前经国家药监部门批准上市的药品。</w:t>
      </w:r>
    </w:p>
    <w:p>
      <w:pPr>
        <w:widowControl/>
        <w:shd w:val="clear" w:color="auto" w:fill="FFFFFF"/>
        <w:spacing w:line="420" w:lineRule="atLeast"/>
        <w:ind w:firstLine="560" w:firstLineChars="200"/>
        <w:rPr>
          <w:rFonts w:asciiTheme="minorEastAsia" w:hAnsiTheme="minorEastAsia"/>
          <w:sz w:val="28"/>
          <w:szCs w:val="28"/>
          <w:shd w:val="clear" w:color="auto" w:fill="FFFFFF"/>
        </w:rPr>
      </w:pPr>
      <w:r>
        <w:rPr>
          <w:rFonts w:asciiTheme="minorEastAsia" w:hAnsiTheme="minorEastAsia"/>
          <w:sz w:val="28"/>
          <w:szCs w:val="28"/>
          <w:shd w:val="clear" w:color="auto" w:fill="FFFFFF"/>
        </w:rPr>
        <w:t>4.第二批国家组织药品集中采购中选药品。</w:t>
      </w:r>
    </w:p>
    <w:p>
      <w:pPr>
        <w:widowControl/>
        <w:shd w:val="clear" w:color="auto" w:fill="FFFFFF"/>
        <w:spacing w:line="420" w:lineRule="atLeast"/>
        <w:ind w:firstLine="560" w:firstLineChars="200"/>
        <w:rPr>
          <w:rFonts w:asciiTheme="minorEastAsia" w:hAnsiTheme="minorEastAsia"/>
          <w:sz w:val="28"/>
          <w:szCs w:val="28"/>
          <w:shd w:val="clear" w:color="auto" w:fill="FFFFFF"/>
        </w:rPr>
      </w:pPr>
      <w:r>
        <w:rPr>
          <w:rFonts w:asciiTheme="minorEastAsia" w:hAnsiTheme="minorEastAsia"/>
          <w:sz w:val="28"/>
          <w:szCs w:val="28"/>
          <w:shd w:val="clear" w:color="auto" w:fill="FFFFFF"/>
        </w:rPr>
        <w:t>5.2015年1月1日至2020年8月17日期间，经国家药监部门批准上市的新通用名药品。</w:t>
      </w:r>
    </w:p>
    <w:p>
      <w:pPr>
        <w:widowControl/>
        <w:shd w:val="clear" w:color="auto" w:fill="FFFFFF"/>
        <w:spacing w:line="420" w:lineRule="atLeast"/>
        <w:ind w:firstLine="560" w:firstLineChars="200"/>
        <w:rPr>
          <w:rFonts w:asciiTheme="minorEastAsia" w:hAnsiTheme="minorEastAsia"/>
          <w:sz w:val="28"/>
          <w:szCs w:val="28"/>
          <w:shd w:val="clear" w:color="auto" w:fill="FFFFFF"/>
        </w:rPr>
      </w:pPr>
      <w:r>
        <w:rPr>
          <w:rFonts w:asciiTheme="minorEastAsia" w:hAnsiTheme="minorEastAsia"/>
          <w:sz w:val="28"/>
          <w:szCs w:val="28"/>
          <w:shd w:val="clear" w:color="auto" w:fill="FFFFFF"/>
        </w:rPr>
        <w:t>6.2015年1月1日至2020年8月17日期间，根据临床试验结果向国家药监部门补充申请并获得批准，适应症、功能主治等发生重大变化的药品。</w:t>
      </w:r>
    </w:p>
    <w:p>
      <w:pPr>
        <w:widowControl/>
        <w:shd w:val="clear" w:color="auto" w:fill="FFFFFF"/>
        <w:spacing w:line="420" w:lineRule="atLeast"/>
        <w:ind w:firstLine="560" w:firstLineChars="200"/>
        <w:rPr>
          <w:rFonts w:asciiTheme="minorEastAsia" w:hAnsiTheme="minorEastAsia"/>
          <w:sz w:val="28"/>
          <w:szCs w:val="28"/>
          <w:shd w:val="clear" w:color="auto" w:fill="FFFFFF"/>
        </w:rPr>
      </w:pPr>
      <w:r>
        <w:rPr>
          <w:rFonts w:asciiTheme="minorEastAsia" w:hAnsiTheme="minorEastAsia"/>
          <w:sz w:val="28"/>
          <w:szCs w:val="28"/>
          <w:shd w:val="clear" w:color="auto" w:fill="FFFFFF"/>
        </w:rPr>
        <w:t>7.2019年12月31日前，进入5个(含)以上省级最新版基本医保药品目录的药品。其中，主要活性成分被列入《第一批国家重点监控合理用药药品目录(化药及生物制品)》的除外。</w:t>
      </w:r>
    </w:p>
    <w:p>
      <w:pPr>
        <w:widowControl/>
        <w:shd w:val="clear" w:color="auto" w:fill="FFFFFF"/>
        <w:rPr>
          <w:rFonts w:asciiTheme="minorEastAsia" w:hAnsiTheme="minorEastAsia"/>
          <w:sz w:val="28"/>
          <w:szCs w:val="28"/>
          <w:shd w:val="clear" w:color="auto" w:fill="FFFFFF"/>
        </w:rPr>
      </w:pPr>
      <w:r>
        <w:rPr>
          <w:rFonts w:asciiTheme="minorEastAsia" w:hAnsiTheme="minorEastAsia"/>
          <w:sz w:val="28"/>
          <w:szCs w:val="28"/>
          <w:shd w:val="clear" w:color="auto" w:fill="FFFFFF"/>
        </w:rPr>
        <w:t>两类药将被调出医保</w:t>
      </w:r>
    </w:p>
    <w:p>
      <w:pPr>
        <w:widowControl/>
        <w:shd w:val="clear" w:color="auto" w:fill="FFFFFF"/>
        <w:spacing w:line="420" w:lineRule="atLeast"/>
        <w:ind w:firstLine="560" w:firstLineChars="200"/>
        <w:rPr>
          <w:rFonts w:asciiTheme="minorEastAsia" w:hAnsiTheme="minorEastAsia"/>
          <w:sz w:val="28"/>
          <w:szCs w:val="28"/>
          <w:shd w:val="clear" w:color="auto" w:fill="FFFFFF"/>
        </w:rPr>
      </w:pPr>
      <w:r>
        <w:rPr>
          <w:rFonts w:asciiTheme="minorEastAsia" w:hAnsiTheme="minorEastAsia"/>
          <w:sz w:val="28"/>
          <w:szCs w:val="28"/>
          <w:shd w:val="clear" w:color="auto" w:fill="FFFFFF"/>
        </w:rPr>
        <w:t>根据工作方案，符合《基本医疗保险用药管理暂行办法》第九条、第十条要求，且具备以下情形之一的药品目录内的药品，可以纳入 2020 年药品目录调整范围。</w:t>
      </w:r>
    </w:p>
    <w:p>
      <w:pPr>
        <w:widowControl/>
        <w:shd w:val="clear" w:color="auto" w:fill="FFFFFF"/>
        <w:spacing w:line="420" w:lineRule="atLeast"/>
        <w:rPr>
          <w:rFonts w:asciiTheme="minorEastAsia" w:hAnsiTheme="minorEastAsia"/>
          <w:b/>
          <w:sz w:val="28"/>
          <w:szCs w:val="28"/>
          <w:shd w:val="clear" w:color="auto" w:fill="FFFFFF"/>
        </w:rPr>
      </w:pPr>
      <w:r>
        <w:rPr>
          <w:rFonts w:asciiTheme="minorEastAsia" w:hAnsiTheme="minorEastAsia"/>
          <w:b/>
          <w:sz w:val="28"/>
          <w:szCs w:val="28"/>
          <w:shd w:val="clear" w:color="auto" w:fill="FFFFFF"/>
        </w:rPr>
        <w:t>以下两类药品将被调出目录药品的范围</w:t>
      </w:r>
    </w:p>
    <w:p>
      <w:pPr>
        <w:widowControl/>
        <w:shd w:val="clear" w:color="auto" w:fill="FFFFFF"/>
        <w:spacing w:line="420" w:lineRule="atLeast"/>
        <w:ind w:firstLine="560" w:firstLineChars="200"/>
        <w:rPr>
          <w:rFonts w:asciiTheme="minorEastAsia" w:hAnsiTheme="minorEastAsia"/>
          <w:sz w:val="28"/>
          <w:szCs w:val="28"/>
          <w:shd w:val="clear" w:color="auto" w:fill="FFFFFF"/>
        </w:rPr>
      </w:pPr>
      <w:r>
        <w:rPr>
          <w:rFonts w:asciiTheme="minorEastAsia" w:hAnsiTheme="minorEastAsia"/>
          <w:sz w:val="28"/>
          <w:szCs w:val="28"/>
          <w:shd w:val="clear" w:color="auto" w:fill="FFFFFF"/>
        </w:rPr>
        <w:t>1.被国家药监部门撤销、吊销或者注销药品批准证明文件的药品。</w:t>
      </w:r>
    </w:p>
    <w:p>
      <w:pPr>
        <w:widowControl/>
        <w:shd w:val="clear" w:color="auto" w:fill="FFFFFF"/>
        <w:spacing w:line="420" w:lineRule="atLeast"/>
        <w:ind w:firstLine="560" w:firstLineChars="200"/>
        <w:rPr>
          <w:rFonts w:asciiTheme="minorEastAsia" w:hAnsiTheme="minorEastAsia"/>
          <w:sz w:val="28"/>
          <w:szCs w:val="28"/>
          <w:shd w:val="clear" w:color="auto" w:fill="FFFFFF"/>
        </w:rPr>
      </w:pPr>
      <w:r>
        <w:rPr>
          <w:rFonts w:asciiTheme="minorEastAsia" w:hAnsiTheme="minorEastAsia"/>
          <w:sz w:val="28"/>
          <w:szCs w:val="28"/>
          <w:shd w:val="clear" w:color="auto" w:fill="FFFFFF"/>
        </w:rPr>
        <w:t>2.综合考虑临床价值、不良反应、药物经济性等因素，经评估认为风险大于收益的药品。</w:t>
      </w:r>
    </w:p>
    <w:p>
      <w:pPr>
        <w:widowControl/>
        <w:shd w:val="clear" w:color="auto" w:fill="FFFFFF"/>
        <w:rPr>
          <w:rFonts w:asciiTheme="minorEastAsia" w:hAnsiTheme="minorEastAsia"/>
          <w:b/>
          <w:sz w:val="28"/>
          <w:szCs w:val="28"/>
          <w:shd w:val="clear" w:color="auto" w:fill="FFFFFF"/>
        </w:rPr>
      </w:pPr>
      <w:r>
        <w:rPr>
          <w:rFonts w:asciiTheme="minorEastAsia" w:hAnsiTheme="minorEastAsia"/>
          <w:b/>
          <w:sz w:val="28"/>
          <w:szCs w:val="28"/>
          <w:shd w:val="clear" w:color="auto" w:fill="FFFFFF"/>
        </w:rPr>
        <w:t>三类药调整支付范围</w:t>
      </w:r>
    </w:p>
    <w:p>
      <w:pPr>
        <w:widowControl/>
        <w:shd w:val="clear" w:color="auto" w:fill="FFFFFF"/>
        <w:spacing w:line="420" w:lineRule="atLeast"/>
        <w:ind w:firstLine="560" w:firstLineChars="200"/>
        <w:rPr>
          <w:rFonts w:asciiTheme="minorEastAsia" w:hAnsiTheme="minorEastAsia"/>
          <w:sz w:val="28"/>
          <w:szCs w:val="28"/>
          <w:shd w:val="clear" w:color="auto" w:fill="FFFFFF"/>
        </w:rPr>
      </w:pPr>
      <w:r>
        <w:rPr>
          <w:rFonts w:asciiTheme="minorEastAsia" w:hAnsiTheme="minorEastAsia"/>
          <w:sz w:val="28"/>
          <w:szCs w:val="28"/>
          <w:shd w:val="clear" w:color="auto" w:fill="FFFFFF"/>
        </w:rPr>
        <w:t>工作方案规定，三类药将调整支付标准药品的范围。</w:t>
      </w:r>
    </w:p>
    <w:p>
      <w:pPr>
        <w:widowControl/>
        <w:shd w:val="clear" w:color="auto" w:fill="FFFFFF"/>
        <w:spacing w:line="420" w:lineRule="atLeast"/>
        <w:ind w:firstLine="560" w:firstLineChars="200"/>
        <w:rPr>
          <w:rFonts w:asciiTheme="minorEastAsia" w:hAnsiTheme="minorEastAsia"/>
          <w:sz w:val="28"/>
          <w:szCs w:val="28"/>
          <w:shd w:val="clear" w:color="auto" w:fill="FFFFFF"/>
        </w:rPr>
      </w:pPr>
      <w:r>
        <w:rPr>
          <w:rFonts w:asciiTheme="minorEastAsia" w:hAnsiTheme="minorEastAsia"/>
          <w:sz w:val="28"/>
          <w:szCs w:val="28"/>
          <w:shd w:val="clear" w:color="auto" w:fill="FFFFFF"/>
        </w:rPr>
        <w:t>1.处于协议有效期内，且按照协议需重新确定支付标准的谈判药品。</w:t>
      </w:r>
    </w:p>
    <w:p>
      <w:pPr>
        <w:widowControl/>
        <w:shd w:val="clear" w:color="auto" w:fill="FFFFFF"/>
        <w:spacing w:line="420" w:lineRule="atLeast"/>
        <w:ind w:firstLine="560" w:firstLineChars="200"/>
        <w:rPr>
          <w:rFonts w:asciiTheme="minorEastAsia" w:hAnsiTheme="minorEastAsia"/>
          <w:sz w:val="28"/>
          <w:szCs w:val="28"/>
          <w:shd w:val="clear" w:color="auto" w:fill="FFFFFF"/>
        </w:rPr>
      </w:pPr>
      <w:r>
        <w:rPr>
          <w:rFonts w:asciiTheme="minorEastAsia" w:hAnsiTheme="minorEastAsia"/>
          <w:sz w:val="28"/>
          <w:szCs w:val="28"/>
          <w:shd w:val="clear" w:color="auto" w:fill="FFFFFF"/>
        </w:rPr>
        <w:t>2.根据企业申报或专家评估，有必要调整限定支付范围的谈判药品。</w:t>
      </w:r>
    </w:p>
    <w:p>
      <w:pPr>
        <w:widowControl/>
        <w:shd w:val="clear" w:color="auto" w:fill="FFFFFF"/>
        <w:spacing w:line="420" w:lineRule="atLeast"/>
        <w:ind w:firstLine="560" w:firstLineChars="200"/>
        <w:rPr>
          <w:rFonts w:asciiTheme="minorEastAsia" w:hAnsiTheme="minorEastAsia"/>
          <w:sz w:val="28"/>
          <w:szCs w:val="28"/>
          <w:shd w:val="clear" w:color="auto" w:fill="FFFFFF"/>
        </w:rPr>
      </w:pPr>
      <w:r>
        <w:rPr>
          <w:rFonts w:asciiTheme="minorEastAsia" w:hAnsiTheme="minorEastAsia"/>
          <w:sz w:val="28"/>
          <w:szCs w:val="28"/>
          <w:shd w:val="clear" w:color="auto" w:fill="FFFFFF"/>
        </w:rPr>
        <w:t>3.与同治疗领域的其他药品相比，价格/费用明显偏高，且近年来占用基金量较多的药品。</w:t>
      </w:r>
    </w:p>
    <w:p>
      <w:pPr>
        <w:widowControl/>
        <w:shd w:val="clear" w:color="auto" w:fill="FFFFFF"/>
        <w:spacing w:line="420" w:lineRule="atLeast"/>
        <w:ind w:firstLine="560" w:firstLineChars="200"/>
        <w:rPr>
          <w:rFonts w:asciiTheme="minorEastAsia" w:hAnsiTheme="minorEastAsia"/>
          <w:sz w:val="28"/>
          <w:szCs w:val="28"/>
          <w:shd w:val="clear" w:color="auto" w:fill="FFFFFF"/>
        </w:rPr>
      </w:pPr>
      <w:r>
        <w:rPr>
          <w:rFonts w:asciiTheme="minorEastAsia" w:hAnsiTheme="minorEastAsia"/>
          <w:sz w:val="28"/>
          <w:szCs w:val="28"/>
          <w:shd w:val="clear" w:color="auto" w:fill="FFFFFF"/>
        </w:rPr>
        <w:t>此外，《工作方案》还提到，按规定将符合条件的中药饮片纳入调整范围。</w:t>
      </w:r>
    </w:p>
    <w:p>
      <w:pPr>
        <w:rPr>
          <w:rFonts w:cs="宋体" w:asciiTheme="minorEastAsia" w:hAnsiTheme="minorEastAsia"/>
          <w:spacing w:val="8"/>
          <w:sz w:val="28"/>
          <w:szCs w:val="28"/>
        </w:rPr>
      </w:pPr>
      <w:r>
        <w:rPr>
          <w:rFonts w:asciiTheme="minorEastAsia" w:hAnsiTheme="minorEastAsia"/>
          <w:sz w:val="28"/>
          <w:szCs w:val="28"/>
          <w:shd w:val="clear" w:color="auto" w:fill="FFFFFF"/>
        </w:rPr>
        <w:t>工作方案规定，调整药品目录分为五个阶段实施。2020年7-8月为准备阶段，2020年8-9月为申报阶段，2020年9-10月为专家评审阶段，2020年10-11月为谈判和竞价阶段。2020年11-12月将公布结果阶段。</w:t>
      </w:r>
    </w:p>
    <w:p>
      <w:pPr>
        <w:rPr>
          <w:rFonts w:cs="宋体" w:asciiTheme="minorEastAsia" w:hAnsiTheme="minorEastAsia"/>
          <w:spacing w:val="8"/>
          <w:sz w:val="28"/>
          <w:szCs w:val="28"/>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r>
        <w:rPr>
          <w:rFonts w:hint="eastAsia" w:ascii="微软雅黑" w:hAnsi="微软雅黑" w:eastAsia="微软雅黑" w:cs="宋体"/>
          <w:b/>
          <w:color w:val="333333"/>
          <w:kern w:val="36"/>
          <w:sz w:val="24"/>
        </w:rPr>
        <w:t>附件2</w:t>
      </w:r>
    </w:p>
    <w:p>
      <w:pPr>
        <w:pStyle w:val="2"/>
        <w:shd w:val="clear" w:color="auto" w:fill="FFFFFF"/>
        <w:spacing w:beforeAutospacing="0" w:after="210" w:afterAutospacing="0"/>
        <w:rPr>
          <w:rFonts w:ascii="微软雅黑" w:hAnsi="微软雅黑" w:eastAsia="微软雅黑"/>
          <w:b/>
          <w:bCs/>
          <w:color w:val="333333"/>
          <w:spacing w:val="8"/>
          <w:sz w:val="33"/>
          <w:szCs w:val="33"/>
        </w:rPr>
      </w:pPr>
    </w:p>
    <w:p>
      <w:pPr>
        <w:widowControl/>
        <w:shd w:val="clear" w:color="auto" w:fill="FFFFFF"/>
        <w:spacing w:after="210"/>
        <w:jc w:val="left"/>
        <w:outlineLvl w:val="1"/>
        <w:rPr>
          <w:rFonts w:ascii="微软雅黑" w:hAnsi="微软雅黑" w:eastAsia="微软雅黑" w:cs="宋体"/>
          <w:color w:val="333333"/>
          <w:spacing w:val="8"/>
          <w:kern w:val="0"/>
          <w:sz w:val="33"/>
          <w:szCs w:val="33"/>
        </w:rPr>
      </w:pPr>
      <w:r>
        <w:rPr>
          <w:rFonts w:hint="eastAsia" w:ascii="微软雅黑" w:hAnsi="微软雅黑" w:eastAsia="微软雅黑" w:cs="宋体"/>
          <w:color w:val="333333"/>
          <w:spacing w:val="8"/>
          <w:kern w:val="0"/>
          <w:sz w:val="33"/>
          <w:szCs w:val="33"/>
        </w:rPr>
        <w:t>2019-2020中国药品零售企业综合竞争力排行榜</w:t>
      </w:r>
    </w:p>
    <w:p>
      <w:pPr>
        <w:widowControl/>
        <w:spacing w:before="100" w:beforeAutospacing="1" w:after="100" w:afterAutospacing="1"/>
        <w:ind w:firstLine="210" w:firstLineChars="100"/>
        <w:outlineLvl w:val="1"/>
      </w:pPr>
      <w:r>
        <w:rPr>
          <w:rFonts w:hint="eastAsia"/>
        </w:rPr>
        <w:t>第一药店财智 </w:t>
      </w:r>
      <w:r>
        <w:fldChar w:fldCharType="begin"/>
      </w:r>
      <w:r>
        <w:instrText xml:space="preserve"> HYPERLINK "javascript:void(0);" </w:instrText>
      </w:r>
      <w:r>
        <w:fldChar w:fldCharType="separate"/>
      </w:r>
      <w:r>
        <w:rPr>
          <w:rFonts w:hint="eastAsia"/>
        </w:rPr>
        <w:t>谷丰观点</w:t>
      </w:r>
      <w:r>
        <w:rPr>
          <w:rFonts w:hint="eastAsia"/>
        </w:rPr>
        <w:fldChar w:fldCharType="end"/>
      </w:r>
      <w:r>
        <w:rPr>
          <w:rFonts w:hint="eastAsia"/>
        </w:rPr>
        <w:t>  2020-08-16</w:t>
      </w:r>
    </w:p>
    <w:p>
      <w:pPr>
        <w:widowControl/>
        <w:shd w:val="clear" w:color="auto" w:fill="FFFFFF"/>
        <w:ind w:firstLine="680" w:firstLineChars="200"/>
        <w:rPr>
          <w:rFonts w:cs="宋体" w:asciiTheme="minorEastAsia" w:hAnsiTheme="minorEastAsia"/>
          <w:color w:val="333333"/>
          <w:spacing w:val="8"/>
          <w:kern w:val="0"/>
          <w:sz w:val="28"/>
          <w:szCs w:val="28"/>
        </w:rPr>
      </w:pPr>
      <w:r>
        <w:rPr>
          <w:rFonts w:hint="eastAsia" w:cs="宋体" w:asciiTheme="minorEastAsia" w:hAnsiTheme="minorEastAsia"/>
          <w:color w:val="374AAE"/>
          <w:spacing w:val="30"/>
          <w:kern w:val="0"/>
          <w:sz w:val="28"/>
          <w:szCs w:val="28"/>
          <w:shd w:val="clear" w:color="auto" w:fill="FEFEFE"/>
        </w:rPr>
        <w:t>8月14日西普会上，“2019-2020年度中国药品零售企业综合竞争力排行榜”隆重揭晓。所有上榜企业荣获2020年度西普金奖。</w:t>
      </w:r>
    </w:p>
    <w:p>
      <w:pPr>
        <w:widowControl/>
        <w:shd w:val="clear" w:color="auto" w:fill="FFFFFF"/>
        <w:jc w:val="center"/>
        <w:rPr>
          <w:rFonts w:ascii="微软雅黑" w:hAnsi="微软雅黑" w:eastAsia="微软雅黑" w:cs="宋体"/>
          <w:color w:val="333333"/>
          <w:spacing w:val="8"/>
          <w:kern w:val="0"/>
          <w:sz w:val="26"/>
          <w:szCs w:val="26"/>
        </w:rPr>
      </w:pPr>
      <w:r>
        <w:rPr>
          <w:rFonts w:hint="eastAsia" w:ascii="微软雅黑" w:hAnsi="微软雅黑" w:eastAsia="微软雅黑" w:cs="宋体"/>
          <w:b/>
          <w:bCs/>
          <w:color w:val="000000"/>
          <w:spacing w:val="30"/>
          <w:kern w:val="0"/>
          <w:sz w:val="23"/>
          <w:szCs w:val="23"/>
        </w:rPr>
        <w:t>湖南、广东上榜百强企业数量最多</w:t>
      </w:r>
    </w:p>
    <w:p>
      <w:pPr>
        <w:ind w:firstLine="560" w:firstLineChars="200"/>
        <w:rPr>
          <w:rFonts w:asciiTheme="minorEastAsia" w:hAnsiTheme="minorEastAsia"/>
          <w:color w:val="333333"/>
          <w:spacing w:val="8"/>
          <w:sz w:val="28"/>
          <w:szCs w:val="28"/>
        </w:rPr>
      </w:pPr>
      <w:r>
        <w:rPr>
          <w:rFonts w:hint="eastAsia" w:asciiTheme="minorEastAsia" w:hAnsiTheme="minorEastAsia"/>
          <w:sz w:val="28"/>
          <w:szCs w:val="28"/>
        </w:rPr>
        <w:t>2019-2020年度百强榜企业分布在28个省、自治区及直辖市，其中湖南、广东并列第一，上榜企业数量最多，达到9家；山东、江苏并列第三位，上榜数量为8家。经济水平及医保政策等是影响当地药品零售业发展的重要因素，经济发达区域是百强连锁主要聚集的区域。</w:t>
      </w:r>
    </w:p>
    <w:tbl>
      <w:tblPr>
        <w:tblStyle w:val="9"/>
        <w:tblW w:w="8752" w:type="dxa"/>
        <w:tblInd w:w="0" w:type="dxa"/>
        <w:tblLayout w:type="autofit"/>
        <w:tblCellMar>
          <w:top w:w="0" w:type="dxa"/>
          <w:left w:w="0" w:type="dxa"/>
          <w:bottom w:w="0" w:type="dxa"/>
          <w:right w:w="0" w:type="dxa"/>
        </w:tblCellMar>
      </w:tblPr>
      <w:tblGrid>
        <w:gridCol w:w="2090"/>
        <w:gridCol w:w="2126"/>
        <w:gridCol w:w="2552"/>
        <w:gridCol w:w="1984"/>
      </w:tblGrid>
      <w:tr>
        <w:tblPrEx>
          <w:tblCellMar>
            <w:top w:w="0" w:type="dxa"/>
            <w:left w:w="0" w:type="dxa"/>
            <w:bottom w:w="0" w:type="dxa"/>
            <w:right w:w="0" w:type="dxa"/>
          </w:tblCellMar>
        </w:tblPrEx>
        <w:trPr>
          <w:trHeight w:val="285" w:hRule="atLeast"/>
        </w:trPr>
        <w:tc>
          <w:tcPr>
            <w:tcW w:w="2090" w:type="dxa"/>
            <w:tcBorders>
              <w:top w:val="single" w:color="auto" w:sz="6" w:space="0"/>
              <w:left w:val="single" w:color="auto" w:sz="6" w:space="0"/>
              <w:bottom w:val="single" w:color="auto" w:sz="6" w:space="0"/>
              <w:right w:val="single" w:color="auto" w:sz="6" w:space="0"/>
            </w:tcBorders>
            <w:noWrap/>
            <w:tcMar>
              <w:top w:w="0" w:type="dxa"/>
              <w:left w:w="105" w:type="dxa"/>
              <w:bottom w:w="0" w:type="dxa"/>
              <w:right w:w="105" w:type="dxa"/>
            </w:tcMar>
            <w:vAlign w:val="bottom"/>
          </w:tcPr>
          <w:p>
            <w:pPr>
              <w:widowControl/>
              <w:wordWrap w:val="0"/>
              <w:jc w:val="center"/>
              <w:rPr>
                <w:rFonts w:ascii="宋体" w:hAnsi="宋体" w:cs="宋体"/>
                <w:kern w:val="0"/>
                <w:sz w:val="24"/>
                <w:szCs w:val="24"/>
              </w:rPr>
            </w:pPr>
            <w:r>
              <w:rPr>
                <w:rFonts w:hint="eastAsia" w:ascii="宋体" w:hAnsi="宋体" w:cs="宋体"/>
                <w:color w:val="000000"/>
                <w:kern w:val="0"/>
                <w:szCs w:val="21"/>
              </w:rPr>
              <w:t>省份</w:t>
            </w:r>
          </w:p>
        </w:tc>
        <w:tc>
          <w:tcPr>
            <w:tcW w:w="2126" w:type="dxa"/>
            <w:tcBorders>
              <w:top w:val="single" w:color="auto" w:sz="6" w:space="0"/>
              <w:left w:val="nil"/>
              <w:bottom w:val="single" w:color="auto" w:sz="6" w:space="0"/>
              <w:right w:val="single" w:color="auto" w:sz="6" w:space="0"/>
            </w:tcBorders>
            <w:noWrap/>
            <w:tcMar>
              <w:top w:w="0" w:type="dxa"/>
              <w:left w:w="105" w:type="dxa"/>
              <w:bottom w:w="0" w:type="dxa"/>
              <w:right w:w="105" w:type="dxa"/>
            </w:tcMar>
            <w:vAlign w:val="bottom"/>
          </w:tcPr>
          <w:p>
            <w:pPr>
              <w:widowControl/>
              <w:wordWrap w:val="0"/>
              <w:jc w:val="center"/>
              <w:rPr>
                <w:rFonts w:ascii="宋体" w:hAnsi="宋体" w:cs="宋体"/>
                <w:kern w:val="0"/>
                <w:sz w:val="24"/>
                <w:szCs w:val="24"/>
              </w:rPr>
            </w:pPr>
            <w:r>
              <w:rPr>
                <w:rFonts w:hint="eastAsia" w:ascii="宋体" w:hAnsi="宋体" w:cs="宋体"/>
                <w:color w:val="000000"/>
                <w:kern w:val="0"/>
                <w:szCs w:val="21"/>
              </w:rPr>
              <w:t>数量</w:t>
            </w:r>
          </w:p>
        </w:tc>
        <w:tc>
          <w:tcPr>
            <w:tcW w:w="2552" w:type="dxa"/>
            <w:tcBorders>
              <w:top w:val="single" w:color="auto" w:sz="6" w:space="0"/>
              <w:left w:val="nil"/>
              <w:bottom w:val="single" w:color="auto" w:sz="6" w:space="0"/>
              <w:right w:val="single" w:color="auto" w:sz="6" w:space="0"/>
            </w:tcBorders>
            <w:tcMar>
              <w:top w:w="0" w:type="dxa"/>
              <w:left w:w="105" w:type="dxa"/>
              <w:bottom w:w="0" w:type="dxa"/>
              <w:right w:w="105" w:type="dxa"/>
            </w:tcMar>
            <w:vAlign w:val="bottom"/>
          </w:tcPr>
          <w:p>
            <w:pPr>
              <w:widowControl/>
              <w:wordWrap w:val="0"/>
              <w:jc w:val="center"/>
              <w:rPr>
                <w:rFonts w:ascii="宋体" w:hAnsi="宋体" w:cs="宋体"/>
                <w:kern w:val="0"/>
                <w:sz w:val="24"/>
                <w:szCs w:val="24"/>
              </w:rPr>
            </w:pPr>
            <w:r>
              <w:rPr>
                <w:rFonts w:hint="eastAsia" w:ascii="宋体" w:hAnsi="宋体" w:cs="宋体"/>
                <w:color w:val="000000"/>
                <w:kern w:val="0"/>
                <w:szCs w:val="21"/>
              </w:rPr>
              <w:t>省份</w:t>
            </w:r>
          </w:p>
        </w:tc>
        <w:tc>
          <w:tcPr>
            <w:tcW w:w="1984" w:type="dxa"/>
            <w:tcBorders>
              <w:top w:val="single" w:color="auto" w:sz="6" w:space="0"/>
              <w:left w:val="nil"/>
              <w:bottom w:val="single" w:color="auto" w:sz="6" w:space="0"/>
              <w:right w:val="single" w:color="auto" w:sz="6" w:space="0"/>
            </w:tcBorders>
            <w:tcMar>
              <w:top w:w="0" w:type="dxa"/>
              <w:left w:w="105" w:type="dxa"/>
              <w:bottom w:w="0" w:type="dxa"/>
              <w:right w:w="105" w:type="dxa"/>
            </w:tcMar>
            <w:vAlign w:val="bottom"/>
          </w:tcPr>
          <w:p>
            <w:pPr>
              <w:widowControl/>
              <w:wordWrap w:val="0"/>
              <w:jc w:val="center"/>
              <w:rPr>
                <w:rFonts w:ascii="宋体" w:hAnsi="宋体" w:cs="宋体"/>
                <w:kern w:val="0"/>
                <w:sz w:val="24"/>
                <w:szCs w:val="24"/>
              </w:rPr>
            </w:pPr>
            <w:r>
              <w:rPr>
                <w:rFonts w:hint="eastAsia" w:ascii="宋体" w:hAnsi="宋体" w:cs="宋体"/>
                <w:color w:val="000000"/>
                <w:kern w:val="0"/>
                <w:szCs w:val="21"/>
              </w:rPr>
              <w:t>数量</w:t>
            </w:r>
          </w:p>
        </w:tc>
      </w:tr>
      <w:tr>
        <w:tblPrEx>
          <w:tblCellMar>
            <w:top w:w="0" w:type="dxa"/>
            <w:left w:w="0" w:type="dxa"/>
            <w:bottom w:w="0" w:type="dxa"/>
            <w:right w:w="0" w:type="dxa"/>
          </w:tblCellMar>
        </w:tblPrEx>
        <w:trPr>
          <w:trHeight w:val="285" w:hRule="atLeast"/>
        </w:trPr>
        <w:tc>
          <w:tcPr>
            <w:tcW w:w="2090" w:type="dxa"/>
            <w:tcBorders>
              <w:top w:val="nil"/>
              <w:left w:val="single" w:color="auto" w:sz="6" w:space="0"/>
              <w:bottom w:val="single" w:color="auto" w:sz="6" w:space="0"/>
              <w:right w:val="single" w:color="auto" w:sz="6" w:space="0"/>
            </w:tcBorders>
            <w:noWrap/>
            <w:tcMar>
              <w:top w:w="0" w:type="dxa"/>
              <w:left w:w="105" w:type="dxa"/>
              <w:bottom w:w="0" w:type="dxa"/>
              <w:right w:w="105" w:type="dxa"/>
            </w:tcMar>
            <w:vAlign w:val="bottom"/>
          </w:tcPr>
          <w:p>
            <w:pPr>
              <w:widowControl/>
              <w:wordWrap w:val="0"/>
              <w:jc w:val="center"/>
              <w:rPr>
                <w:rFonts w:ascii="宋体" w:hAnsi="宋体" w:cs="宋体"/>
                <w:kern w:val="0"/>
                <w:sz w:val="24"/>
                <w:szCs w:val="24"/>
              </w:rPr>
            </w:pPr>
            <w:r>
              <w:rPr>
                <w:rFonts w:hint="eastAsia" w:ascii="宋体" w:hAnsi="宋体" w:cs="宋体"/>
                <w:color w:val="000000"/>
                <w:kern w:val="0"/>
                <w:szCs w:val="21"/>
              </w:rPr>
              <w:t>湖南</w:t>
            </w:r>
          </w:p>
        </w:tc>
        <w:tc>
          <w:tcPr>
            <w:tcW w:w="2126" w:type="dxa"/>
            <w:tcBorders>
              <w:top w:val="nil"/>
              <w:left w:val="nil"/>
              <w:bottom w:val="single" w:color="auto" w:sz="6" w:space="0"/>
              <w:right w:val="single" w:color="auto" w:sz="6" w:space="0"/>
            </w:tcBorders>
            <w:noWrap/>
            <w:tcMar>
              <w:top w:w="0" w:type="dxa"/>
              <w:left w:w="105" w:type="dxa"/>
              <w:bottom w:w="0" w:type="dxa"/>
              <w:right w:w="105" w:type="dxa"/>
            </w:tcMar>
            <w:vAlign w:val="bottom"/>
          </w:tcPr>
          <w:p>
            <w:pPr>
              <w:widowControl/>
              <w:wordWrap w:val="0"/>
              <w:jc w:val="center"/>
              <w:rPr>
                <w:rFonts w:ascii="宋体" w:hAnsi="宋体" w:cs="宋体"/>
                <w:kern w:val="0"/>
                <w:sz w:val="24"/>
                <w:szCs w:val="24"/>
              </w:rPr>
            </w:pPr>
            <w:r>
              <w:rPr>
                <w:rFonts w:hint="eastAsia" w:ascii="宋体" w:hAnsi="宋体" w:cs="宋体"/>
                <w:color w:val="000000"/>
                <w:kern w:val="0"/>
                <w:szCs w:val="21"/>
              </w:rPr>
              <w:t>9</w:t>
            </w:r>
          </w:p>
        </w:tc>
        <w:tc>
          <w:tcPr>
            <w:tcW w:w="2552" w:type="dxa"/>
            <w:tcBorders>
              <w:top w:val="nil"/>
              <w:left w:val="nil"/>
              <w:bottom w:val="single" w:color="auto" w:sz="6" w:space="0"/>
              <w:right w:val="single" w:color="auto" w:sz="6" w:space="0"/>
            </w:tcBorders>
            <w:tcMar>
              <w:top w:w="0" w:type="dxa"/>
              <w:left w:w="105" w:type="dxa"/>
              <w:bottom w:w="0" w:type="dxa"/>
              <w:right w:w="105" w:type="dxa"/>
            </w:tcMar>
            <w:vAlign w:val="bottom"/>
          </w:tcPr>
          <w:p>
            <w:pPr>
              <w:widowControl/>
              <w:wordWrap w:val="0"/>
              <w:jc w:val="center"/>
              <w:rPr>
                <w:rFonts w:ascii="宋体" w:hAnsi="宋体" w:cs="宋体"/>
                <w:kern w:val="0"/>
                <w:sz w:val="24"/>
                <w:szCs w:val="24"/>
              </w:rPr>
            </w:pPr>
            <w:r>
              <w:rPr>
                <w:rFonts w:hint="eastAsia" w:ascii="宋体" w:hAnsi="宋体" w:cs="宋体"/>
                <w:color w:val="000000"/>
                <w:kern w:val="0"/>
                <w:szCs w:val="21"/>
              </w:rPr>
              <w:t>陕西</w:t>
            </w:r>
          </w:p>
        </w:tc>
        <w:tc>
          <w:tcPr>
            <w:tcW w:w="1984" w:type="dxa"/>
            <w:tcBorders>
              <w:top w:val="nil"/>
              <w:left w:val="nil"/>
              <w:bottom w:val="single" w:color="auto" w:sz="6" w:space="0"/>
              <w:right w:val="single" w:color="auto" w:sz="6" w:space="0"/>
            </w:tcBorders>
            <w:tcMar>
              <w:top w:w="0" w:type="dxa"/>
              <w:left w:w="105" w:type="dxa"/>
              <w:bottom w:w="0" w:type="dxa"/>
              <w:right w:w="105" w:type="dxa"/>
            </w:tcMar>
            <w:vAlign w:val="bottom"/>
          </w:tcPr>
          <w:p>
            <w:pPr>
              <w:widowControl/>
              <w:wordWrap w:val="0"/>
              <w:jc w:val="center"/>
              <w:rPr>
                <w:rFonts w:ascii="宋体" w:hAnsi="宋体" w:cs="宋体"/>
                <w:kern w:val="0"/>
                <w:sz w:val="24"/>
                <w:szCs w:val="24"/>
              </w:rPr>
            </w:pPr>
            <w:r>
              <w:rPr>
                <w:rFonts w:hint="eastAsia" w:ascii="宋体" w:hAnsi="宋体" w:cs="宋体"/>
                <w:color w:val="000000"/>
                <w:kern w:val="0"/>
                <w:szCs w:val="21"/>
              </w:rPr>
              <w:t>5</w:t>
            </w:r>
          </w:p>
        </w:tc>
      </w:tr>
      <w:tr>
        <w:tblPrEx>
          <w:tblCellMar>
            <w:top w:w="0" w:type="dxa"/>
            <w:left w:w="0" w:type="dxa"/>
            <w:bottom w:w="0" w:type="dxa"/>
            <w:right w:w="0" w:type="dxa"/>
          </w:tblCellMar>
        </w:tblPrEx>
        <w:trPr>
          <w:trHeight w:val="285" w:hRule="atLeast"/>
        </w:trPr>
        <w:tc>
          <w:tcPr>
            <w:tcW w:w="2090" w:type="dxa"/>
            <w:tcBorders>
              <w:top w:val="nil"/>
              <w:left w:val="single" w:color="auto" w:sz="6" w:space="0"/>
              <w:bottom w:val="single" w:color="auto" w:sz="6" w:space="0"/>
              <w:right w:val="single" w:color="auto" w:sz="6" w:space="0"/>
            </w:tcBorders>
            <w:noWrap/>
            <w:tcMar>
              <w:top w:w="0" w:type="dxa"/>
              <w:left w:w="105" w:type="dxa"/>
              <w:bottom w:w="0" w:type="dxa"/>
              <w:right w:w="105" w:type="dxa"/>
            </w:tcMar>
            <w:vAlign w:val="bottom"/>
          </w:tcPr>
          <w:p>
            <w:pPr>
              <w:widowControl/>
              <w:wordWrap w:val="0"/>
              <w:jc w:val="center"/>
              <w:rPr>
                <w:rFonts w:ascii="宋体" w:hAnsi="宋体" w:cs="宋体"/>
                <w:kern w:val="0"/>
                <w:sz w:val="24"/>
                <w:szCs w:val="24"/>
              </w:rPr>
            </w:pPr>
            <w:r>
              <w:rPr>
                <w:rFonts w:hint="eastAsia" w:ascii="宋体" w:hAnsi="宋体" w:cs="宋体"/>
                <w:color w:val="000000"/>
                <w:kern w:val="0"/>
                <w:szCs w:val="21"/>
              </w:rPr>
              <w:t>广东</w:t>
            </w:r>
          </w:p>
        </w:tc>
        <w:tc>
          <w:tcPr>
            <w:tcW w:w="2126" w:type="dxa"/>
            <w:tcBorders>
              <w:top w:val="nil"/>
              <w:left w:val="nil"/>
              <w:bottom w:val="single" w:color="auto" w:sz="6" w:space="0"/>
              <w:right w:val="single" w:color="auto" w:sz="6" w:space="0"/>
            </w:tcBorders>
            <w:noWrap/>
            <w:tcMar>
              <w:top w:w="0" w:type="dxa"/>
              <w:left w:w="105" w:type="dxa"/>
              <w:bottom w:w="0" w:type="dxa"/>
              <w:right w:w="105" w:type="dxa"/>
            </w:tcMar>
            <w:vAlign w:val="bottom"/>
          </w:tcPr>
          <w:p>
            <w:pPr>
              <w:widowControl/>
              <w:wordWrap w:val="0"/>
              <w:jc w:val="center"/>
              <w:rPr>
                <w:rFonts w:ascii="宋体" w:hAnsi="宋体" w:cs="宋体"/>
                <w:kern w:val="0"/>
                <w:sz w:val="24"/>
                <w:szCs w:val="24"/>
              </w:rPr>
            </w:pPr>
            <w:r>
              <w:rPr>
                <w:rFonts w:hint="eastAsia" w:ascii="宋体" w:hAnsi="宋体" w:cs="宋体"/>
                <w:color w:val="000000"/>
                <w:kern w:val="0"/>
                <w:szCs w:val="21"/>
              </w:rPr>
              <w:t>9</w:t>
            </w:r>
          </w:p>
        </w:tc>
        <w:tc>
          <w:tcPr>
            <w:tcW w:w="2552" w:type="dxa"/>
            <w:tcBorders>
              <w:top w:val="nil"/>
              <w:left w:val="nil"/>
              <w:bottom w:val="single" w:color="auto" w:sz="6" w:space="0"/>
              <w:right w:val="single" w:color="auto" w:sz="6" w:space="0"/>
            </w:tcBorders>
            <w:tcMar>
              <w:top w:w="0" w:type="dxa"/>
              <w:left w:w="105" w:type="dxa"/>
              <w:bottom w:w="0" w:type="dxa"/>
              <w:right w:w="105" w:type="dxa"/>
            </w:tcMar>
            <w:vAlign w:val="bottom"/>
          </w:tcPr>
          <w:p>
            <w:pPr>
              <w:widowControl/>
              <w:wordWrap w:val="0"/>
              <w:jc w:val="center"/>
              <w:rPr>
                <w:rFonts w:ascii="宋体" w:hAnsi="宋体" w:cs="宋体"/>
                <w:kern w:val="0"/>
                <w:sz w:val="24"/>
                <w:szCs w:val="24"/>
              </w:rPr>
            </w:pPr>
            <w:r>
              <w:rPr>
                <w:rFonts w:hint="eastAsia" w:ascii="宋体" w:hAnsi="宋体" w:cs="宋体"/>
                <w:color w:val="000000"/>
                <w:kern w:val="0"/>
                <w:szCs w:val="21"/>
              </w:rPr>
              <w:t>重庆</w:t>
            </w:r>
          </w:p>
        </w:tc>
        <w:tc>
          <w:tcPr>
            <w:tcW w:w="1984" w:type="dxa"/>
            <w:tcBorders>
              <w:top w:val="nil"/>
              <w:left w:val="nil"/>
              <w:bottom w:val="single" w:color="auto" w:sz="6" w:space="0"/>
              <w:right w:val="single" w:color="auto" w:sz="6" w:space="0"/>
            </w:tcBorders>
            <w:tcMar>
              <w:top w:w="0" w:type="dxa"/>
              <w:left w:w="105" w:type="dxa"/>
              <w:bottom w:w="0" w:type="dxa"/>
              <w:right w:w="105" w:type="dxa"/>
            </w:tcMar>
            <w:vAlign w:val="bottom"/>
          </w:tcPr>
          <w:p>
            <w:pPr>
              <w:widowControl/>
              <w:wordWrap w:val="0"/>
              <w:jc w:val="center"/>
              <w:rPr>
                <w:rFonts w:ascii="宋体" w:hAnsi="宋体" w:cs="宋体"/>
                <w:kern w:val="0"/>
                <w:sz w:val="24"/>
                <w:szCs w:val="24"/>
              </w:rPr>
            </w:pPr>
            <w:r>
              <w:rPr>
                <w:rFonts w:hint="eastAsia" w:ascii="宋体" w:hAnsi="宋体" w:cs="宋体"/>
                <w:color w:val="000000"/>
                <w:kern w:val="0"/>
                <w:szCs w:val="21"/>
              </w:rPr>
              <w:t>5</w:t>
            </w:r>
          </w:p>
        </w:tc>
      </w:tr>
      <w:tr>
        <w:tblPrEx>
          <w:tblCellMar>
            <w:top w:w="0" w:type="dxa"/>
            <w:left w:w="0" w:type="dxa"/>
            <w:bottom w:w="0" w:type="dxa"/>
            <w:right w:w="0" w:type="dxa"/>
          </w:tblCellMar>
        </w:tblPrEx>
        <w:trPr>
          <w:trHeight w:val="285" w:hRule="atLeast"/>
        </w:trPr>
        <w:tc>
          <w:tcPr>
            <w:tcW w:w="2090" w:type="dxa"/>
            <w:tcBorders>
              <w:top w:val="nil"/>
              <w:left w:val="single" w:color="auto" w:sz="6" w:space="0"/>
              <w:bottom w:val="single" w:color="auto" w:sz="6" w:space="0"/>
              <w:right w:val="single" w:color="auto" w:sz="6" w:space="0"/>
            </w:tcBorders>
            <w:noWrap/>
            <w:tcMar>
              <w:top w:w="0" w:type="dxa"/>
              <w:left w:w="105" w:type="dxa"/>
              <w:bottom w:w="0" w:type="dxa"/>
              <w:right w:w="105" w:type="dxa"/>
            </w:tcMar>
            <w:vAlign w:val="bottom"/>
          </w:tcPr>
          <w:p>
            <w:pPr>
              <w:widowControl/>
              <w:wordWrap w:val="0"/>
              <w:jc w:val="center"/>
              <w:rPr>
                <w:rFonts w:ascii="宋体" w:hAnsi="宋体" w:cs="宋体"/>
                <w:kern w:val="0"/>
                <w:sz w:val="24"/>
                <w:szCs w:val="24"/>
              </w:rPr>
            </w:pPr>
            <w:r>
              <w:rPr>
                <w:rFonts w:hint="eastAsia" w:ascii="宋体" w:hAnsi="宋体" w:cs="宋体"/>
                <w:color w:val="000000"/>
                <w:kern w:val="0"/>
                <w:szCs w:val="21"/>
              </w:rPr>
              <w:t>山东</w:t>
            </w:r>
          </w:p>
        </w:tc>
        <w:tc>
          <w:tcPr>
            <w:tcW w:w="2126" w:type="dxa"/>
            <w:tcBorders>
              <w:top w:val="nil"/>
              <w:left w:val="nil"/>
              <w:bottom w:val="single" w:color="auto" w:sz="6" w:space="0"/>
              <w:right w:val="single" w:color="auto" w:sz="6" w:space="0"/>
            </w:tcBorders>
            <w:noWrap/>
            <w:tcMar>
              <w:top w:w="0" w:type="dxa"/>
              <w:left w:w="105" w:type="dxa"/>
              <w:bottom w:w="0" w:type="dxa"/>
              <w:right w:w="105" w:type="dxa"/>
            </w:tcMar>
            <w:vAlign w:val="bottom"/>
          </w:tcPr>
          <w:p>
            <w:pPr>
              <w:widowControl/>
              <w:wordWrap w:val="0"/>
              <w:jc w:val="center"/>
              <w:rPr>
                <w:rFonts w:ascii="宋体" w:hAnsi="宋体" w:cs="宋体"/>
                <w:kern w:val="0"/>
                <w:sz w:val="24"/>
                <w:szCs w:val="24"/>
              </w:rPr>
            </w:pPr>
            <w:r>
              <w:rPr>
                <w:rFonts w:hint="eastAsia" w:ascii="宋体" w:hAnsi="宋体" w:cs="宋体"/>
                <w:color w:val="000000"/>
                <w:kern w:val="0"/>
                <w:szCs w:val="21"/>
              </w:rPr>
              <w:t>8</w:t>
            </w:r>
          </w:p>
        </w:tc>
        <w:tc>
          <w:tcPr>
            <w:tcW w:w="2552" w:type="dxa"/>
            <w:tcBorders>
              <w:top w:val="nil"/>
              <w:left w:val="nil"/>
              <w:bottom w:val="single" w:color="auto" w:sz="6" w:space="0"/>
              <w:right w:val="single" w:color="auto" w:sz="6" w:space="0"/>
            </w:tcBorders>
            <w:tcMar>
              <w:top w:w="0" w:type="dxa"/>
              <w:left w:w="105" w:type="dxa"/>
              <w:bottom w:w="0" w:type="dxa"/>
              <w:right w:w="105" w:type="dxa"/>
            </w:tcMar>
            <w:vAlign w:val="bottom"/>
          </w:tcPr>
          <w:p>
            <w:pPr>
              <w:widowControl/>
              <w:wordWrap w:val="0"/>
              <w:jc w:val="center"/>
              <w:rPr>
                <w:rFonts w:ascii="宋体" w:hAnsi="宋体" w:cs="宋体"/>
                <w:kern w:val="0"/>
                <w:sz w:val="24"/>
                <w:szCs w:val="24"/>
              </w:rPr>
            </w:pPr>
            <w:r>
              <w:rPr>
                <w:rFonts w:hint="eastAsia" w:ascii="宋体" w:hAnsi="宋体" w:cs="宋体"/>
                <w:color w:val="000000"/>
                <w:kern w:val="0"/>
                <w:szCs w:val="21"/>
              </w:rPr>
              <w:t>湖北</w:t>
            </w:r>
          </w:p>
        </w:tc>
        <w:tc>
          <w:tcPr>
            <w:tcW w:w="1984" w:type="dxa"/>
            <w:tcBorders>
              <w:top w:val="nil"/>
              <w:left w:val="nil"/>
              <w:bottom w:val="single" w:color="auto" w:sz="6" w:space="0"/>
              <w:right w:val="single" w:color="auto" w:sz="6" w:space="0"/>
            </w:tcBorders>
            <w:tcMar>
              <w:top w:w="0" w:type="dxa"/>
              <w:left w:w="105" w:type="dxa"/>
              <w:bottom w:w="0" w:type="dxa"/>
              <w:right w:w="105" w:type="dxa"/>
            </w:tcMar>
            <w:vAlign w:val="bottom"/>
          </w:tcPr>
          <w:p>
            <w:pPr>
              <w:widowControl/>
              <w:wordWrap w:val="0"/>
              <w:jc w:val="center"/>
              <w:rPr>
                <w:rFonts w:ascii="宋体" w:hAnsi="宋体" w:cs="宋体"/>
                <w:kern w:val="0"/>
                <w:sz w:val="24"/>
                <w:szCs w:val="24"/>
              </w:rPr>
            </w:pPr>
            <w:r>
              <w:rPr>
                <w:rFonts w:hint="eastAsia" w:ascii="宋体" w:hAnsi="宋体" w:cs="宋体"/>
                <w:color w:val="000000"/>
                <w:kern w:val="0"/>
                <w:szCs w:val="21"/>
              </w:rPr>
              <w:t>5</w:t>
            </w:r>
          </w:p>
        </w:tc>
      </w:tr>
      <w:tr>
        <w:tblPrEx>
          <w:tblCellMar>
            <w:top w:w="0" w:type="dxa"/>
            <w:left w:w="0" w:type="dxa"/>
            <w:bottom w:w="0" w:type="dxa"/>
            <w:right w:w="0" w:type="dxa"/>
          </w:tblCellMar>
        </w:tblPrEx>
        <w:trPr>
          <w:trHeight w:val="285" w:hRule="atLeast"/>
        </w:trPr>
        <w:tc>
          <w:tcPr>
            <w:tcW w:w="2090" w:type="dxa"/>
            <w:tcBorders>
              <w:top w:val="nil"/>
              <w:left w:val="single" w:color="auto" w:sz="6" w:space="0"/>
              <w:bottom w:val="single" w:color="auto" w:sz="6" w:space="0"/>
              <w:right w:val="single" w:color="auto" w:sz="6" w:space="0"/>
            </w:tcBorders>
            <w:noWrap/>
            <w:tcMar>
              <w:top w:w="0" w:type="dxa"/>
              <w:left w:w="105" w:type="dxa"/>
              <w:bottom w:w="0" w:type="dxa"/>
              <w:right w:w="105" w:type="dxa"/>
            </w:tcMar>
            <w:vAlign w:val="bottom"/>
          </w:tcPr>
          <w:p>
            <w:pPr>
              <w:widowControl/>
              <w:wordWrap w:val="0"/>
              <w:jc w:val="center"/>
              <w:rPr>
                <w:rFonts w:ascii="宋体" w:hAnsi="宋体" w:cs="宋体"/>
                <w:kern w:val="0"/>
                <w:sz w:val="24"/>
                <w:szCs w:val="24"/>
              </w:rPr>
            </w:pPr>
            <w:r>
              <w:rPr>
                <w:rFonts w:hint="eastAsia" w:ascii="宋体" w:hAnsi="宋体" w:cs="宋体"/>
                <w:color w:val="000000"/>
                <w:kern w:val="0"/>
                <w:szCs w:val="21"/>
              </w:rPr>
              <w:t>江苏</w:t>
            </w:r>
          </w:p>
        </w:tc>
        <w:tc>
          <w:tcPr>
            <w:tcW w:w="2126" w:type="dxa"/>
            <w:tcBorders>
              <w:top w:val="nil"/>
              <w:left w:val="nil"/>
              <w:bottom w:val="single" w:color="auto" w:sz="6" w:space="0"/>
              <w:right w:val="single" w:color="auto" w:sz="6" w:space="0"/>
            </w:tcBorders>
            <w:noWrap/>
            <w:tcMar>
              <w:top w:w="0" w:type="dxa"/>
              <w:left w:w="105" w:type="dxa"/>
              <w:bottom w:w="0" w:type="dxa"/>
              <w:right w:w="105" w:type="dxa"/>
            </w:tcMar>
            <w:vAlign w:val="bottom"/>
          </w:tcPr>
          <w:p>
            <w:pPr>
              <w:widowControl/>
              <w:wordWrap w:val="0"/>
              <w:jc w:val="center"/>
              <w:rPr>
                <w:rFonts w:ascii="宋体" w:hAnsi="宋体" w:cs="宋体"/>
                <w:kern w:val="0"/>
                <w:sz w:val="24"/>
                <w:szCs w:val="24"/>
              </w:rPr>
            </w:pPr>
            <w:r>
              <w:rPr>
                <w:rFonts w:hint="eastAsia" w:ascii="宋体" w:hAnsi="宋体" w:cs="宋体"/>
                <w:color w:val="000000"/>
                <w:kern w:val="0"/>
                <w:szCs w:val="21"/>
              </w:rPr>
              <w:t>8</w:t>
            </w:r>
          </w:p>
        </w:tc>
        <w:tc>
          <w:tcPr>
            <w:tcW w:w="2552" w:type="dxa"/>
            <w:tcBorders>
              <w:top w:val="nil"/>
              <w:left w:val="nil"/>
              <w:bottom w:val="single" w:color="auto" w:sz="6" w:space="0"/>
              <w:right w:val="single" w:color="auto" w:sz="6" w:space="0"/>
            </w:tcBorders>
            <w:tcMar>
              <w:top w:w="0" w:type="dxa"/>
              <w:left w:w="105" w:type="dxa"/>
              <w:bottom w:w="0" w:type="dxa"/>
              <w:right w:w="105" w:type="dxa"/>
            </w:tcMar>
            <w:vAlign w:val="bottom"/>
          </w:tcPr>
          <w:p>
            <w:pPr>
              <w:widowControl/>
              <w:wordWrap w:val="0"/>
              <w:jc w:val="center"/>
              <w:rPr>
                <w:rFonts w:ascii="宋体" w:hAnsi="宋体" w:cs="宋体"/>
                <w:kern w:val="0"/>
                <w:sz w:val="24"/>
                <w:szCs w:val="24"/>
              </w:rPr>
            </w:pPr>
            <w:r>
              <w:rPr>
                <w:rFonts w:hint="eastAsia" w:ascii="宋体" w:hAnsi="宋体" w:cs="宋体"/>
                <w:color w:val="000000"/>
                <w:kern w:val="0"/>
                <w:szCs w:val="21"/>
              </w:rPr>
              <w:t>江西</w:t>
            </w:r>
          </w:p>
        </w:tc>
        <w:tc>
          <w:tcPr>
            <w:tcW w:w="1984" w:type="dxa"/>
            <w:tcBorders>
              <w:top w:val="nil"/>
              <w:left w:val="nil"/>
              <w:bottom w:val="single" w:color="auto" w:sz="6" w:space="0"/>
              <w:right w:val="single" w:color="auto" w:sz="6" w:space="0"/>
            </w:tcBorders>
            <w:tcMar>
              <w:top w:w="0" w:type="dxa"/>
              <w:left w:w="105" w:type="dxa"/>
              <w:bottom w:w="0" w:type="dxa"/>
              <w:right w:w="105" w:type="dxa"/>
            </w:tcMar>
            <w:vAlign w:val="bottom"/>
          </w:tcPr>
          <w:p>
            <w:pPr>
              <w:widowControl/>
              <w:wordWrap w:val="0"/>
              <w:jc w:val="center"/>
              <w:rPr>
                <w:rFonts w:ascii="宋体" w:hAnsi="宋体" w:cs="宋体"/>
                <w:kern w:val="0"/>
                <w:sz w:val="24"/>
                <w:szCs w:val="24"/>
              </w:rPr>
            </w:pPr>
            <w:r>
              <w:rPr>
                <w:rFonts w:hint="eastAsia" w:ascii="宋体" w:hAnsi="宋体" w:cs="宋体"/>
                <w:color w:val="000000"/>
                <w:kern w:val="0"/>
                <w:szCs w:val="21"/>
              </w:rPr>
              <w:t>4</w:t>
            </w:r>
          </w:p>
        </w:tc>
      </w:tr>
      <w:tr>
        <w:tblPrEx>
          <w:tblCellMar>
            <w:top w:w="0" w:type="dxa"/>
            <w:left w:w="0" w:type="dxa"/>
            <w:bottom w:w="0" w:type="dxa"/>
            <w:right w:w="0" w:type="dxa"/>
          </w:tblCellMar>
        </w:tblPrEx>
        <w:trPr>
          <w:trHeight w:val="285" w:hRule="atLeast"/>
        </w:trPr>
        <w:tc>
          <w:tcPr>
            <w:tcW w:w="2090" w:type="dxa"/>
            <w:tcBorders>
              <w:top w:val="nil"/>
              <w:left w:val="single" w:color="auto" w:sz="6" w:space="0"/>
              <w:bottom w:val="single" w:color="auto" w:sz="6" w:space="0"/>
              <w:right w:val="single" w:color="auto" w:sz="6" w:space="0"/>
            </w:tcBorders>
            <w:noWrap/>
            <w:tcMar>
              <w:top w:w="0" w:type="dxa"/>
              <w:left w:w="105" w:type="dxa"/>
              <w:bottom w:w="0" w:type="dxa"/>
              <w:right w:w="105" w:type="dxa"/>
            </w:tcMar>
            <w:vAlign w:val="bottom"/>
          </w:tcPr>
          <w:p>
            <w:pPr>
              <w:widowControl/>
              <w:wordWrap w:val="0"/>
              <w:jc w:val="center"/>
              <w:rPr>
                <w:rFonts w:ascii="宋体" w:hAnsi="宋体" w:cs="宋体"/>
                <w:kern w:val="0"/>
                <w:sz w:val="24"/>
                <w:szCs w:val="24"/>
              </w:rPr>
            </w:pPr>
            <w:r>
              <w:rPr>
                <w:rFonts w:hint="eastAsia" w:ascii="宋体" w:hAnsi="宋体" w:cs="宋体"/>
                <w:color w:val="000000"/>
                <w:kern w:val="0"/>
                <w:szCs w:val="21"/>
              </w:rPr>
              <w:t>浙江</w:t>
            </w:r>
          </w:p>
        </w:tc>
        <w:tc>
          <w:tcPr>
            <w:tcW w:w="2126" w:type="dxa"/>
            <w:tcBorders>
              <w:top w:val="nil"/>
              <w:left w:val="nil"/>
              <w:bottom w:val="single" w:color="auto" w:sz="6" w:space="0"/>
              <w:right w:val="single" w:color="auto" w:sz="6" w:space="0"/>
            </w:tcBorders>
            <w:noWrap/>
            <w:tcMar>
              <w:top w:w="0" w:type="dxa"/>
              <w:left w:w="105" w:type="dxa"/>
              <w:bottom w:w="0" w:type="dxa"/>
              <w:right w:w="105" w:type="dxa"/>
            </w:tcMar>
            <w:vAlign w:val="bottom"/>
          </w:tcPr>
          <w:p>
            <w:pPr>
              <w:widowControl/>
              <w:wordWrap w:val="0"/>
              <w:jc w:val="center"/>
              <w:rPr>
                <w:rFonts w:ascii="宋体" w:hAnsi="宋体" w:cs="宋体"/>
                <w:kern w:val="0"/>
                <w:sz w:val="24"/>
                <w:szCs w:val="24"/>
              </w:rPr>
            </w:pPr>
            <w:r>
              <w:rPr>
                <w:rFonts w:hint="eastAsia" w:ascii="宋体" w:hAnsi="宋体" w:cs="宋体"/>
                <w:color w:val="000000"/>
                <w:kern w:val="0"/>
                <w:szCs w:val="21"/>
              </w:rPr>
              <w:t>6</w:t>
            </w:r>
          </w:p>
        </w:tc>
        <w:tc>
          <w:tcPr>
            <w:tcW w:w="2552" w:type="dxa"/>
            <w:tcBorders>
              <w:top w:val="nil"/>
              <w:left w:val="nil"/>
              <w:bottom w:val="single" w:color="auto" w:sz="6" w:space="0"/>
              <w:right w:val="single" w:color="auto" w:sz="6" w:space="0"/>
            </w:tcBorders>
            <w:tcMar>
              <w:top w:w="0" w:type="dxa"/>
              <w:left w:w="105" w:type="dxa"/>
              <w:bottom w:w="0" w:type="dxa"/>
              <w:right w:w="105" w:type="dxa"/>
            </w:tcMar>
            <w:vAlign w:val="bottom"/>
          </w:tcPr>
          <w:p>
            <w:pPr>
              <w:widowControl/>
              <w:wordWrap w:val="0"/>
              <w:jc w:val="center"/>
              <w:rPr>
                <w:rFonts w:ascii="宋体" w:hAnsi="宋体" w:cs="宋体"/>
                <w:kern w:val="0"/>
                <w:sz w:val="24"/>
                <w:szCs w:val="24"/>
              </w:rPr>
            </w:pPr>
            <w:r>
              <w:rPr>
                <w:rFonts w:hint="eastAsia" w:ascii="宋体" w:hAnsi="宋体" w:cs="宋体"/>
                <w:color w:val="000000"/>
                <w:kern w:val="0"/>
                <w:szCs w:val="21"/>
              </w:rPr>
              <w:t>河北</w:t>
            </w:r>
          </w:p>
        </w:tc>
        <w:tc>
          <w:tcPr>
            <w:tcW w:w="1984" w:type="dxa"/>
            <w:tcBorders>
              <w:top w:val="nil"/>
              <w:left w:val="nil"/>
              <w:bottom w:val="single" w:color="auto" w:sz="6" w:space="0"/>
              <w:right w:val="single" w:color="auto" w:sz="6" w:space="0"/>
            </w:tcBorders>
            <w:tcMar>
              <w:top w:w="0" w:type="dxa"/>
              <w:left w:w="105" w:type="dxa"/>
              <w:bottom w:w="0" w:type="dxa"/>
              <w:right w:w="105" w:type="dxa"/>
            </w:tcMar>
            <w:vAlign w:val="bottom"/>
          </w:tcPr>
          <w:p>
            <w:pPr>
              <w:widowControl/>
              <w:wordWrap w:val="0"/>
              <w:jc w:val="center"/>
              <w:rPr>
                <w:rFonts w:ascii="宋体" w:hAnsi="宋体" w:cs="宋体"/>
                <w:kern w:val="0"/>
                <w:sz w:val="24"/>
                <w:szCs w:val="24"/>
              </w:rPr>
            </w:pPr>
            <w:r>
              <w:rPr>
                <w:rFonts w:hint="eastAsia" w:ascii="宋体" w:hAnsi="宋体" w:cs="宋体"/>
                <w:color w:val="000000"/>
                <w:kern w:val="0"/>
                <w:szCs w:val="21"/>
              </w:rPr>
              <w:t>4</w:t>
            </w:r>
          </w:p>
        </w:tc>
      </w:tr>
    </w:tbl>
    <w:p>
      <w:pPr>
        <w:widowControl/>
        <w:shd w:val="clear" w:color="auto" w:fill="FFFFFF"/>
        <w:jc w:val="left"/>
        <w:rPr>
          <w:rFonts w:ascii="微软雅黑" w:hAnsi="微软雅黑" w:eastAsia="微软雅黑" w:cs="宋体"/>
          <w:color w:val="333333"/>
          <w:spacing w:val="8"/>
          <w:kern w:val="0"/>
          <w:sz w:val="26"/>
          <w:szCs w:val="26"/>
        </w:rPr>
      </w:pPr>
      <w:r>
        <w:rPr>
          <w:rFonts w:hint="eastAsia" w:ascii="微软雅黑" w:hAnsi="微软雅黑" w:eastAsia="微软雅黑" w:cs="宋体"/>
          <w:color w:val="888888"/>
          <w:spacing w:val="30"/>
          <w:kern w:val="0"/>
          <w:szCs w:val="21"/>
        </w:rPr>
        <w:t>表1：上榜企业Top10省份</w:t>
      </w:r>
    </w:p>
    <w:p>
      <w:pPr>
        <w:widowControl/>
        <w:shd w:val="clear" w:color="auto" w:fill="FFFFFF"/>
        <w:jc w:val="center"/>
        <w:rPr>
          <w:rFonts w:ascii="微软雅黑" w:hAnsi="微软雅黑" w:eastAsia="微软雅黑" w:cs="宋体"/>
          <w:color w:val="333333"/>
          <w:spacing w:val="8"/>
          <w:kern w:val="0"/>
          <w:sz w:val="26"/>
          <w:szCs w:val="26"/>
        </w:rPr>
      </w:pPr>
      <w:r>
        <w:rPr>
          <w:rFonts w:hint="eastAsia" w:ascii="微软雅黑" w:hAnsi="微软雅黑" w:eastAsia="微软雅黑" w:cs="宋体"/>
          <w:b/>
          <w:bCs/>
          <w:color w:val="000000"/>
          <w:spacing w:val="30"/>
          <w:kern w:val="0"/>
          <w:sz w:val="23"/>
          <w:szCs w:val="23"/>
        </w:rPr>
        <w:t>产业集中度进一步提升，百强市场份额超过四成</w:t>
      </w:r>
    </w:p>
    <w:p>
      <w:pPr>
        <w:spacing w:line="560" w:lineRule="exact"/>
        <w:ind w:firstLine="560" w:firstLineChars="200"/>
        <w:rPr>
          <w:rFonts w:asciiTheme="minorEastAsia" w:hAnsiTheme="minorEastAsia"/>
          <w:sz w:val="28"/>
          <w:szCs w:val="28"/>
        </w:rPr>
      </w:pPr>
      <w:r>
        <w:rPr>
          <w:rFonts w:hint="eastAsia" w:asciiTheme="minorEastAsia" w:hAnsiTheme="minorEastAsia"/>
          <w:sz w:val="28"/>
          <w:szCs w:val="28"/>
        </w:rPr>
        <w:t>2019年头部连锁扩张速度虽然有所放缓，但百强连锁市场集中度仍保持上升态势。2019年百强连锁直营门店总数达到82741家，占全国15.8%，总销售规模达到1863亿元，占全国药品零售市场份额的40.9%，较2018年提升3个百分点。百强连锁的平均单店产出是行业平均水平的2.59倍。</w:t>
      </w:r>
    </w:p>
    <w:p>
      <w:pPr>
        <w:widowControl/>
        <w:shd w:val="clear" w:color="auto" w:fill="FFFFFF"/>
        <w:spacing w:line="560" w:lineRule="exact"/>
        <w:ind w:right="120"/>
        <w:jc w:val="center"/>
        <w:rPr>
          <w:rFonts w:ascii="微软雅黑" w:hAnsi="微软雅黑" w:eastAsia="微软雅黑" w:cs="宋体"/>
          <w:color w:val="333333"/>
          <w:spacing w:val="8"/>
          <w:kern w:val="0"/>
          <w:sz w:val="26"/>
          <w:szCs w:val="26"/>
        </w:rPr>
      </w:pPr>
      <w:r>
        <w:rPr>
          <w:rFonts w:hint="eastAsia" w:ascii="微软雅黑" w:hAnsi="微软雅黑" w:eastAsia="微软雅黑" w:cs="宋体"/>
          <w:b/>
          <w:bCs/>
          <w:color w:val="000000"/>
          <w:spacing w:val="30"/>
          <w:kern w:val="0"/>
          <w:sz w:val="23"/>
          <w:szCs w:val="23"/>
        </w:rPr>
        <w:t>龙头连锁高速发展，以门店扩张驱动为主</w:t>
      </w:r>
    </w:p>
    <w:p>
      <w:pPr>
        <w:spacing w:line="560" w:lineRule="exact"/>
        <w:ind w:firstLine="560" w:firstLineChars="200"/>
        <w:rPr>
          <w:rFonts w:asciiTheme="minorEastAsia" w:hAnsiTheme="minorEastAsia"/>
          <w:color w:val="333333"/>
          <w:spacing w:val="8"/>
          <w:sz w:val="28"/>
          <w:szCs w:val="28"/>
        </w:rPr>
      </w:pPr>
      <w:r>
        <w:rPr>
          <w:rFonts w:hint="eastAsia" w:asciiTheme="minorEastAsia" w:hAnsiTheme="minorEastAsia"/>
          <w:sz w:val="28"/>
          <w:szCs w:val="28"/>
        </w:rPr>
        <w:t>头部连锁依然保持扩张态势，但与过往的粗放并购扩张相比较，头部连锁进入内生发展期，扩店多采用自营新开或者加盟的方式。2019年头部连锁在门店数量的增长及销售增速保持行业领先地位。五大上市连锁新增门店均超过500家，销售额增速超过百强连锁整体水平的13%。</w:t>
      </w:r>
    </w:p>
    <w:tbl>
      <w:tblPr>
        <w:tblStyle w:val="9"/>
        <w:tblW w:w="8610" w:type="dxa"/>
        <w:tblInd w:w="0" w:type="dxa"/>
        <w:tblLayout w:type="autofit"/>
        <w:tblCellMar>
          <w:top w:w="0" w:type="dxa"/>
          <w:left w:w="0" w:type="dxa"/>
          <w:bottom w:w="0" w:type="dxa"/>
          <w:right w:w="0" w:type="dxa"/>
        </w:tblCellMar>
      </w:tblPr>
      <w:tblGrid>
        <w:gridCol w:w="1806"/>
        <w:gridCol w:w="1701"/>
        <w:gridCol w:w="1701"/>
        <w:gridCol w:w="1843"/>
        <w:gridCol w:w="1559"/>
      </w:tblGrid>
      <w:tr>
        <w:tblPrEx>
          <w:tblCellMar>
            <w:top w:w="0" w:type="dxa"/>
            <w:left w:w="0" w:type="dxa"/>
            <w:bottom w:w="0" w:type="dxa"/>
            <w:right w:w="0" w:type="dxa"/>
          </w:tblCellMar>
        </w:tblPrEx>
        <w:trPr>
          <w:trHeight w:val="285" w:hRule="atLeast"/>
        </w:trPr>
        <w:tc>
          <w:tcPr>
            <w:tcW w:w="1806" w:type="dxa"/>
            <w:vMerge w:val="restart"/>
            <w:tcBorders>
              <w:top w:val="single" w:color="auto" w:sz="6" w:space="0"/>
              <w:left w:val="single" w:color="auto" w:sz="6" w:space="0"/>
              <w:bottom w:val="single" w:color="auto" w:sz="6" w:space="0"/>
              <w:right w:val="single" w:color="auto" w:sz="6" w:space="0"/>
            </w:tcBorders>
            <w:noWrap/>
            <w:tcMar>
              <w:top w:w="0" w:type="dxa"/>
              <w:left w:w="105" w:type="dxa"/>
              <w:bottom w:w="0" w:type="dxa"/>
              <w:right w:w="105" w:type="dxa"/>
            </w:tcMar>
            <w:vAlign w:val="bottom"/>
          </w:tcPr>
          <w:p>
            <w:pPr>
              <w:widowControl/>
              <w:wordWrap w:val="0"/>
              <w:jc w:val="center"/>
              <w:rPr>
                <w:rFonts w:ascii="宋体" w:hAnsi="宋体" w:cs="宋体"/>
                <w:kern w:val="0"/>
                <w:sz w:val="24"/>
                <w:szCs w:val="24"/>
              </w:rPr>
            </w:pPr>
            <w:r>
              <w:rPr>
                <w:rFonts w:hint="eastAsia" w:ascii="宋体" w:hAnsi="宋体" w:cs="宋体"/>
                <w:color w:val="000000"/>
                <w:kern w:val="0"/>
                <w:szCs w:val="21"/>
              </w:rPr>
              <w:t>企业</w:t>
            </w:r>
          </w:p>
        </w:tc>
        <w:tc>
          <w:tcPr>
            <w:tcW w:w="3402" w:type="dxa"/>
            <w:gridSpan w:val="2"/>
            <w:tcBorders>
              <w:top w:val="single" w:color="auto" w:sz="6" w:space="0"/>
              <w:left w:val="nil"/>
              <w:bottom w:val="single" w:color="auto" w:sz="6" w:space="0"/>
              <w:right w:val="single" w:color="auto" w:sz="6" w:space="0"/>
            </w:tcBorders>
            <w:noWrap/>
            <w:tcMar>
              <w:top w:w="0" w:type="dxa"/>
              <w:left w:w="105" w:type="dxa"/>
              <w:bottom w:w="0" w:type="dxa"/>
              <w:right w:w="105" w:type="dxa"/>
            </w:tcMar>
            <w:vAlign w:val="center"/>
          </w:tcPr>
          <w:p>
            <w:pPr>
              <w:widowControl/>
              <w:wordWrap w:val="0"/>
              <w:jc w:val="center"/>
              <w:rPr>
                <w:rFonts w:ascii="宋体" w:hAnsi="宋体" w:cs="宋体"/>
                <w:kern w:val="0"/>
                <w:sz w:val="24"/>
                <w:szCs w:val="24"/>
              </w:rPr>
            </w:pPr>
            <w:r>
              <w:rPr>
                <w:rFonts w:hint="eastAsia" w:ascii="宋体" w:hAnsi="宋体" w:cs="宋体"/>
                <w:color w:val="000000"/>
                <w:kern w:val="0"/>
                <w:szCs w:val="21"/>
              </w:rPr>
              <w:t>门店增长</w:t>
            </w:r>
          </w:p>
        </w:tc>
        <w:tc>
          <w:tcPr>
            <w:tcW w:w="3402" w:type="dxa"/>
            <w:gridSpan w:val="2"/>
            <w:tcBorders>
              <w:top w:val="single" w:color="auto" w:sz="6" w:space="0"/>
              <w:left w:val="nil"/>
              <w:bottom w:val="single" w:color="auto" w:sz="6" w:space="0"/>
              <w:right w:val="single" w:color="auto" w:sz="6" w:space="0"/>
            </w:tcBorders>
            <w:noWrap/>
            <w:tcMar>
              <w:top w:w="0" w:type="dxa"/>
              <w:left w:w="105" w:type="dxa"/>
              <w:bottom w:w="0" w:type="dxa"/>
              <w:right w:w="105" w:type="dxa"/>
            </w:tcMar>
            <w:vAlign w:val="center"/>
          </w:tcPr>
          <w:p>
            <w:pPr>
              <w:widowControl/>
              <w:wordWrap w:val="0"/>
              <w:jc w:val="center"/>
              <w:rPr>
                <w:rFonts w:ascii="宋体" w:hAnsi="宋体" w:cs="宋体"/>
                <w:kern w:val="0"/>
                <w:sz w:val="24"/>
                <w:szCs w:val="24"/>
              </w:rPr>
            </w:pPr>
            <w:r>
              <w:rPr>
                <w:rFonts w:hint="eastAsia" w:ascii="宋体" w:hAnsi="宋体" w:cs="宋体"/>
                <w:color w:val="000000"/>
                <w:kern w:val="0"/>
                <w:szCs w:val="21"/>
              </w:rPr>
              <w:t>销售额同比增长</w:t>
            </w:r>
          </w:p>
        </w:tc>
      </w:tr>
      <w:tr>
        <w:tblPrEx>
          <w:tblCellMar>
            <w:top w:w="0" w:type="dxa"/>
            <w:left w:w="0" w:type="dxa"/>
            <w:bottom w:w="0" w:type="dxa"/>
            <w:right w:w="0" w:type="dxa"/>
          </w:tblCellMar>
        </w:tblPrEx>
        <w:trPr>
          <w:trHeight w:val="285" w:hRule="atLeast"/>
        </w:trPr>
        <w:tc>
          <w:tcPr>
            <w:tcW w:w="1806"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s="宋体"/>
                <w:kern w:val="0"/>
                <w:sz w:val="24"/>
                <w:szCs w:val="24"/>
              </w:rPr>
            </w:pPr>
          </w:p>
        </w:tc>
        <w:tc>
          <w:tcPr>
            <w:tcW w:w="1701" w:type="dxa"/>
            <w:tcBorders>
              <w:top w:val="nil"/>
              <w:left w:val="nil"/>
              <w:bottom w:val="single" w:color="auto" w:sz="6" w:space="0"/>
              <w:right w:val="single" w:color="auto" w:sz="6" w:space="0"/>
            </w:tcBorders>
            <w:noWrap/>
            <w:tcMar>
              <w:top w:w="0" w:type="dxa"/>
              <w:left w:w="105" w:type="dxa"/>
              <w:bottom w:w="0" w:type="dxa"/>
              <w:right w:w="105" w:type="dxa"/>
            </w:tcMar>
            <w:vAlign w:val="center"/>
          </w:tcPr>
          <w:p>
            <w:pPr>
              <w:widowControl/>
              <w:wordWrap w:val="0"/>
              <w:jc w:val="center"/>
              <w:rPr>
                <w:rFonts w:ascii="宋体" w:hAnsi="宋体" w:cs="宋体"/>
                <w:kern w:val="0"/>
                <w:sz w:val="24"/>
                <w:szCs w:val="24"/>
              </w:rPr>
            </w:pPr>
            <w:r>
              <w:rPr>
                <w:rFonts w:hint="eastAsia" w:ascii="宋体" w:hAnsi="宋体" w:cs="宋体"/>
                <w:color w:val="000000"/>
                <w:kern w:val="0"/>
                <w:szCs w:val="21"/>
              </w:rPr>
              <w:t>2018年</w:t>
            </w:r>
          </w:p>
        </w:tc>
        <w:tc>
          <w:tcPr>
            <w:tcW w:w="1701" w:type="dxa"/>
            <w:tcBorders>
              <w:top w:val="nil"/>
              <w:left w:val="nil"/>
              <w:bottom w:val="single" w:color="auto" w:sz="6" w:space="0"/>
              <w:right w:val="single" w:color="auto" w:sz="6" w:space="0"/>
            </w:tcBorders>
            <w:noWrap/>
            <w:tcMar>
              <w:top w:w="0" w:type="dxa"/>
              <w:left w:w="105" w:type="dxa"/>
              <w:bottom w:w="0" w:type="dxa"/>
              <w:right w:w="105" w:type="dxa"/>
            </w:tcMar>
            <w:vAlign w:val="center"/>
          </w:tcPr>
          <w:p>
            <w:pPr>
              <w:widowControl/>
              <w:wordWrap w:val="0"/>
              <w:jc w:val="center"/>
              <w:rPr>
                <w:rFonts w:ascii="宋体" w:hAnsi="宋体" w:cs="宋体"/>
                <w:kern w:val="0"/>
                <w:sz w:val="24"/>
                <w:szCs w:val="24"/>
              </w:rPr>
            </w:pPr>
            <w:r>
              <w:rPr>
                <w:rFonts w:hint="eastAsia" w:ascii="宋体" w:hAnsi="宋体" w:cs="宋体"/>
                <w:color w:val="000000"/>
                <w:kern w:val="0"/>
                <w:szCs w:val="21"/>
              </w:rPr>
              <w:t>2019年</w:t>
            </w:r>
          </w:p>
        </w:tc>
        <w:tc>
          <w:tcPr>
            <w:tcW w:w="1843" w:type="dxa"/>
            <w:tcBorders>
              <w:top w:val="nil"/>
              <w:left w:val="nil"/>
              <w:bottom w:val="single" w:color="auto" w:sz="6" w:space="0"/>
              <w:right w:val="single" w:color="auto" w:sz="6" w:space="0"/>
            </w:tcBorders>
            <w:noWrap/>
            <w:tcMar>
              <w:top w:w="0" w:type="dxa"/>
              <w:left w:w="105" w:type="dxa"/>
              <w:bottom w:w="0" w:type="dxa"/>
              <w:right w:w="105" w:type="dxa"/>
            </w:tcMar>
            <w:vAlign w:val="center"/>
          </w:tcPr>
          <w:p>
            <w:pPr>
              <w:widowControl/>
              <w:wordWrap w:val="0"/>
              <w:jc w:val="center"/>
              <w:rPr>
                <w:rFonts w:ascii="宋体" w:hAnsi="宋体" w:cs="宋体"/>
                <w:kern w:val="0"/>
                <w:sz w:val="24"/>
                <w:szCs w:val="24"/>
              </w:rPr>
            </w:pPr>
            <w:r>
              <w:rPr>
                <w:rFonts w:hint="eastAsia" w:ascii="宋体" w:hAnsi="宋体" w:cs="宋体"/>
                <w:color w:val="000000"/>
                <w:kern w:val="0"/>
                <w:szCs w:val="21"/>
              </w:rPr>
              <w:t>2018年</w:t>
            </w:r>
          </w:p>
        </w:tc>
        <w:tc>
          <w:tcPr>
            <w:tcW w:w="1559" w:type="dxa"/>
            <w:tcBorders>
              <w:top w:val="nil"/>
              <w:left w:val="nil"/>
              <w:bottom w:val="single" w:color="auto" w:sz="6" w:space="0"/>
              <w:right w:val="single" w:color="auto" w:sz="6" w:space="0"/>
            </w:tcBorders>
            <w:noWrap/>
            <w:tcMar>
              <w:top w:w="0" w:type="dxa"/>
              <w:left w:w="105" w:type="dxa"/>
              <w:bottom w:w="0" w:type="dxa"/>
              <w:right w:w="105" w:type="dxa"/>
            </w:tcMar>
            <w:vAlign w:val="center"/>
          </w:tcPr>
          <w:p>
            <w:pPr>
              <w:widowControl/>
              <w:wordWrap w:val="0"/>
              <w:jc w:val="center"/>
              <w:rPr>
                <w:rFonts w:ascii="宋体" w:hAnsi="宋体" w:cs="宋体"/>
                <w:kern w:val="0"/>
                <w:sz w:val="24"/>
                <w:szCs w:val="24"/>
              </w:rPr>
            </w:pPr>
            <w:r>
              <w:rPr>
                <w:rFonts w:hint="eastAsia" w:ascii="宋体" w:hAnsi="宋体" w:cs="宋体"/>
                <w:color w:val="000000"/>
                <w:kern w:val="0"/>
                <w:szCs w:val="21"/>
              </w:rPr>
              <w:t>2019年</w:t>
            </w:r>
          </w:p>
        </w:tc>
      </w:tr>
      <w:tr>
        <w:tblPrEx>
          <w:tblCellMar>
            <w:top w:w="0" w:type="dxa"/>
            <w:left w:w="0" w:type="dxa"/>
            <w:bottom w:w="0" w:type="dxa"/>
            <w:right w:w="0" w:type="dxa"/>
          </w:tblCellMar>
        </w:tblPrEx>
        <w:trPr>
          <w:trHeight w:val="285" w:hRule="atLeast"/>
        </w:trPr>
        <w:tc>
          <w:tcPr>
            <w:tcW w:w="1806" w:type="dxa"/>
            <w:tcBorders>
              <w:top w:val="nil"/>
              <w:left w:val="single" w:color="auto" w:sz="6" w:space="0"/>
              <w:bottom w:val="single" w:color="auto" w:sz="6" w:space="0"/>
              <w:right w:val="single" w:color="auto" w:sz="6" w:space="0"/>
            </w:tcBorders>
            <w:noWrap/>
            <w:tcMar>
              <w:top w:w="0" w:type="dxa"/>
              <w:left w:w="105" w:type="dxa"/>
              <w:bottom w:w="0" w:type="dxa"/>
              <w:right w:w="105" w:type="dxa"/>
            </w:tcMar>
            <w:vAlign w:val="bottom"/>
          </w:tcPr>
          <w:p>
            <w:pPr>
              <w:widowControl/>
              <w:wordWrap w:val="0"/>
              <w:jc w:val="center"/>
              <w:rPr>
                <w:rFonts w:ascii="宋体" w:hAnsi="宋体" w:cs="宋体"/>
                <w:kern w:val="0"/>
                <w:sz w:val="24"/>
                <w:szCs w:val="24"/>
              </w:rPr>
            </w:pPr>
            <w:r>
              <w:rPr>
                <w:rFonts w:hint="eastAsia" w:ascii="宋体" w:hAnsi="宋体" w:cs="宋体"/>
                <w:color w:val="000000"/>
                <w:kern w:val="0"/>
                <w:szCs w:val="21"/>
              </w:rPr>
              <w:t>大参林</w:t>
            </w:r>
          </w:p>
        </w:tc>
        <w:tc>
          <w:tcPr>
            <w:tcW w:w="1701" w:type="dxa"/>
            <w:tcBorders>
              <w:top w:val="nil"/>
              <w:left w:val="nil"/>
              <w:bottom w:val="single" w:color="auto" w:sz="6" w:space="0"/>
              <w:right w:val="single" w:color="auto" w:sz="6" w:space="0"/>
            </w:tcBorders>
            <w:noWrap/>
            <w:tcMar>
              <w:top w:w="0" w:type="dxa"/>
              <w:left w:w="105" w:type="dxa"/>
              <w:bottom w:w="0" w:type="dxa"/>
              <w:right w:w="105" w:type="dxa"/>
            </w:tcMar>
            <w:vAlign w:val="center"/>
          </w:tcPr>
          <w:p>
            <w:pPr>
              <w:widowControl/>
              <w:wordWrap w:val="0"/>
              <w:jc w:val="center"/>
              <w:rPr>
                <w:rFonts w:ascii="宋体" w:hAnsi="宋体" w:cs="宋体"/>
                <w:kern w:val="0"/>
                <w:sz w:val="24"/>
                <w:szCs w:val="24"/>
              </w:rPr>
            </w:pPr>
            <w:r>
              <w:rPr>
                <w:rFonts w:hint="eastAsia" w:ascii="宋体" w:hAnsi="宋体" w:cs="宋体"/>
                <w:color w:val="000000"/>
                <w:kern w:val="0"/>
                <w:szCs w:val="21"/>
              </w:rPr>
              <w:t>895</w:t>
            </w:r>
          </w:p>
        </w:tc>
        <w:tc>
          <w:tcPr>
            <w:tcW w:w="1701" w:type="dxa"/>
            <w:tcBorders>
              <w:top w:val="nil"/>
              <w:left w:val="nil"/>
              <w:bottom w:val="single" w:color="auto" w:sz="6" w:space="0"/>
              <w:right w:val="single" w:color="auto" w:sz="6" w:space="0"/>
            </w:tcBorders>
            <w:noWrap/>
            <w:tcMar>
              <w:top w:w="0" w:type="dxa"/>
              <w:left w:w="105" w:type="dxa"/>
              <w:bottom w:w="0" w:type="dxa"/>
              <w:right w:w="105" w:type="dxa"/>
            </w:tcMar>
            <w:vAlign w:val="center"/>
          </w:tcPr>
          <w:p>
            <w:pPr>
              <w:widowControl/>
              <w:wordWrap w:val="0"/>
              <w:jc w:val="center"/>
              <w:rPr>
                <w:rFonts w:ascii="宋体" w:hAnsi="宋体" w:cs="宋体"/>
                <w:kern w:val="0"/>
                <w:sz w:val="24"/>
                <w:szCs w:val="24"/>
              </w:rPr>
            </w:pPr>
            <w:r>
              <w:rPr>
                <w:rFonts w:hint="eastAsia" w:ascii="宋体" w:hAnsi="宋体" w:cs="宋体"/>
                <w:color w:val="000000"/>
                <w:kern w:val="0"/>
                <w:szCs w:val="21"/>
              </w:rPr>
              <w:t>822</w:t>
            </w:r>
          </w:p>
        </w:tc>
        <w:tc>
          <w:tcPr>
            <w:tcW w:w="1843" w:type="dxa"/>
            <w:tcBorders>
              <w:top w:val="nil"/>
              <w:left w:val="nil"/>
              <w:bottom w:val="single" w:color="auto" w:sz="6" w:space="0"/>
              <w:right w:val="single" w:color="auto" w:sz="6" w:space="0"/>
            </w:tcBorders>
            <w:noWrap/>
            <w:tcMar>
              <w:top w:w="0" w:type="dxa"/>
              <w:left w:w="105" w:type="dxa"/>
              <w:bottom w:w="0" w:type="dxa"/>
              <w:right w:w="105" w:type="dxa"/>
            </w:tcMar>
            <w:vAlign w:val="center"/>
          </w:tcPr>
          <w:p>
            <w:pPr>
              <w:widowControl/>
              <w:wordWrap w:val="0"/>
              <w:jc w:val="center"/>
              <w:rPr>
                <w:rFonts w:ascii="宋体" w:hAnsi="宋体" w:cs="宋体"/>
                <w:kern w:val="0"/>
                <w:sz w:val="24"/>
                <w:szCs w:val="24"/>
              </w:rPr>
            </w:pPr>
            <w:r>
              <w:rPr>
                <w:rFonts w:hint="eastAsia" w:ascii="宋体" w:hAnsi="宋体" w:cs="宋体"/>
                <w:color w:val="000000"/>
                <w:kern w:val="0"/>
                <w:szCs w:val="21"/>
              </w:rPr>
              <w:t>19.4%</w:t>
            </w:r>
          </w:p>
        </w:tc>
        <w:tc>
          <w:tcPr>
            <w:tcW w:w="1559" w:type="dxa"/>
            <w:tcBorders>
              <w:top w:val="nil"/>
              <w:left w:val="nil"/>
              <w:bottom w:val="single" w:color="auto" w:sz="6" w:space="0"/>
              <w:right w:val="single" w:color="auto" w:sz="6" w:space="0"/>
            </w:tcBorders>
            <w:noWrap/>
            <w:tcMar>
              <w:top w:w="0" w:type="dxa"/>
              <w:left w:w="105" w:type="dxa"/>
              <w:bottom w:w="0" w:type="dxa"/>
              <w:right w:w="105" w:type="dxa"/>
            </w:tcMar>
            <w:vAlign w:val="center"/>
          </w:tcPr>
          <w:p>
            <w:pPr>
              <w:widowControl/>
              <w:wordWrap w:val="0"/>
              <w:jc w:val="center"/>
              <w:rPr>
                <w:rFonts w:ascii="宋体" w:hAnsi="宋体" w:cs="宋体"/>
                <w:kern w:val="0"/>
                <w:sz w:val="24"/>
                <w:szCs w:val="24"/>
              </w:rPr>
            </w:pPr>
            <w:r>
              <w:rPr>
                <w:rFonts w:hint="eastAsia" w:ascii="宋体" w:hAnsi="宋体" w:cs="宋体"/>
                <w:color w:val="000000"/>
                <w:kern w:val="0"/>
                <w:szCs w:val="21"/>
              </w:rPr>
              <w:t>25.8%</w:t>
            </w:r>
          </w:p>
        </w:tc>
      </w:tr>
      <w:tr>
        <w:tblPrEx>
          <w:tblCellMar>
            <w:top w:w="0" w:type="dxa"/>
            <w:left w:w="0" w:type="dxa"/>
            <w:bottom w:w="0" w:type="dxa"/>
            <w:right w:w="0" w:type="dxa"/>
          </w:tblCellMar>
        </w:tblPrEx>
        <w:trPr>
          <w:trHeight w:val="285" w:hRule="atLeast"/>
        </w:trPr>
        <w:tc>
          <w:tcPr>
            <w:tcW w:w="1806" w:type="dxa"/>
            <w:tcBorders>
              <w:top w:val="nil"/>
              <w:left w:val="single" w:color="auto" w:sz="6" w:space="0"/>
              <w:bottom w:val="single" w:color="auto" w:sz="6" w:space="0"/>
              <w:right w:val="single" w:color="auto" w:sz="6" w:space="0"/>
            </w:tcBorders>
            <w:noWrap/>
            <w:tcMar>
              <w:top w:w="0" w:type="dxa"/>
              <w:left w:w="105" w:type="dxa"/>
              <w:bottom w:w="0" w:type="dxa"/>
              <w:right w:w="105" w:type="dxa"/>
            </w:tcMar>
            <w:vAlign w:val="bottom"/>
          </w:tcPr>
          <w:p>
            <w:pPr>
              <w:widowControl/>
              <w:wordWrap w:val="0"/>
              <w:jc w:val="center"/>
              <w:rPr>
                <w:rFonts w:ascii="宋体" w:hAnsi="宋体" w:cs="宋体"/>
                <w:kern w:val="0"/>
                <w:sz w:val="24"/>
                <w:szCs w:val="24"/>
              </w:rPr>
            </w:pPr>
            <w:r>
              <w:rPr>
                <w:rFonts w:hint="eastAsia" w:ascii="宋体" w:hAnsi="宋体" w:cs="宋体"/>
                <w:color w:val="000000"/>
                <w:kern w:val="0"/>
                <w:szCs w:val="21"/>
              </w:rPr>
              <w:t>国大药房</w:t>
            </w:r>
          </w:p>
        </w:tc>
        <w:tc>
          <w:tcPr>
            <w:tcW w:w="1701" w:type="dxa"/>
            <w:tcBorders>
              <w:top w:val="nil"/>
              <w:left w:val="nil"/>
              <w:bottom w:val="single" w:color="auto" w:sz="6" w:space="0"/>
              <w:right w:val="single" w:color="auto" w:sz="6" w:space="0"/>
            </w:tcBorders>
            <w:noWrap/>
            <w:tcMar>
              <w:top w:w="0" w:type="dxa"/>
              <w:left w:w="105" w:type="dxa"/>
              <w:bottom w:w="0" w:type="dxa"/>
              <w:right w:w="105" w:type="dxa"/>
            </w:tcMar>
            <w:vAlign w:val="center"/>
          </w:tcPr>
          <w:p>
            <w:pPr>
              <w:widowControl/>
              <w:wordWrap w:val="0"/>
              <w:jc w:val="center"/>
              <w:rPr>
                <w:rFonts w:ascii="宋体" w:hAnsi="宋体" w:cs="宋体"/>
                <w:kern w:val="0"/>
                <w:sz w:val="24"/>
                <w:szCs w:val="24"/>
              </w:rPr>
            </w:pPr>
            <w:r>
              <w:rPr>
                <w:rFonts w:hint="eastAsia" w:ascii="宋体" w:hAnsi="宋体" w:cs="宋体"/>
                <w:color w:val="000000"/>
                <w:kern w:val="0"/>
                <w:szCs w:val="21"/>
              </w:rPr>
              <w:t>401</w:t>
            </w:r>
          </w:p>
        </w:tc>
        <w:tc>
          <w:tcPr>
            <w:tcW w:w="1701" w:type="dxa"/>
            <w:tcBorders>
              <w:top w:val="nil"/>
              <w:left w:val="nil"/>
              <w:bottom w:val="single" w:color="auto" w:sz="6" w:space="0"/>
              <w:right w:val="single" w:color="auto" w:sz="6" w:space="0"/>
            </w:tcBorders>
            <w:noWrap/>
            <w:tcMar>
              <w:top w:w="0" w:type="dxa"/>
              <w:left w:w="105" w:type="dxa"/>
              <w:bottom w:w="0" w:type="dxa"/>
              <w:right w:w="105" w:type="dxa"/>
            </w:tcMar>
            <w:vAlign w:val="center"/>
          </w:tcPr>
          <w:p>
            <w:pPr>
              <w:widowControl/>
              <w:wordWrap w:val="0"/>
              <w:jc w:val="center"/>
              <w:rPr>
                <w:rFonts w:ascii="宋体" w:hAnsi="宋体" w:cs="宋体"/>
                <w:kern w:val="0"/>
                <w:sz w:val="24"/>
                <w:szCs w:val="24"/>
              </w:rPr>
            </w:pPr>
            <w:r>
              <w:rPr>
                <w:rFonts w:hint="eastAsia" w:ascii="宋体" w:hAnsi="宋体" w:cs="宋体"/>
                <w:color w:val="000000"/>
                <w:kern w:val="0"/>
                <w:szCs w:val="21"/>
              </w:rPr>
              <w:t>542</w:t>
            </w:r>
          </w:p>
        </w:tc>
        <w:tc>
          <w:tcPr>
            <w:tcW w:w="1843" w:type="dxa"/>
            <w:tcBorders>
              <w:top w:val="nil"/>
              <w:left w:val="nil"/>
              <w:bottom w:val="single" w:color="auto" w:sz="6" w:space="0"/>
              <w:right w:val="single" w:color="auto" w:sz="6" w:space="0"/>
            </w:tcBorders>
            <w:noWrap/>
            <w:tcMar>
              <w:top w:w="0" w:type="dxa"/>
              <w:left w:w="105" w:type="dxa"/>
              <w:bottom w:w="0" w:type="dxa"/>
              <w:right w:w="105" w:type="dxa"/>
            </w:tcMar>
            <w:vAlign w:val="center"/>
          </w:tcPr>
          <w:p>
            <w:pPr>
              <w:widowControl/>
              <w:wordWrap w:val="0"/>
              <w:jc w:val="center"/>
              <w:rPr>
                <w:rFonts w:ascii="宋体" w:hAnsi="宋体" w:cs="宋体"/>
                <w:kern w:val="0"/>
                <w:sz w:val="24"/>
                <w:szCs w:val="24"/>
              </w:rPr>
            </w:pPr>
            <w:r>
              <w:rPr>
                <w:rFonts w:hint="eastAsia" w:ascii="宋体" w:hAnsi="宋体" w:cs="宋体"/>
                <w:color w:val="000000"/>
                <w:kern w:val="0"/>
                <w:szCs w:val="21"/>
              </w:rPr>
              <w:t>8.4%</w:t>
            </w:r>
          </w:p>
        </w:tc>
        <w:tc>
          <w:tcPr>
            <w:tcW w:w="1559" w:type="dxa"/>
            <w:tcBorders>
              <w:top w:val="nil"/>
              <w:left w:val="nil"/>
              <w:bottom w:val="single" w:color="auto" w:sz="6" w:space="0"/>
              <w:right w:val="single" w:color="auto" w:sz="6" w:space="0"/>
            </w:tcBorders>
            <w:noWrap/>
            <w:tcMar>
              <w:top w:w="0" w:type="dxa"/>
              <w:left w:w="105" w:type="dxa"/>
              <w:bottom w:w="0" w:type="dxa"/>
              <w:right w:w="105" w:type="dxa"/>
            </w:tcMar>
            <w:vAlign w:val="center"/>
          </w:tcPr>
          <w:p>
            <w:pPr>
              <w:widowControl/>
              <w:wordWrap w:val="0"/>
              <w:jc w:val="center"/>
              <w:rPr>
                <w:rFonts w:ascii="宋体" w:hAnsi="宋体" w:cs="宋体"/>
                <w:kern w:val="0"/>
                <w:sz w:val="24"/>
                <w:szCs w:val="24"/>
              </w:rPr>
            </w:pPr>
            <w:r>
              <w:rPr>
                <w:rFonts w:hint="eastAsia" w:ascii="宋体" w:hAnsi="宋体" w:cs="宋体"/>
                <w:color w:val="000000"/>
                <w:kern w:val="0"/>
                <w:szCs w:val="21"/>
              </w:rPr>
              <w:t>17.2%</w:t>
            </w:r>
          </w:p>
        </w:tc>
      </w:tr>
      <w:tr>
        <w:tblPrEx>
          <w:tblCellMar>
            <w:top w:w="0" w:type="dxa"/>
            <w:left w:w="0" w:type="dxa"/>
            <w:bottom w:w="0" w:type="dxa"/>
            <w:right w:w="0" w:type="dxa"/>
          </w:tblCellMar>
        </w:tblPrEx>
        <w:trPr>
          <w:trHeight w:val="285" w:hRule="atLeast"/>
        </w:trPr>
        <w:tc>
          <w:tcPr>
            <w:tcW w:w="1806" w:type="dxa"/>
            <w:tcBorders>
              <w:top w:val="nil"/>
              <w:left w:val="single" w:color="auto" w:sz="6" w:space="0"/>
              <w:bottom w:val="single" w:color="auto" w:sz="6" w:space="0"/>
              <w:right w:val="single" w:color="auto" w:sz="6" w:space="0"/>
            </w:tcBorders>
            <w:noWrap/>
            <w:tcMar>
              <w:top w:w="0" w:type="dxa"/>
              <w:left w:w="105" w:type="dxa"/>
              <w:bottom w:w="0" w:type="dxa"/>
              <w:right w:w="105" w:type="dxa"/>
            </w:tcMar>
            <w:vAlign w:val="bottom"/>
          </w:tcPr>
          <w:p>
            <w:pPr>
              <w:widowControl/>
              <w:wordWrap w:val="0"/>
              <w:jc w:val="center"/>
              <w:rPr>
                <w:rFonts w:ascii="宋体" w:hAnsi="宋体" w:cs="宋体"/>
                <w:kern w:val="0"/>
                <w:sz w:val="24"/>
                <w:szCs w:val="24"/>
              </w:rPr>
            </w:pPr>
            <w:r>
              <w:rPr>
                <w:rFonts w:hint="eastAsia" w:ascii="宋体" w:hAnsi="宋体" w:cs="宋体"/>
                <w:color w:val="000000"/>
                <w:kern w:val="0"/>
                <w:szCs w:val="21"/>
              </w:rPr>
              <w:t>老百姓</w:t>
            </w:r>
          </w:p>
        </w:tc>
        <w:tc>
          <w:tcPr>
            <w:tcW w:w="1701" w:type="dxa"/>
            <w:tcBorders>
              <w:top w:val="nil"/>
              <w:left w:val="nil"/>
              <w:bottom w:val="single" w:color="auto" w:sz="6" w:space="0"/>
              <w:right w:val="single" w:color="auto" w:sz="6" w:space="0"/>
            </w:tcBorders>
            <w:noWrap/>
            <w:tcMar>
              <w:top w:w="0" w:type="dxa"/>
              <w:left w:w="105" w:type="dxa"/>
              <w:bottom w:w="0" w:type="dxa"/>
              <w:right w:w="105" w:type="dxa"/>
            </w:tcMar>
            <w:vAlign w:val="center"/>
          </w:tcPr>
          <w:p>
            <w:pPr>
              <w:widowControl/>
              <w:wordWrap w:val="0"/>
              <w:jc w:val="center"/>
              <w:rPr>
                <w:rFonts w:ascii="宋体" w:hAnsi="宋体" w:cs="宋体"/>
                <w:kern w:val="0"/>
                <w:sz w:val="24"/>
                <w:szCs w:val="24"/>
              </w:rPr>
            </w:pPr>
            <w:r>
              <w:rPr>
                <w:rFonts w:hint="eastAsia" w:ascii="宋体" w:hAnsi="宋体" w:cs="宋体"/>
                <w:color w:val="000000"/>
                <w:kern w:val="0"/>
                <w:szCs w:val="21"/>
              </w:rPr>
              <w:t>855</w:t>
            </w:r>
          </w:p>
        </w:tc>
        <w:tc>
          <w:tcPr>
            <w:tcW w:w="1701" w:type="dxa"/>
            <w:tcBorders>
              <w:top w:val="nil"/>
              <w:left w:val="nil"/>
              <w:bottom w:val="single" w:color="auto" w:sz="6" w:space="0"/>
              <w:right w:val="single" w:color="auto" w:sz="6" w:space="0"/>
            </w:tcBorders>
            <w:noWrap/>
            <w:tcMar>
              <w:top w:w="0" w:type="dxa"/>
              <w:left w:w="105" w:type="dxa"/>
              <w:bottom w:w="0" w:type="dxa"/>
              <w:right w:w="105" w:type="dxa"/>
            </w:tcMar>
            <w:vAlign w:val="center"/>
          </w:tcPr>
          <w:p>
            <w:pPr>
              <w:widowControl/>
              <w:wordWrap w:val="0"/>
              <w:jc w:val="center"/>
              <w:rPr>
                <w:rFonts w:ascii="宋体" w:hAnsi="宋体" w:cs="宋体"/>
                <w:kern w:val="0"/>
                <w:sz w:val="24"/>
                <w:szCs w:val="24"/>
              </w:rPr>
            </w:pPr>
            <w:r>
              <w:rPr>
                <w:rFonts w:hint="eastAsia" w:ascii="宋体" w:hAnsi="宋体" w:cs="宋体"/>
                <w:color w:val="000000"/>
                <w:kern w:val="0"/>
                <w:szCs w:val="21"/>
              </w:rPr>
              <w:t>605</w:t>
            </w:r>
          </w:p>
        </w:tc>
        <w:tc>
          <w:tcPr>
            <w:tcW w:w="1843" w:type="dxa"/>
            <w:tcBorders>
              <w:top w:val="nil"/>
              <w:left w:val="nil"/>
              <w:bottom w:val="single" w:color="auto" w:sz="6" w:space="0"/>
              <w:right w:val="single" w:color="auto" w:sz="6" w:space="0"/>
            </w:tcBorders>
            <w:noWrap/>
            <w:tcMar>
              <w:top w:w="0" w:type="dxa"/>
              <w:left w:w="105" w:type="dxa"/>
              <w:bottom w:w="0" w:type="dxa"/>
              <w:right w:w="105" w:type="dxa"/>
            </w:tcMar>
            <w:vAlign w:val="center"/>
          </w:tcPr>
          <w:p>
            <w:pPr>
              <w:widowControl/>
              <w:wordWrap w:val="0"/>
              <w:jc w:val="center"/>
              <w:rPr>
                <w:rFonts w:ascii="宋体" w:hAnsi="宋体" w:cs="宋体"/>
                <w:kern w:val="0"/>
                <w:sz w:val="24"/>
                <w:szCs w:val="24"/>
              </w:rPr>
            </w:pPr>
            <w:r>
              <w:rPr>
                <w:rFonts w:hint="eastAsia" w:ascii="宋体" w:hAnsi="宋体" w:cs="宋体"/>
                <w:color w:val="000000"/>
                <w:kern w:val="0"/>
                <w:szCs w:val="21"/>
              </w:rPr>
              <w:t>26.3%</w:t>
            </w:r>
          </w:p>
        </w:tc>
        <w:tc>
          <w:tcPr>
            <w:tcW w:w="1559" w:type="dxa"/>
            <w:tcBorders>
              <w:top w:val="nil"/>
              <w:left w:val="nil"/>
              <w:bottom w:val="single" w:color="auto" w:sz="6" w:space="0"/>
              <w:right w:val="single" w:color="auto" w:sz="6" w:space="0"/>
            </w:tcBorders>
            <w:noWrap/>
            <w:tcMar>
              <w:top w:w="0" w:type="dxa"/>
              <w:left w:w="105" w:type="dxa"/>
              <w:bottom w:w="0" w:type="dxa"/>
              <w:right w:w="105" w:type="dxa"/>
            </w:tcMar>
            <w:vAlign w:val="center"/>
          </w:tcPr>
          <w:p>
            <w:pPr>
              <w:widowControl/>
              <w:wordWrap w:val="0"/>
              <w:jc w:val="center"/>
              <w:rPr>
                <w:rFonts w:ascii="宋体" w:hAnsi="宋体" w:cs="宋体"/>
                <w:kern w:val="0"/>
                <w:sz w:val="24"/>
                <w:szCs w:val="24"/>
              </w:rPr>
            </w:pPr>
            <w:r>
              <w:rPr>
                <w:rFonts w:hint="eastAsia" w:ascii="宋体" w:hAnsi="宋体" w:cs="宋体"/>
                <w:color w:val="000000"/>
                <w:kern w:val="0"/>
                <w:szCs w:val="21"/>
              </w:rPr>
              <w:t>23.1%</w:t>
            </w:r>
          </w:p>
        </w:tc>
      </w:tr>
      <w:tr>
        <w:tblPrEx>
          <w:tblCellMar>
            <w:top w:w="0" w:type="dxa"/>
            <w:left w:w="0" w:type="dxa"/>
            <w:bottom w:w="0" w:type="dxa"/>
            <w:right w:w="0" w:type="dxa"/>
          </w:tblCellMar>
        </w:tblPrEx>
        <w:trPr>
          <w:trHeight w:val="285" w:hRule="atLeast"/>
        </w:trPr>
        <w:tc>
          <w:tcPr>
            <w:tcW w:w="1806" w:type="dxa"/>
            <w:tcBorders>
              <w:top w:val="nil"/>
              <w:left w:val="single" w:color="auto" w:sz="6" w:space="0"/>
              <w:bottom w:val="single" w:color="auto" w:sz="6" w:space="0"/>
              <w:right w:val="single" w:color="auto" w:sz="6" w:space="0"/>
            </w:tcBorders>
            <w:noWrap/>
            <w:tcMar>
              <w:top w:w="0" w:type="dxa"/>
              <w:left w:w="105" w:type="dxa"/>
              <w:bottom w:w="0" w:type="dxa"/>
              <w:right w:w="105" w:type="dxa"/>
            </w:tcMar>
            <w:vAlign w:val="bottom"/>
          </w:tcPr>
          <w:p>
            <w:pPr>
              <w:widowControl/>
              <w:wordWrap w:val="0"/>
              <w:jc w:val="center"/>
              <w:rPr>
                <w:rFonts w:ascii="宋体" w:hAnsi="宋体" w:cs="宋体"/>
                <w:kern w:val="0"/>
                <w:sz w:val="24"/>
                <w:szCs w:val="24"/>
              </w:rPr>
            </w:pPr>
            <w:r>
              <w:rPr>
                <w:rFonts w:hint="eastAsia" w:ascii="宋体" w:hAnsi="宋体" w:cs="宋体"/>
                <w:color w:val="000000"/>
                <w:kern w:val="0"/>
                <w:szCs w:val="21"/>
              </w:rPr>
              <w:t>一心堂</w:t>
            </w:r>
          </w:p>
        </w:tc>
        <w:tc>
          <w:tcPr>
            <w:tcW w:w="1701" w:type="dxa"/>
            <w:tcBorders>
              <w:top w:val="nil"/>
              <w:left w:val="nil"/>
              <w:bottom w:val="single" w:color="auto" w:sz="6" w:space="0"/>
              <w:right w:val="single" w:color="auto" w:sz="6" w:space="0"/>
            </w:tcBorders>
            <w:noWrap/>
            <w:tcMar>
              <w:top w:w="0" w:type="dxa"/>
              <w:left w:w="105" w:type="dxa"/>
              <w:bottom w:w="0" w:type="dxa"/>
              <w:right w:w="105" w:type="dxa"/>
            </w:tcMar>
            <w:vAlign w:val="center"/>
          </w:tcPr>
          <w:p>
            <w:pPr>
              <w:widowControl/>
              <w:wordWrap w:val="0"/>
              <w:jc w:val="center"/>
              <w:rPr>
                <w:rFonts w:ascii="宋体" w:hAnsi="宋体" w:cs="宋体"/>
                <w:kern w:val="0"/>
                <w:sz w:val="24"/>
                <w:szCs w:val="24"/>
              </w:rPr>
            </w:pPr>
            <w:r>
              <w:rPr>
                <w:rFonts w:hint="eastAsia" w:ascii="宋体" w:hAnsi="宋体" w:cs="宋体"/>
                <w:color w:val="000000"/>
                <w:kern w:val="0"/>
                <w:szCs w:val="21"/>
              </w:rPr>
              <w:t>692</w:t>
            </w:r>
          </w:p>
        </w:tc>
        <w:tc>
          <w:tcPr>
            <w:tcW w:w="1701" w:type="dxa"/>
            <w:tcBorders>
              <w:top w:val="nil"/>
              <w:left w:val="nil"/>
              <w:bottom w:val="single" w:color="auto" w:sz="6" w:space="0"/>
              <w:right w:val="single" w:color="auto" w:sz="6" w:space="0"/>
            </w:tcBorders>
            <w:noWrap/>
            <w:tcMar>
              <w:top w:w="0" w:type="dxa"/>
              <w:left w:w="105" w:type="dxa"/>
              <w:bottom w:w="0" w:type="dxa"/>
              <w:right w:w="105" w:type="dxa"/>
            </w:tcMar>
            <w:vAlign w:val="center"/>
          </w:tcPr>
          <w:p>
            <w:pPr>
              <w:widowControl/>
              <w:wordWrap w:val="0"/>
              <w:jc w:val="center"/>
              <w:rPr>
                <w:rFonts w:ascii="宋体" w:hAnsi="宋体" w:cs="宋体"/>
                <w:kern w:val="0"/>
                <w:sz w:val="24"/>
                <w:szCs w:val="24"/>
              </w:rPr>
            </w:pPr>
            <w:r>
              <w:rPr>
                <w:rFonts w:hint="eastAsia" w:ascii="宋体" w:hAnsi="宋体" w:cs="宋体"/>
                <w:color w:val="000000"/>
                <w:kern w:val="0"/>
                <w:szCs w:val="21"/>
              </w:rPr>
              <w:t>508</w:t>
            </w:r>
          </w:p>
        </w:tc>
        <w:tc>
          <w:tcPr>
            <w:tcW w:w="1843" w:type="dxa"/>
            <w:tcBorders>
              <w:top w:val="nil"/>
              <w:left w:val="nil"/>
              <w:bottom w:val="single" w:color="auto" w:sz="6" w:space="0"/>
              <w:right w:val="single" w:color="auto" w:sz="6" w:space="0"/>
            </w:tcBorders>
            <w:noWrap/>
            <w:tcMar>
              <w:top w:w="0" w:type="dxa"/>
              <w:left w:w="105" w:type="dxa"/>
              <w:bottom w:w="0" w:type="dxa"/>
              <w:right w:w="105" w:type="dxa"/>
            </w:tcMar>
            <w:vAlign w:val="center"/>
          </w:tcPr>
          <w:p>
            <w:pPr>
              <w:widowControl/>
              <w:wordWrap w:val="0"/>
              <w:jc w:val="center"/>
              <w:rPr>
                <w:rFonts w:ascii="宋体" w:hAnsi="宋体" w:cs="宋体"/>
                <w:kern w:val="0"/>
                <w:sz w:val="24"/>
                <w:szCs w:val="24"/>
              </w:rPr>
            </w:pPr>
            <w:r>
              <w:rPr>
                <w:rFonts w:hint="eastAsia" w:ascii="宋体" w:hAnsi="宋体" w:cs="宋体"/>
                <w:color w:val="000000"/>
                <w:kern w:val="0"/>
                <w:szCs w:val="21"/>
              </w:rPr>
              <w:t>18.4%</w:t>
            </w:r>
          </w:p>
        </w:tc>
        <w:tc>
          <w:tcPr>
            <w:tcW w:w="1559" w:type="dxa"/>
            <w:tcBorders>
              <w:top w:val="nil"/>
              <w:left w:val="nil"/>
              <w:bottom w:val="single" w:color="auto" w:sz="6" w:space="0"/>
              <w:right w:val="single" w:color="auto" w:sz="6" w:space="0"/>
            </w:tcBorders>
            <w:noWrap/>
            <w:tcMar>
              <w:top w:w="0" w:type="dxa"/>
              <w:left w:w="105" w:type="dxa"/>
              <w:bottom w:w="0" w:type="dxa"/>
              <w:right w:w="105" w:type="dxa"/>
            </w:tcMar>
            <w:vAlign w:val="center"/>
          </w:tcPr>
          <w:p>
            <w:pPr>
              <w:widowControl/>
              <w:wordWrap w:val="0"/>
              <w:jc w:val="center"/>
              <w:rPr>
                <w:rFonts w:ascii="宋体" w:hAnsi="宋体" w:cs="宋体"/>
                <w:kern w:val="0"/>
                <w:sz w:val="24"/>
                <w:szCs w:val="24"/>
              </w:rPr>
            </w:pPr>
            <w:r>
              <w:rPr>
                <w:rFonts w:hint="eastAsia" w:ascii="宋体" w:hAnsi="宋体" w:cs="宋体"/>
                <w:color w:val="000000"/>
                <w:kern w:val="0"/>
                <w:szCs w:val="21"/>
              </w:rPr>
              <w:t>14.2%</w:t>
            </w:r>
          </w:p>
        </w:tc>
      </w:tr>
      <w:tr>
        <w:tblPrEx>
          <w:tblCellMar>
            <w:top w:w="0" w:type="dxa"/>
            <w:left w:w="0" w:type="dxa"/>
            <w:bottom w:w="0" w:type="dxa"/>
            <w:right w:w="0" w:type="dxa"/>
          </w:tblCellMar>
        </w:tblPrEx>
        <w:trPr>
          <w:trHeight w:val="206" w:hRule="atLeast"/>
        </w:trPr>
        <w:tc>
          <w:tcPr>
            <w:tcW w:w="1806" w:type="dxa"/>
            <w:tcBorders>
              <w:top w:val="nil"/>
              <w:left w:val="single" w:color="auto" w:sz="6" w:space="0"/>
              <w:bottom w:val="single" w:color="auto" w:sz="6" w:space="0"/>
              <w:right w:val="single" w:color="auto" w:sz="6" w:space="0"/>
            </w:tcBorders>
            <w:noWrap/>
            <w:tcMar>
              <w:top w:w="0" w:type="dxa"/>
              <w:left w:w="105" w:type="dxa"/>
              <w:bottom w:w="0" w:type="dxa"/>
              <w:right w:w="105" w:type="dxa"/>
            </w:tcMar>
            <w:vAlign w:val="bottom"/>
          </w:tcPr>
          <w:p>
            <w:pPr>
              <w:widowControl/>
              <w:wordWrap w:val="0"/>
              <w:jc w:val="center"/>
              <w:rPr>
                <w:rFonts w:ascii="宋体" w:hAnsi="宋体" w:cs="宋体"/>
                <w:kern w:val="0"/>
                <w:sz w:val="24"/>
                <w:szCs w:val="24"/>
              </w:rPr>
            </w:pPr>
            <w:r>
              <w:rPr>
                <w:rFonts w:hint="eastAsia" w:ascii="宋体" w:hAnsi="宋体" w:cs="宋体"/>
                <w:color w:val="000000"/>
                <w:kern w:val="0"/>
                <w:szCs w:val="21"/>
              </w:rPr>
              <w:t>益丰</w:t>
            </w:r>
          </w:p>
        </w:tc>
        <w:tc>
          <w:tcPr>
            <w:tcW w:w="1701" w:type="dxa"/>
            <w:tcBorders>
              <w:top w:val="nil"/>
              <w:left w:val="nil"/>
              <w:bottom w:val="single" w:color="auto" w:sz="6" w:space="0"/>
              <w:right w:val="single" w:color="auto" w:sz="6" w:space="0"/>
            </w:tcBorders>
            <w:noWrap/>
            <w:tcMar>
              <w:top w:w="0" w:type="dxa"/>
              <w:left w:w="105" w:type="dxa"/>
              <w:bottom w:w="0" w:type="dxa"/>
              <w:right w:w="105" w:type="dxa"/>
            </w:tcMar>
            <w:vAlign w:val="center"/>
          </w:tcPr>
          <w:p>
            <w:pPr>
              <w:widowControl/>
              <w:wordWrap w:val="0"/>
              <w:jc w:val="center"/>
              <w:rPr>
                <w:rFonts w:ascii="宋体" w:hAnsi="宋体" w:cs="宋体"/>
                <w:kern w:val="0"/>
                <w:sz w:val="24"/>
                <w:szCs w:val="24"/>
              </w:rPr>
            </w:pPr>
            <w:r>
              <w:rPr>
                <w:rFonts w:hint="eastAsia" w:ascii="宋体" w:hAnsi="宋体" w:cs="宋体"/>
                <w:color w:val="000000"/>
                <w:kern w:val="0"/>
                <w:szCs w:val="21"/>
              </w:rPr>
              <w:t>1463</w:t>
            </w:r>
          </w:p>
        </w:tc>
        <w:tc>
          <w:tcPr>
            <w:tcW w:w="1701" w:type="dxa"/>
            <w:tcBorders>
              <w:top w:val="nil"/>
              <w:left w:val="nil"/>
              <w:bottom w:val="single" w:color="auto" w:sz="6" w:space="0"/>
              <w:right w:val="single" w:color="auto" w:sz="6" w:space="0"/>
            </w:tcBorders>
            <w:noWrap/>
            <w:tcMar>
              <w:top w:w="0" w:type="dxa"/>
              <w:left w:w="105" w:type="dxa"/>
              <w:bottom w:w="0" w:type="dxa"/>
              <w:right w:w="105" w:type="dxa"/>
            </w:tcMar>
            <w:vAlign w:val="center"/>
          </w:tcPr>
          <w:p>
            <w:pPr>
              <w:widowControl/>
              <w:wordWrap w:val="0"/>
              <w:jc w:val="center"/>
              <w:rPr>
                <w:rFonts w:ascii="宋体" w:hAnsi="宋体" w:cs="宋体"/>
                <w:kern w:val="0"/>
                <w:sz w:val="24"/>
                <w:szCs w:val="24"/>
              </w:rPr>
            </w:pPr>
            <w:r>
              <w:rPr>
                <w:rFonts w:hint="eastAsia" w:ascii="宋体" w:hAnsi="宋体" w:cs="宋体"/>
                <w:color w:val="000000"/>
                <w:kern w:val="0"/>
                <w:szCs w:val="21"/>
              </w:rPr>
              <w:t>924</w:t>
            </w:r>
          </w:p>
        </w:tc>
        <w:tc>
          <w:tcPr>
            <w:tcW w:w="1843" w:type="dxa"/>
            <w:tcBorders>
              <w:top w:val="nil"/>
              <w:left w:val="nil"/>
              <w:bottom w:val="single" w:color="auto" w:sz="6" w:space="0"/>
              <w:right w:val="single" w:color="auto" w:sz="6" w:space="0"/>
            </w:tcBorders>
            <w:noWrap/>
            <w:tcMar>
              <w:top w:w="0" w:type="dxa"/>
              <w:left w:w="105" w:type="dxa"/>
              <w:bottom w:w="0" w:type="dxa"/>
              <w:right w:w="105" w:type="dxa"/>
            </w:tcMar>
            <w:vAlign w:val="center"/>
          </w:tcPr>
          <w:p>
            <w:pPr>
              <w:widowControl/>
              <w:wordWrap w:val="0"/>
              <w:jc w:val="center"/>
              <w:rPr>
                <w:rFonts w:ascii="宋体" w:hAnsi="宋体" w:cs="宋体"/>
                <w:kern w:val="0"/>
                <w:sz w:val="24"/>
                <w:szCs w:val="24"/>
              </w:rPr>
            </w:pPr>
            <w:r>
              <w:rPr>
                <w:rFonts w:hint="eastAsia" w:ascii="宋体" w:hAnsi="宋体" w:cs="宋体"/>
                <w:color w:val="000000"/>
                <w:kern w:val="0"/>
                <w:szCs w:val="21"/>
              </w:rPr>
              <w:t>43.8%</w:t>
            </w:r>
          </w:p>
        </w:tc>
        <w:tc>
          <w:tcPr>
            <w:tcW w:w="1559" w:type="dxa"/>
            <w:tcBorders>
              <w:top w:val="nil"/>
              <w:left w:val="nil"/>
              <w:bottom w:val="single" w:color="auto" w:sz="6" w:space="0"/>
              <w:right w:val="single" w:color="auto" w:sz="6" w:space="0"/>
            </w:tcBorders>
            <w:noWrap/>
            <w:tcMar>
              <w:top w:w="0" w:type="dxa"/>
              <w:left w:w="105" w:type="dxa"/>
              <w:bottom w:w="0" w:type="dxa"/>
              <w:right w:w="105" w:type="dxa"/>
            </w:tcMar>
            <w:vAlign w:val="center"/>
          </w:tcPr>
          <w:p>
            <w:pPr>
              <w:widowControl/>
              <w:wordWrap w:val="0"/>
              <w:jc w:val="center"/>
              <w:rPr>
                <w:rFonts w:ascii="宋体" w:hAnsi="宋体" w:cs="宋体"/>
                <w:kern w:val="0"/>
                <w:sz w:val="24"/>
                <w:szCs w:val="24"/>
              </w:rPr>
            </w:pPr>
            <w:r>
              <w:rPr>
                <w:rFonts w:hint="eastAsia" w:ascii="宋体" w:hAnsi="宋体" w:cs="宋体"/>
                <w:color w:val="000000"/>
                <w:kern w:val="0"/>
                <w:szCs w:val="21"/>
              </w:rPr>
              <w:t>48.7%</w:t>
            </w:r>
          </w:p>
        </w:tc>
      </w:tr>
    </w:tbl>
    <w:p>
      <w:pPr>
        <w:widowControl/>
        <w:shd w:val="clear" w:color="auto" w:fill="FFFFFF"/>
        <w:rPr>
          <w:rFonts w:ascii="微软雅黑" w:hAnsi="微软雅黑" w:eastAsia="微软雅黑" w:cs="宋体"/>
          <w:color w:val="888888"/>
          <w:spacing w:val="30"/>
          <w:kern w:val="0"/>
          <w:sz w:val="18"/>
          <w:szCs w:val="18"/>
        </w:rPr>
      </w:pPr>
      <w:r>
        <w:rPr>
          <w:rFonts w:hint="eastAsia" w:ascii="微软雅黑" w:hAnsi="微软雅黑" w:eastAsia="微软雅黑" w:cs="宋体"/>
          <w:color w:val="888888"/>
          <w:spacing w:val="30"/>
          <w:kern w:val="0"/>
          <w:sz w:val="18"/>
          <w:szCs w:val="18"/>
        </w:rPr>
        <w:t>表2：全国布局上市连锁门店增长与销售额增长（按企业名称拼音顺序排序）</w:t>
      </w:r>
    </w:p>
    <w:p>
      <w:pPr>
        <w:widowControl/>
        <w:shd w:val="clear" w:color="auto" w:fill="FFFFFF"/>
        <w:rPr>
          <w:rFonts w:ascii="微软雅黑" w:hAnsi="微软雅黑" w:eastAsia="微软雅黑" w:cs="宋体"/>
          <w:color w:val="333333"/>
          <w:spacing w:val="8"/>
          <w:kern w:val="0"/>
          <w:sz w:val="26"/>
          <w:szCs w:val="26"/>
        </w:rPr>
      </w:pPr>
      <w:bookmarkStart w:id="0" w:name="_GoBack"/>
      <w:bookmarkEnd w:id="0"/>
    </w:p>
    <w:p>
      <w:pPr>
        <w:widowControl/>
        <w:spacing w:before="100" w:beforeAutospacing="1" w:after="100" w:afterAutospacing="1" w:line="900" w:lineRule="atLeast"/>
        <w:outlineLvl w:val="1"/>
        <w:rPr>
          <w:rFonts w:ascii="微软雅黑" w:hAnsi="微软雅黑" w:eastAsia="微软雅黑" w:cs="宋体"/>
          <w:b/>
          <w:color w:val="333333"/>
          <w:kern w:val="36"/>
          <w:sz w:val="24"/>
        </w:rPr>
      </w:pPr>
      <w:r>
        <w:rPr>
          <w:rFonts w:hint="eastAsia" w:ascii="微软雅黑" w:hAnsi="微软雅黑" w:eastAsia="微软雅黑" w:cs="宋体"/>
          <w:b/>
          <w:color w:val="333333"/>
          <w:kern w:val="36"/>
          <w:sz w:val="24"/>
        </w:rPr>
        <w:t>附件3</w:t>
      </w:r>
    </w:p>
    <w:p>
      <w:pPr>
        <w:pStyle w:val="2"/>
        <w:shd w:val="clear" w:color="auto" w:fill="FFFFFF"/>
        <w:spacing w:beforeAutospacing="0" w:after="210" w:afterAutospacing="0"/>
        <w:rPr>
          <w:rFonts w:ascii="微软雅黑" w:hAnsi="微软雅黑" w:eastAsia="微软雅黑"/>
          <w:b/>
          <w:bCs/>
          <w:color w:val="333333"/>
          <w:spacing w:val="8"/>
          <w:sz w:val="33"/>
          <w:szCs w:val="33"/>
        </w:rPr>
      </w:pPr>
    </w:p>
    <w:p>
      <w:pPr>
        <w:widowControl/>
        <w:shd w:val="clear" w:color="auto" w:fill="FFFFFF"/>
        <w:spacing w:after="210"/>
        <w:jc w:val="left"/>
        <w:outlineLvl w:val="1"/>
        <w:rPr>
          <w:rFonts w:ascii="宋体" w:hAnsi="宋体" w:cs="宋体"/>
          <w:b/>
          <w:bCs/>
          <w:kern w:val="0"/>
          <w:sz w:val="33"/>
          <w:szCs w:val="33"/>
        </w:rPr>
      </w:pPr>
      <w:r>
        <w:rPr>
          <w:rFonts w:ascii="微软雅黑" w:hAnsi="微软雅黑" w:eastAsia="微软雅黑" w:cs="宋体"/>
          <w:color w:val="333333"/>
          <w:spacing w:val="8"/>
          <w:kern w:val="0"/>
          <w:sz w:val="33"/>
          <w:szCs w:val="33"/>
        </w:rPr>
        <w:t>刚刚！第三批国采中选结果正式公布（附各省采购量、金额）</w:t>
      </w:r>
    </w:p>
    <w:p>
      <w:pPr>
        <w:widowControl/>
        <w:spacing w:before="100" w:beforeAutospacing="1" w:after="100" w:afterAutospacing="1"/>
        <w:ind w:firstLine="210" w:firstLineChars="100"/>
        <w:outlineLvl w:val="1"/>
      </w:pPr>
      <w:r>
        <w:fldChar w:fldCharType="begin"/>
      </w:r>
      <w:r>
        <w:instrText xml:space="preserve"> HYPERLINK "javascript:void(0);" </w:instrText>
      </w:r>
      <w:r>
        <w:fldChar w:fldCharType="separate"/>
      </w:r>
      <w:r>
        <w:t>谷丰观点</w:t>
      </w:r>
      <w:r>
        <w:fldChar w:fldCharType="end"/>
      </w:r>
      <w:r>
        <w:t> 2020-08-24</w:t>
      </w:r>
      <w:r>
        <w:rPr>
          <w:rFonts w:hint="eastAsia"/>
        </w:rPr>
        <w:t xml:space="preserve"> 来源：医药云端信息</w:t>
      </w:r>
    </w:p>
    <w:p>
      <w:pPr>
        <w:widowControl/>
        <w:shd w:val="clear" w:color="auto" w:fill="FFFFFF"/>
        <w:ind w:firstLine="560" w:firstLineChars="200"/>
        <w:rPr>
          <w:rFonts w:hint="eastAsia" w:ascii="微软雅黑" w:hAnsi="微软雅黑" w:eastAsia="微软雅黑" w:cs="宋体"/>
          <w:color w:val="333333"/>
          <w:spacing w:val="8"/>
          <w:kern w:val="0"/>
          <w:sz w:val="26"/>
          <w:szCs w:val="26"/>
        </w:rPr>
      </w:pPr>
      <w:r>
        <w:rPr>
          <w:rFonts w:hint="eastAsia" w:asciiTheme="minorEastAsia" w:hAnsiTheme="minorEastAsia" w:eastAsiaTheme="minorEastAsia" w:cstheme="minorBidi"/>
          <w:sz w:val="28"/>
          <w:szCs w:val="28"/>
          <w:shd w:val="clear" w:color="auto" w:fill="FFFFFF"/>
        </w:rPr>
        <w:t>8月24日，上海阳光医药采购网发布消息，第三批国采中选结果正式发布，具体执行日期另行公告。</w:t>
      </w:r>
    </w:p>
    <w:p>
      <w:pPr>
        <w:widowControl/>
        <w:shd w:val="clear" w:color="auto" w:fill="FFFFFF"/>
        <w:spacing w:line="420" w:lineRule="atLeast"/>
        <w:jc w:val="center"/>
        <w:rPr>
          <w:rFonts w:hint="eastAsia" w:ascii="微软雅黑" w:hAnsi="微软雅黑" w:eastAsia="微软雅黑" w:cs="宋体"/>
          <w:color w:val="333333"/>
          <w:spacing w:val="8"/>
          <w:kern w:val="0"/>
          <w:sz w:val="26"/>
          <w:szCs w:val="26"/>
        </w:rPr>
      </w:pPr>
      <w:r>
        <w:rPr>
          <w:rFonts w:hint="eastAsia" w:ascii="微软雅黑" w:hAnsi="微软雅黑" w:eastAsia="微软雅黑" w:cs="宋体"/>
          <w:color w:val="0080FF"/>
          <w:spacing w:val="8"/>
          <w:kern w:val="0"/>
          <w:sz w:val="23"/>
          <w:szCs w:val="23"/>
        </w:rPr>
        <w:t>第三批国采中选品种首年约定采购金额：311538.78万元</w:t>
      </w:r>
    </w:p>
    <w:p>
      <w:pPr>
        <w:widowControl/>
        <w:shd w:val="clear" w:color="auto" w:fill="FFFFFF"/>
        <w:spacing w:line="420" w:lineRule="atLeast"/>
        <w:rPr>
          <w:rFonts w:hint="eastAsia" w:ascii="微软雅黑" w:hAnsi="微软雅黑" w:eastAsia="微软雅黑" w:cs="宋体"/>
          <w:color w:val="333333"/>
          <w:spacing w:val="8"/>
          <w:kern w:val="0"/>
          <w:sz w:val="26"/>
          <w:szCs w:val="26"/>
        </w:rPr>
      </w:pPr>
      <w:r>
        <w:rPr>
          <w:rFonts w:ascii="微软雅黑" w:hAnsi="微软雅黑" w:eastAsia="微软雅黑" w:cs="宋体"/>
          <w:color w:val="333333"/>
          <w:spacing w:val="8"/>
          <w:kern w:val="0"/>
          <w:sz w:val="26"/>
          <w:szCs w:val="26"/>
        </w:rPr>
        <w:drawing>
          <wp:inline distT="0" distB="0" distL="0" distR="0">
            <wp:extent cx="5271135" cy="4866005"/>
            <wp:effectExtent l="0" t="0" r="5715" b="0"/>
            <wp:docPr id="39" name="图片 39" descr="C:\Users\Administrator\Documents\WeChat Files\ppdeboke\FileStorage\Temp\410ec6b28b6d24047673979e3c660f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Documents\WeChat Files\ppdeboke\FileStorage\Temp\410ec6b28b6d24047673979e3c660f8c.png"/>
                    <pic:cNvPicPr>
                      <a:picLocks noChangeAspect="1" noChangeArrowheads="1"/>
                    </pic:cNvPicPr>
                  </pic:nvPicPr>
                  <pic:blipFill>
                    <a:blip r:embed="rId6">
                      <a:extLst>
                        <a:ext uri="{28A0092B-C50C-407E-A947-70E740481C1C}">
                          <a14:useLocalDpi xmlns:a14="http://schemas.microsoft.com/office/drawing/2010/main" val="0"/>
                        </a:ext>
                      </a:extLst>
                    </a:blip>
                    <a:srcRect b="76882"/>
                    <a:stretch>
                      <a:fillRect/>
                    </a:stretch>
                  </pic:blipFill>
                  <pic:spPr>
                    <a:xfrm>
                      <a:off x="0" y="0"/>
                      <a:ext cx="5274310" cy="4868594"/>
                    </a:xfrm>
                    <a:prstGeom prst="rect">
                      <a:avLst/>
                    </a:prstGeom>
                    <a:noFill/>
                    <a:ln>
                      <a:noFill/>
                    </a:ln>
                  </pic:spPr>
                </pic:pic>
              </a:graphicData>
            </a:graphic>
          </wp:inline>
        </w:drawing>
      </w:r>
    </w:p>
    <w:p>
      <w:pPr>
        <w:widowControl/>
        <w:shd w:val="clear" w:color="auto" w:fill="FFFFFF"/>
        <w:spacing w:line="420" w:lineRule="atLeast"/>
        <w:rPr>
          <w:rFonts w:hint="eastAsia" w:ascii="微软雅黑" w:hAnsi="微软雅黑" w:eastAsia="微软雅黑" w:cs="宋体"/>
          <w:color w:val="333333"/>
          <w:spacing w:val="8"/>
          <w:kern w:val="0"/>
          <w:sz w:val="26"/>
          <w:szCs w:val="26"/>
        </w:rPr>
      </w:pPr>
      <w:r>
        <w:rPr>
          <w:rFonts w:ascii="微软雅黑" w:hAnsi="微软雅黑" w:eastAsia="微软雅黑" w:cs="宋体"/>
          <w:color w:val="333333"/>
          <w:spacing w:val="8"/>
          <w:kern w:val="0"/>
          <w:sz w:val="26"/>
          <w:szCs w:val="26"/>
        </w:rPr>
        <w:drawing>
          <wp:inline distT="0" distB="0" distL="0" distR="0">
            <wp:extent cx="5271135" cy="8372475"/>
            <wp:effectExtent l="0" t="0" r="5715" b="0"/>
            <wp:docPr id="40" name="图片 40" descr="C:\Users\Administrator\Documents\WeChat Files\ppdeboke\FileStorage\Temp\410ec6b28b6d24047673979e3c660f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Documents\WeChat Files\ppdeboke\FileStorage\Temp\410ec6b28b6d24047673979e3c660f8c.png"/>
                    <pic:cNvPicPr>
                      <a:picLocks noChangeAspect="1" noChangeArrowheads="1"/>
                    </pic:cNvPicPr>
                  </pic:nvPicPr>
                  <pic:blipFill>
                    <a:blip r:embed="rId6">
                      <a:extLst>
                        <a:ext uri="{28A0092B-C50C-407E-A947-70E740481C1C}">
                          <a14:useLocalDpi xmlns:a14="http://schemas.microsoft.com/office/drawing/2010/main" val="0"/>
                        </a:ext>
                      </a:extLst>
                    </a:blip>
                    <a:srcRect t="23033" b="45044"/>
                    <a:stretch>
                      <a:fillRect/>
                    </a:stretch>
                  </pic:blipFill>
                  <pic:spPr>
                    <a:xfrm>
                      <a:off x="0" y="0"/>
                      <a:ext cx="5283219" cy="8390994"/>
                    </a:xfrm>
                    <a:prstGeom prst="rect">
                      <a:avLst/>
                    </a:prstGeom>
                    <a:noFill/>
                    <a:ln>
                      <a:noFill/>
                    </a:ln>
                  </pic:spPr>
                </pic:pic>
              </a:graphicData>
            </a:graphic>
          </wp:inline>
        </w:drawing>
      </w:r>
    </w:p>
    <w:p>
      <w:pPr>
        <w:widowControl/>
        <w:shd w:val="clear" w:color="auto" w:fill="FFFFFF"/>
        <w:spacing w:line="420" w:lineRule="atLeast"/>
        <w:rPr>
          <w:rFonts w:hint="eastAsia" w:ascii="微软雅黑" w:hAnsi="微软雅黑" w:eastAsia="微软雅黑" w:cs="宋体"/>
          <w:color w:val="333333"/>
          <w:spacing w:val="8"/>
          <w:kern w:val="0"/>
          <w:sz w:val="26"/>
          <w:szCs w:val="26"/>
        </w:rPr>
      </w:pPr>
    </w:p>
    <w:p>
      <w:pPr>
        <w:widowControl/>
        <w:shd w:val="clear" w:color="auto" w:fill="FFFFFF"/>
        <w:spacing w:line="420" w:lineRule="atLeast"/>
        <w:rPr>
          <w:rFonts w:hint="eastAsia" w:ascii="微软雅黑" w:hAnsi="微软雅黑" w:eastAsia="微软雅黑" w:cs="宋体"/>
          <w:color w:val="333333"/>
          <w:spacing w:val="8"/>
          <w:kern w:val="0"/>
          <w:sz w:val="26"/>
          <w:szCs w:val="26"/>
        </w:rPr>
      </w:pPr>
    </w:p>
    <w:p>
      <w:pPr>
        <w:widowControl/>
        <w:shd w:val="clear" w:color="auto" w:fill="FFFFFF"/>
        <w:spacing w:line="420" w:lineRule="atLeast"/>
        <w:rPr>
          <w:rFonts w:hint="eastAsia" w:ascii="微软雅黑" w:hAnsi="微软雅黑" w:eastAsia="微软雅黑" w:cs="宋体"/>
          <w:color w:val="333333"/>
          <w:spacing w:val="8"/>
          <w:kern w:val="0"/>
          <w:sz w:val="26"/>
          <w:szCs w:val="26"/>
        </w:rPr>
      </w:pPr>
      <w:r>
        <w:rPr>
          <w:rFonts w:ascii="微软雅黑" w:hAnsi="微软雅黑" w:eastAsia="微软雅黑" w:cs="宋体"/>
          <w:color w:val="333333"/>
          <w:spacing w:val="8"/>
          <w:kern w:val="0"/>
          <w:sz w:val="26"/>
          <w:szCs w:val="26"/>
        </w:rPr>
        <w:drawing>
          <wp:inline distT="0" distB="0" distL="0" distR="0">
            <wp:extent cx="5279390" cy="7585075"/>
            <wp:effectExtent l="0" t="0" r="0" b="0"/>
            <wp:docPr id="41" name="图片 41" descr="C:\Users\Administrator\Documents\WeChat Files\ppdeboke\FileStorage\Temp\410ec6b28b6d24047673979e3c660f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strator\Documents\WeChat Files\ppdeboke\FileStorage\Temp\410ec6b28b6d24047673979e3c660f8c.png"/>
                    <pic:cNvPicPr>
                      <a:picLocks noChangeAspect="1" noChangeArrowheads="1"/>
                    </pic:cNvPicPr>
                  </pic:nvPicPr>
                  <pic:blipFill>
                    <a:blip r:embed="rId6">
                      <a:extLst>
                        <a:ext uri="{28A0092B-C50C-407E-A947-70E740481C1C}">
                          <a14:useLocalDpi xmlns:a14="http://schemas.microsoft.com/office/drawing/2010/main" val="0"/>
                        </a:ext>
                      </a:extLst>
                    </a:blip>
                    <a:srcRect t="54830" b="22559"/>
                    <a:stretch>
                      <a:fillRect/>
                    </a:stretch>
                  </pic:blipFill>
                  <pic:spPr>
                    <a:xfrm>
                      <a:off x="0" y="0"/>
                      <a:ext cx="5279666" cy="7585544"/>
                    </a:xfrm>
                    <a:prstGeom prst="rect">
                      <a:avLst/>
                    </a:prstGeom>
                    <a:noFill/>
                    <a:ln>
                      <a:noFill/>
                    </a:ln>
                  </pic:spPr>
                </pic:pic>
              </a:graphicData>
            </a:graphic>
          </wp:inline>
        </w:drawing>
      </w:r>
    </w:p>
    <w:p>
      <w:pPr>
        <w:widowControl/>
        <w:shd w:val="clear" w:color="auto" w:fill="FFFFFF"/>
        <w:spacing w:line="420" w:lineRule="atLeast"/>
        <w:rPr>
          <w:rFonts w:hint="eastAsia" w:ascii="微软雅黑" w:hAnsi="微软雅黑" w:eastAsia="微软雅黑" w:cs="宋体"/>
          <w:color w:val="333333"/>
          <w:spacing w:val="8"/>
          <w:kern w:val="0"/>
          <w:sz w:val="26"/>
          <w:szCs w:val="26"/>
        </w:rPr>
      </w:pPr>
    </w:p>
    <w:p>
      <w:pPr>
        <w:widowControl/>
        <w:shd w:val="clear" w:color="auto" w:fill="FFFFFF"/>
        <w:spacing w:line="420" w:lineRule="atLeast"/>
        <w:rPr>
          <w:rFonts w:hint="eastAsia" w:ascii="微软雅黑" w:hAnsi="微软雅黑" w:eastAsia="微软雅黑" w:cs="宋体"/>
          <w:color w:val="333333"/>
          <w:spacing w:val="8"/>
          <w:kern w:val="0"/>
          <w:sz w:val="26"/>
          <w:szCs w:val="26"/>
        </w:rPr>
      </w:pPr>
    </w:p>
    <w:p>
      <w:pPr>
        <w:widowControl/>
        <w:shd w:val="clear" w:color="auto" w:fill="FFFFFF"/>
        <w:spacing w:line="420" w:lineRule="atLeast"/>
        <w:rPr>
          <w:rFonts w:hint="eastAsia" w:ascii="微软雅黑" w:hAnsi="微软雅黑" w:eastAsia="微软雅黑" w:cs="宋体"/>
          <w:color w:val="333333"/>
          <w:spacing w:val="8"/>
          <w:kern w:val="0"/>
          <w:sz w:val="26"/>
          <w:szCs w:val="26"/>
        </w:rPr>
      </w:pPr>
      <w:r>
        <w:rPr>
          <w:rFonts w:ascii="微软雅黑" w:hAnsi="微软雅黑" w:eastAsia="微软雅黑" w:cs="宋体"/>
          <w:color w:val="333333"/>
          <w:spacing w:val="8"/>
          <w:kern w:val="0"/>
          <w:sz w:val="26"/>
          <w:szCs w:val="26"/>
        </w:rPr>
        <w:drawing>
          <wp:inline distT="0" distB="0" distL="0" distR="0">
            <wp:extent cx="5287010" cy="7823835"/>
            <wp:effectExtent l="0" t="0" r="8890" b="5715"/>
            <wp:docPr id="42" name="图片 42" descr="C:\Users\Administrator\Documents\WeChat Files\ppdeboke\FileStorage\Temp\410ec6b28b6d24047673979e3c660f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strator\Documents\WeChat Files\ppdeboke\FileStorage\Temp\410ec6b28b6d24047673979e3c660f8c.png"/>
                    <pic:cNvPicPr>
                      <a:picLocks noChangeAspect="1" noChangeArrowheads="1"/>
                    </pic:cNvPicPr>
                  </pic:nvPicPr>
                  <pic:blipFill>
                    <a:blip r:embed="rId6">
                      <a:extLst>
                        <a:ext uri="{28A0092B-C50C-407E-A947-70E740481C1C}">
                          <a14:useLocalDpi xmlns:a14="http://schemas.microsoft.com/office/drawing/2010/main" val="0"/>
                        </a:ext>
                      </a:extLst>
                    </a:blip>
                    <a:srcRect t="77457" r="-72"/>
                    <a:stretch>
                      <a:fillRect/>
                    </a:stretch>
                  </pic:blipFill>
                  <pic:spPr>
                    <a:xfrm>
                      <a:off x="0" y="0"/>
                      <a:ext cx="5293317" cy="7832518"/>
                    </a:xfrm>
                    <a:prstGeom prst="rect">
                      <a:avLst/>
                    </a:prstGeom>
                    <a:noFill/>
                    <a:ln>
                      <a:noFill/>
                    </a:ln>
                  </pic:spPr>
                </pic:pic>
              </a:graphicData>
            </a:graphic>
          </wp:inline>
        </w:drawing>
      </w:r>
    </w:p>
    <w:p>
      <w:pPr>
        <w:widowControl/>
        <w:shd w:val="clear" w:color="auto" w:fill="FFFFFF"/>
        <w:spacing w:line="420" w:lineRule="atLeast"/>
        <w:rPr>
          <w:rFonts w:hint="eastAsia" w:ascii="微软雅黑" w:hAnsi="微软雅黑" w:eastAsia="微软雅黑" w:cs="宋体"/>
          <w:color w:val="333333"/>
          <w:spacing w:val="8"/>
          <w:kern w:val="0"/>
          <w:sz w:val="26"/>
          <w:szCs w:val="26"/>
        </w:rPr>
      </w:pPr>
    </w:p>
    <w:p>
      <w:pPr>
        <w:widowControl/>
        <w:shd w:val="clear" w:color="auto" w:fill="FFFFFF"/>
        <w:spacing w:line="420" w:lineRule="atLeast"/>
        <w:rPr>
          <w:rFonts w:hint="eastAsia" w:ascii="微软雅黑" w:hAnsi="微软雅黑" w:eastAsia="微软雅黑" w:cs="宋体"/>
          <w:color w:val="333333"/>
          <w:spacing w:val="8"/>
          <w:kern w:val="0"/>
          <w:sz w:val="26"/>
          <w:szCs w:val="26"/>
        </w:rPr>
      </w:pPr>
    </w:p>
    <w:p>
      <w:pPr>
        <w:widowControl/>
        <w:shd w:val="clear" w:color="auto" w:fill="FFFFFF"/>
        <w:spacing w:line="420" w:lineRule="atLeast"/>
        <w:rPr>
          <w:rFonts w:hint="eastAsia" w:ascii="微软雅黑" w:hAnsi="微软雅黑" w:eastAsia="微软雅黑" w:cs="宋体"/>
          <w:color w:val="333333"/>
          <w:spacing w:val="8"/>
          <w:kern w:val="0"/>
          <w:sz w:val="26"/>
          <w:szCs w:val="26"/>
        </w:rPr>
      </w:pPr>
      <w:r>
        <w:rPr>
          <w:rFonts w:ascii="微软雅黑" w:hAnsi="微软雅黑" w:eastAsia="微软雅黑" w:cs="宋体"/>
          <w:color w:val="333333"/>
          <w:spacing w:val="8"/>
          <w:kern w:val="0"/>
          <w:sz w:val="26"/>
          <w:szCs w:val="26"/>
        </w:rPr>
        <w:drawing>
          <wp:inline distT="0" distB="0" distL="0" distR="0">
            <wp:extent cx="5263515" cy="8340725"/>
            <wp:effectExtent l="0" t="0" r="0" b="3175"/>
            <wp:docPr id="43" name="图片 43" descr="C:\Users\Administrator\Documents\WeChat Files\ppdeboke\FileStorage\Temp\8914cfee30f51fbc4990228f72a5aa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Documents\WeChat Files\ppdeboke\FileStorage\Temp\8914cfee30f51fbc4990228f72a5aafa.png"/>
                    <pic:cNvPicPr>
                      <a:picLocks noChangeAspect="1" noChangeArrowheads="1"/>
                    </pic:cNvPicPr>
                  </pic:nvPicPr>
                  <pic:blipFill>
                    <a:blip r:embed="rId7">
                      <a:extLst>
                        <a:ext uri="{28A0092B-C50C-407E-A947-70E740481C1C}">
                          <a14:useLocalDpi xmlns:a14="http://schemas.microsoft.com/office/drawing/2010/main" val="0"/>
                        </a:ext>
                      </a:extLst>
                    </a:blip>
                    <a:srcRect b="65218"/>
                    <a:stretch>
                      <a:fillRect/>
                    </a:stretch>
                  </pic:blipFill>
                  <pic:spPr>
                    <a:xfrm>
                      <a:off x="0" y="0"/>
                      <a:ext cx="5267338" cy="8346583"/>
                    </a:xfrm>
                    <a:prstGeom prst="rect">
                      <a:avLst/>
                    </a:prstGeom>
                    <a:noFill/>
                    <a:ln>
                      <a:noFill/>
                    </a:ln>
                  </pic:spPr>
                </pic:pic>
              </a:graphicData>
            </a:graphic>
          </wp:inline>
        </w:drawing>
      </w:r>
    </w:p>
    <w:p>
      <w:pPr>
        <w:widowControl/>
        <w:shd w:val="clear" w:color="auto" w:fill="FFFFFF"/>
        <w:spacing w:line="420" w:lineRule="atLeast"/>
        <w:rPr>
          <w:rFonts w:hint="eastAsia" w:ascii="微软雅黑" w:hAnsi="微软雅黑" w:eastAsia="微软雅黑" w:cs="宋体"/>
          <w:color w:val="333333"/>
          <w:spacing w:val="8"/>
          <w:kern w:val="0"/>
          <w:sz w:val="26"/>
          <w:szCs w:val="26"/>
        </w:rPr>
      </w:pPr>
    </w:p>
    <w:p>
      <w:pPr>
        <w:widowControl/>
        <w:shd w:val="clear" w:color="auto" w:fill="FFFFFF"/>
        <w:spacing w:line="420" w:lineRule="atLeast"/>
        <w:rPr>
          <w:rFonts w:hint="eastAsia" w:ascii="微软雅黑" w:hAnsi="微软雅黑" w:eastAsia="微软雅黑" w:cs="宋体"/>
          <w:color w:val="333333"/>
          <w:spacing w:val="8"/>
          <w:kern w:val="0"/>
          <w:sz w:val="26"/>
          <w:szCs w:val="26"/>
        </w:rPr>
      </w:pPr>
      <w:r>
        <w:rPr>
          <w:rFonts w:ascii="微软雅黑" w:hAnsi="微软雅黑" w:eastAsia="微软雅黑" w:cs="宋体"/>
          <w:color w:val="333333"/>
          <w:spacing w:val="8"/>
          <w:kern w:val="0"/>
          <w:sz w:val="26"/>
          <w:szCs w:val="26"/>
        </w:rPr>
        <w:drawing>
          <wp:inline distT="0" distB="0" distL="0" distR="0">
            <wp:extent cx="5278755" cy="8578850"/>
            <wp:effectExtent l="0" t="0" r="0" b="0"/>
            <wp:docPr id="45" name="图片 45" descr="C:\Users\Administrator\Documents\WeChat Files\ppdeboke\FileStorage\Temp\8914cfee30f51fbc4990228f72a5aa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Documents\WeChat Files\ppdeboke\FileStorage\Temp\8914cfee30f51fbc4990228f72a5aafa.png"/>
                    <pic:cNvPicPr>
                      <a:picLocks noChangeAspect="1" noChangeArrowheads="1"/>
                    </pic:cNvPicPr>
                  </pic:nvPicPr>
                  <pic:blipFill>
                    <a:blip r:embed="rId7">
                      <a:extLst>
                        <a:ext uri="{28A0092B-C50C-407E-A947-70E740481C1C}">
                          <a14:useLocalDpi xmlns:a14="http://schemas.microsoft.com/office/drawing/2010/main" val="0"/>
                        </a:ext>
                      </a:extLst>
                    </a:blip>
                    <a:srcRect t="34569" b="34662"/>
                    <a:stretch>
                      <a:fillRect/>
                    </a:stretch>
                  </pic:blipFill>
                  <pic:spPr>
                    <a:xfrm>
                      <a:off x="0" y="0"/>
                      <a:ext cx="5295354" cy="8605677"/>
                    </a:xfrm>
                    <a:prstGeom prst="rect">
                      <a:avLst/>
                    </a:prstGeom>
                    <a:noFill/>
                    <a:ln>
                      <a:noFill/>
                    </a:ln>
                  </pic:spPr>
                </pic:pic>
              </a:graphicData>
            </a:graphic>
          </wp:inline>
        </w:drawing>
      </w:r>
    </w:p>
    <w:p>
      <w:pPr>
        <w:widowControl/>
        <w:shd w:val="clear" w:color="auto" w:fill="FFFFFF"/>
        <w:spacing w:line="420" w:lineRule="atLeast"/>
        <w:rPr>
          <w:rFonts w:hint="eastAsia" w:ascii="微软雅黑" w:hAnsi="微软雅黑" w:eastAsia="微软雅黑" w:cs="宋体"/>
          <w:color w:val="333333"/>
          <w:spacing w:val="8"/>
          <w:kern w:val="0"/>
          <w:sz w:val="26"/>
          <w:szCs w:val="26"/>
        </w:rPr>
      </w:pPr>
      <w:r>
        <w:rPr>
          <w:rFonts w:ascii="微软雅黑" w:hAnsi="微软雅黑" w:eastAsia="微软雅黑" w:cs="宋体"/>
          <w:color w:val="333333"/>
          <w:spacing w:val="8"/>
          <w:kern w:val="0"/>
          <w:sz w:val="26"/>
          <w:szCs w:val="26"/>
        </w:rPr>
        <w:drawing>
          <wp:inline distT="0" distB="0" distL="0" distR="0">
            <wp:extent cx="5287010" cy="8729980"/>
            <wp:effectExtent l="0" t="0" r="8890" b="0"/>
            <wp:docPr id="53" name="图片 53" descr="C:\Users\Administrator\Documents\WeChat Files\ppdeboke\FileStorage\Temp\8914cfee30f51fbc4990228f72a5aa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Documents\WeChat Files\ppdeboke\FileStorage\Temp\8914cfee30f51fbc4990228f72a5aafa.png"/>
                    <pic:cNvPicPr>
                      <a:picLocks noChangeAspect="1" noChangeArrowheads="1"/>
                    </pic:cNvPicPr>
                  </pic:nvPicPr>
                  <pic:blipFill>
                    <a:blip r:embed="rId7">
                      <a:extLst>
                        <a:ext uri="{28A0092B-C50C-407E-A947-70E740481C1C}">
                          <a14:useLocalDpi xmlns:a14="http://schemas.microsoft.com/office/drawing/2010/main" val="0"/>
                        </a:ext>
                      </a:extLst>
                    </a:blip>
                    <a:srcRect t="65197"/>
                    <a:stretch>
                      <a:fillRect/>
                    </a:stretch>
                  </pic:blipFill>
                  <pic:spPr>
                    <a:xfrm>
                      <a:off x="0" y="0"/>
                      <a:ext cx="5298914" cy="8749186"/>
                    </a:xfrm>
                    <a:prstGeom prst="rect">
                      <a:avLst/>
                    </a:prstGeom>
                    <a:noFill/>
                    <a:ln>
                      <a:noFill/>
                    </a:ln>
                  </pic:spPr>
                </pic:pic>
              </a:graphicData>
            </a:graphic>
          </wp:inline>
        </w:drawing>
      </w:r>
    </w:p>
    <w:p>
      <w:pPr>
        <w:ind w:firstLine="560" w:firstLineChars="200"/>
        <w:rPr>
          <w:rFonts w:hint="eastAsia" w:ascii="宋体" w:hAnsi="宋体" w:cs="宋体"/>
          <w:color w:val="333333"/>
          <w:spacing w:val="15"/>
          <w:kern w:val="0"/>
          <w:sz w:val="23"/>
          <w:szCs w:val="23"/>
        </w:rPr>
      </w:pPr>
      <w:r>
        <w:rPr>
          <w:rFonts w:asciiTheme="minorEastAsia" w:hAnsiTheme="minorEastAsia" w:eastAsiaTheme="minorEastAsia" w:cstheme="minorBidi"/>
          <w:sz w:val="28"/>
          <w:szCs w:val="28"/>
          <w:shd w:val="clear" w:color="auto" w:fill="FFFFFF"/>
        </w:rPr>
        <w:t>第三批国采经过激烈的价格竞争，最终从226亿元的报量基准采购量，骤降为31亿元，55个品种的采购规模压缩86%。</w:t>
      </w:r>
    </w:p>
    <w:p>
      <w:r>
        <w:rPr>
          <w:rFonts w:ascii="宋体" w:hAnsi="宋体" w:cs="宋体"/>
          <w:color w:val="333333"/>
          <w:kern w:val="0"/>
          <w:sz w:val="26"/>
          <w:szCs w:val="26"/>
        </w:rPr>
        <mc:AlternateContent>
          <mc:Choice Requires="wps">
            <w:drawing>
              <wp:inline distT="0" distB="0" distL="0" distR="0">
                <wp:extent cx="302260" cy="302260"/>
                <wp:effectExtent l="0" t="0" r="0" b="0"/>
                <wp:docPr id="38" name="矩形 38" descr="https://mmbiz.qpic.cn/sz_mmbiz_png/2R6vHe0tpKsGFDzcVClrKFB4qKldBQbUlmrNUjpxKfqpZR3wwwAU6e3FOVc8jyDrAhMrZnicKdSo5iaiaxXMbbrAA/640?wx_fmt=pn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_x0000_s1026" o:spid="_x0000_s1026" o:spt="1" alt="https://mmbiz.qpic.cn/sz_mmbiz_png/2R6vHe0tpKsGFDzcVClrKFB4qKldBQbUlmrNUjpxKfqpZR3wwwAU6e3FOVc8jyDrAhMrZnicKdSo5iaiaxXMbbrAA/640?wx_fmt=png&amp;tp=webp&amp;wxfrom=5&amp;wx_lazy=1&amp;wx_co=1" style="height:23.8pt;width:23.8pt;" filled="f" stroked="f" coordsize="21600,21600" o:gfxdata="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J8Sog0wAAAAMBAAAPAAAAAAAA&#10;AAEAIAAAACIAAABkcnMvZG93bnJldi54bWxQSwECFAAUAAAACACHTuJANu6yc4kCAACVBAAADgAA&#10;AAAAAAABACAAAAAiAQAAZHJzL2Uyb0RvYy54bWxQSwUGAAAAAAYABgBZAQAAHQYAAAAA&#10;">
                <v:fill on="f" focussize="0,0"/>
                <v:stroke on="f"/>
                <v:imagedata o:title=""/>
                <o:lock v:ext="edit" aspectratio="t"/>
                <v:textbox>
                  <w:txbxContent>
                    <w:p>
                      <w:pPr>
                        <w:jc w:val="center"/>
                      </w:pPr>
                    </w:p>
                  </w:txbxContent>
                </v:textbox>
                <w10:wrap type="none"/>
                <w10:anchorlock/>
              </v:rect>
            </w:pict>
          </mc:Fallback>
        </mc:AlternateContent>
      </w:r>
      <w:r>
        <w:rPr>
          <w:rFonts w:ascii="Times New Roman" w:hAnsi="Times New Roman" w:eastAsia="Times New Roman"/>
          <w:snapToGrid w:val="0"/>
          <w:color w:val="000000"/>
          <w:w w:val="0"/>
          <w:kern w:val="0"/>
          <w:sz w:val="0"/>
          <w:szCs w:val="0"/>
          <w:u w:color="000000"/>
          <w:shd w:val="clear" w:color="000000" w:fill="000000"/>
          <w:lang w:val="zh-CN" w:eastAsia="zh-CN" w:bidi="zh-CN"/>
        </w:rPr>
        <w:t xml:space="preserve"> </w:t>
      </w:r>
      <w:r>
        <w:rPr>
          <w:rFonts w:ascii="宋体" w:hAnsi="宋体" w:cs="宋体"/>
          <w:color w:val="333333"/>
          <w:spacing w:val="15"/>
          <w:kern w:val="0"/>
          <w:sz w:val="23"/>
          <w:szCs w:val="23"/>
        </w:rPr>
        <w:drawing>
          <wp:inline distT="0" distB="0" distL="0" distR="0">
            <wp:extent cx="5278120" cy="2965450"/>
            <wp:effectExtent l="0" t="0" r="0" b="6350"/>
            <wp:docPr id="54" name="图片 54" descr="C:\Users\Administrator\Documents\WeChat Files\ppdeboke\FileStorage\Temp\0e33d381845d08369aa68ba198e87d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istrator\Documents\WeChat Files\ppdeboke\FileStorage\Temp\0e33d381845d08369aa68ba198e87d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2963548"/>
                    </a:xfrm>
                    <a:prstGeom prst="rect">
                      <a:avLst/>
                    </a:prstGeom>
                    <a:noFill/>
                    <a:ln>
                      <a:noFill/>
                    </a:ln>
                  </pic:spPr>
                </pic:pic>
              </a:graphicData>
            </a:graphic>
          </wp:inline>
        </w:drawing>
      </w:r>
    </w:p>
    <w:p>
      <w:pPr>
        <w:rPr>
          <w:rFonts w:hint="eastAsia"/>
        </w:rPr>
      </w:pPr>
    </w:p>
    <w:p/>
    <w:p/>
    <w:p>
      <w:pPr>
        <w:widowControl/>
        <w:spacing w:before="100" w:beforeAutospacing="1" w:after="100" w:afterAutospacing="1" w:line="900" w:lineRule="atLeast"/>
        <w:outlineLvl w:val="1"/>
        <w:rPr>
          <w:rFonts w:ascii="微软雅黑" w:hAnsi="微软雅黑" w:eastAsia="微软雅黑" w:cs="宋体"/>
          <w:b/>
          <w:color w:val="333333"/>
          <w:kern w:val="36"/>
          <w:sz w:val="24"/>
        </w:rPr>
      </w:pPr>
      <w:r>
        <w:rPr>
          <w:rFonts w:hint="eastAsia" w:ascii="微软雅黑" w:hAnsi="微软雅黑" w:eastAsia="微软雅黑" w:cs="宋体"/>
          <w:b/>
          <w:color w:val="333333"/>
          <w:kern w:val="36"/>
          <w:sz w:val="24"/>
        </w:rPr>
        <w:t>附件4</w:t>
      </w:r>
    </w:p>
    <w:p>
      <w:pPr>
        <w:pStyle w:val="2"/>
        <w:shd w:val="clear" w:color="auto" w:fill="FFFFFF"/>
        <w:spacing w:beforeAutospacing="0" w:after="210" w:afterAutospacing="0"/>
        <w:rPr>
          <w:rFonts w:ascii="微软雅黑" w:hAnsi="微软雅黑" w:eastAsia="微软雅黑"/>
          <w:b/>
          <w:bCs/>
          <w:color w:val="333333"/>
          <w:spacing w:val="8"/>
          <w:sz w:val="33"/>
          <w:szCs w:val="33"/>
        </w:rPr>
      </w:pPr>
    </w:p>
    <w:p>
      <w:pPr>
        <w:widowControl/>
        <w:shd w:val="clear" w:color="auto" w:fill="FFFFFF"/>
        <w:spacing w:after="210"/>
        <w:jc w:val="left"/>
        <w:outlineLvl w:val="1"/>
        <w:rPr>
          <w:rFonts w:ascii="微软雅黑" w:hAnsi="微软雅黑" w:eastAsia="微软雅黑" w:cs="宋体"/>
          <w:b/>
          <w:bCs/>
          <w:color w:val="333333"/>
          <w:spacing w:val="8"/>
          <w:kern w:val="0"/>
          <w:sz w:val="33"/>
          <w:szCs w:val="33"/>
        </w:rPr>
      </w:pPr>
      <w:r>
        <w:rPr>
          <w:rFonts w:hint="eastAsia" w:ascii="微软雅黑" w:hAnsi="微软雅黑" w:eastAsia="微软雅黑" w:cs="宋体"/>
          <w:color w:val="333333"/>
          <w:spacing w:val="8"/>
          <w:kern w:val="0"/>
          <w:sz w:val="33"/>
          <w:szCs w:val="33"/>
        </w:rPr>
        <w:t>医药流通市场大变天！京东获第三方药品物流资质、邮政新增多条医药商标</w:t>
      </w:r>
    </w:p>
    <w:p>
      <w:pPr>
        <w:widowControl/>
        <w:spacing w:before="100" w:beforeAutospacing="1" w:after="100" w:afterAutospacing="1"/>
        <w:ind w:firstLine="210" w:firstLineChars="100"/>
        <w:outlineLvl w:val="1"/>
      </w:pPr>
      <w:r>
        <w:rPr>
          <w:rFonts w:hint="eastAsia"/>
        </w:rPr>
        <w:t>原创 齐欣 </w:t>
      </w:r>
      <w:r>
        <w:fldChar w:fldCharType="begin"/>
      </w:r>
      <w:r>
        <w:instrText xml:space="preserve"> HYPERLINK "javascript:void(0);" </w:instrText>
      </w:r>
      <w:r>
        <w:fldChar w:fldCharType="separate"/>
      </w:r>
      <w:r>
        <w:rPr>
          <w:rFonts w:hint="eastAsia"/>
        </w:rPr>
        <w:t>医药经济报</w:t>
      </w:r>
      <w:r>
        <w:rPr>
          <w:rFonts w:hint="eastAsia"/>
        </w:rPr>
        <w:fldChar w:fldCharType="end"/>
      </w:r>
      <w:r>
        <w:rPr>
          <w:rFonts w:hint="eastAsia"/>
        </w:rPr>
        <w:t> 2020-08-11</w:t>
      </w:r>
    </w:p>
    <w:p>
      <w:pPr>
        <w:widowControl/>
        <w:shd w:val="clear" w:color="auto" w:fill="FFFFFF"/>
        <w:rPr>
          <w:rFonts w:ascii="微软雅黑" w:hAnsi="微软雅黑" w:eastAsia="微软雅黑" w:cs="宋体"/>
          <w:color w:val="333333"/>
          <w:spacing w:val="8"/>
          <w:kern w:val="0"/>
          <w:sz w:val="26"/>
          <w:szCs w:val="26"/>
        </w:rPr>
      </w:pPr>
    </w:p>
    <w:p>
      <w:pPr>
        <w:widowControl/>
        <w:shd w:val="clear" w:color="auto" w:fill="FFFFFF"/>
        <w:spacing w:line="420" w:lineRule="atLeast"/>
        <w:ind w:left="120" w:right="120" w:firstLine="560" w:firstLineChars="200"/>
        <w:rPr>
          <w:rFonts w:ascii="微软雅黑" w:hAnsi="微软雅黑" w:eastAsia="微软雅黑" w:cs="宋体"/>
          <w:color w:val="333333"/>
          <w:spacing w:val="8"/>
          <w:kern w:val="0"/>
          <w:sz w:val="26"/>
          <w:szCs w:val="26"/>
        </w:rPr>
      </w:pPr>
      <w:r>
        <w:rPr>
          <w:rFonts w:hint="eastAsia" w:asciiTheme="minorEastAsia" w:hAnsiTheme="minorEastAsia"/>
          <w:sz w:val="28"/>
          <w:szCs w:val="28"/>
          <w:shd w:val="clear" w:color="auto" w:fill="FFFFFF"/>
        </w:rPr>
        <w:t>8月11日，陕西省药品监督管理局发布的《关于同意陕西京东医药供应链管理有限公司申请第三方药品物流备案资质的复函》显示：“为加快我省药品物流产业发展，同意陕西京东医药供应链管理有限公司与陕西海川医药物流有限公司在国家级新区-西咸新区先行先试实施战略合作模式。同意陕西京东医药供应链管理有限公司开展第三方药品物流业务。”</w:t>
      </w:r>
    </w:p>
    <w:p>
      <w:pPr>
        <w:widowControl/>
        <w:shd w:val="clear" w:color="auto" w:fill="FFFFFF"/>
        <w:rPr>
          <w:rFonts w:ascii="微软雅黑" w:hAnsi="微软雅黑" w:eastAsia="微软雅黑" w:cs="宋体"/>
          <w:color w:val="333333"/>
          <w:spacing w:val="8"/>
          <w:kern w:val="0"/>
          <w:sz w:val="26"/>
          <w:szCs w:val="26"/>
        </w:rPr>
      </w:pPr>
    </w:p>
    <w:p>
      <w:pPr>
        <w:widowControl/>
        <w:shd w:val="clear" w:color="auto" w:fill="FFFFFF"/>
        <w:jc w:val="center"/>
        <w:rPr>
          <w:rFonts w:ascii="微软雅黑" w:hAnsi="微软雅黑" w:eastAsia="微软雅黑" w:cs="宋体"/>
          <w:color w:val="333333"/>
          <w:spacing w:val="8"/>
          <w:kern w:val="0"/>
          <w:sz w:val="26"/>
          <w:szCs w:val="26"/>
        </w:rPr>
      </w:pPr>
      <w:r>
        <w:rPr>
          <w:rFonts w:ascii="微软雅黑" w:hAnsi="微软雅黑" w:eastAsia="微软雅黑" w:cs="宋体"/>
          <w:color w:val="333333"/>
          <w:spacing w:val="8"/>
          <w:kern w:val="0"/>
          <w:sz w:val="26"/>
          <w:szCs w:val="26"/>
        </w:rPr>
        <w:drawing>
          <wp:inline distT="0" distB="0" distL="0" distR="0">
            <wp:extent cx="5523865" cy="2516505"/>
            <wp:effectExtent l="0" t="0" r="635" b="0"/>
            <wp:docPr id="1" name="图片 1" descr="https://mmbiz.qpic.cn/mmbiz_png/QNQn3pKiaSk7ggplZFyDUXKMcFUnXy27Pntt62haPllEjGD9iaSLgBmMnpibPia1hy8WdzY9Tty5VE7nmD7T4DFicia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mmbiz.qpic.cn/mmbiz_png/QNQn3pKiaSk7ggplZFyDUXKMcFUnXy27Pntt62haPllEjGD9iaSLgBmMnpibPia1hy8WdzY9Tty5VE7nmD7T4DFiciaw/640?wx_fmt=png&amp;tp=webp&amp;wxfrom=5&amp;wx_lazy=1&amp;wx_c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538944" cy="2523298"/>
                    </a:xfrm>
                    <a:prstGeom prst="rect">
                      <a:avLst/>
                    </a:prstGeom>
                    <a:noFill/>
                    <a:ln>
                      <a:noFill/>
                    </a:ln>
                  </pic:spPr>
                </pic:pic>
              </a:graphicData>
            </a:graphic>
          </wp:inline>
        </w:drawing>
      </w:r>
    </w:p>
    <w:p>
      <w:pPr>
        <w:widowControl/>
        <w:shd w:val="clear" w:color="auto" w:fill="FFFFFF"/>
        <w:rPr>
          <w:rFonts w:ascii="微软雅黑" w:hAnsi="微软雅黑" w:eastAsia="微软雅黑" w:cs="宋体"/>
          <w:color w:val="333333"/>
          <w:spacing w:val="8"/>
          <w:kern w:val="0"/>
          <w:sz w:val="26"/>
          <w:szCs w:val="26"/>
        </w:rPr>
      </w:pPr>
      <w:r>
        <w:rPr>
          <w:rFonts w:hint="eastAsia" w:ascii="微软雅黑" w:hAnsi="微软雅黑" w:eastAsia="微软雅黑" w:cs="宋体"/>
          <w:color w:val="333333"/>
          <w:spacing w:val="8"/>
          <w:kern w:val="0"/>
          <w:sz w:val="24"/>
          <w:szCs w:val="24"/>
        </w:rPr>
        <w:t>　　</w:t>
      </w:r>
    </w:p>
    <w:p>
      <w:pPr>
        <w:widowControl/>
        <w:shd w:val="clear" w:color="auto" w:fill="FFFFFF"/>
        <w:spacing w:line="420" w:lineRule="atLeast"/>
        <w:ind w:left="120" w:right="120" w:firstLine="560" w:firstLineChars="200"/>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无独有偶，有消息显示，中国邮政集团有限公司新增多条商标</w:t>
      </w:r>
    </w:p>
    <w:p>
      <w:pPr>
        <w:widowControl/>
        <w:shd w:val="clear" w:color="auto" w:fill="FFFFFF"/>
        <w:spacing w:line="420" w:lineRule="atLeast"/>
        <w:ind w:right="120"/>
        <w:rPr>
          <w:rFonts w:ascii="微软雅黑" w:hAnsi="微软雅黑" w:eastAsia="微软雅黑" w:cs="宋体"/>
          <w:color w:val="333333"/>
          <w:spacing w:val="8"/>
          <w:kern w:val="0"/>
          <w:sz w:val="26"/>
          <w:szCs w:val="26"/>
        </w:rPr>
      </w:pPr>
      <w:r>
        <w:rPr>
          <w:rFonts w:hint="eastAsia" w:asciiTheme="minorEastAsia" w:hAnsiTheme="minorEastAsia"/>
          <w:sz w:val="28"/>
          <w:szCs w:val="28"/>
          <w:shd w:val="clear" w:color="auto" w:fill="FFFFFF"/>
        </w:rPr>
        <w:t>信息，商标名称显示为中邮医药、中邮药房、中邮健康等，目前商标状态均为“等待实质审查”。除了京东、邮政，近年来，顺丰、“三通一达”等物流巨头也纷纷布局，在各项政策叠加下，医药流通市场进一步加速洗牌。</w:t>
      </w:r>
    </w:p>
    <w:p>
      <w:pPr>
        <w:widowControl/>
        <w:shd w:val="clear" w:color="auto" w:fill="FFFFFF"/>
        <w:rPr>
          <w:rFonts w:ascii="微软雅黑" w:hAnsi="微软雅黑" w:eastAsia="微软雅黑" w:cs="宋体"/>
          <w:color w:val="333333"/>
          <w:spacing w:val="8"/>
          <w:kern w:val="0"/>
          <w:sz w:val="26"/>
          <w:szCs w:val="26"/>
        </w:rPr>
      </w:pPr>
      <w:r>
        <w:rPr>
          <w:rFonts w:hint="eastAsia" w:ascii="微软雅黑" w:hAnsi="微软雅黑" w:eastAsia="微软雅黑" w:cs="宋体"/>
          <w:b/>
          <w:bCs/>
          <w:color w:val="EF7060"/>
          <w:spacing w:val="8"/>
          <w:kern w:val="0"/>
          <w:sz w:val="24"/>
          <w:szCs w:val="24"/>
        </w:rPr>
        <w:t>拥有现代物流资质将掌握药品流通命脉</w:t>
      </w:r>
    </w:p>
    <w:p>
      <w:pPr>
        <w:widowControl/>
        <w:shd w:val="clear" w:color="auto" w:fill="FFFFFF"/>
        <w:spacing w:line="420" w:lineRule="atLeast"/>
        <w:ind w:left="120" w:right="120" w:firstLine="560" w:firstLineChars="200"/>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对于京东获批开展第三方药品物流业务，有观点指出，陕西是</w:t>
      </w:r>
    </w:p>
    <w:p>
      <w:pPr>
        <w:widowControl/>
        <w:shd w:val="clear" w:color="auto" w:fill="FFFFFF"/>
        <w:spacing w:line="420" w:lineRule="atLeast"/>
        <w:ind w:right="120"/>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全国第一个出文允许非药企从事三方物流的省份。业内人士认为，这个资质意义非常大，因为只有获得第三方药品物流资质才能从事药品储运、储存业务。没有资质可以进行运输，该资质主要是指仓储，相当于医药商业公司的仓库可以对外一样的性质。</w:t>
      </w:r>
    </w:p>
    <w:p>
      <w:pPr>
        <w:widowControl/>
        <w:shd w:val="clear" w:color="auto" w:fill="FFFFFF"/>
        <w:spacing w:line="420" w:lineRule="atLeast"/>
        <w:ind w:left="120" w:right="120" w:firstLine="560" w:firstLineChars="200"/>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在业界看来，集中监管和配送是发展趋势，仓储+配送一体化</w:t>
      </w:r>
    </w:p>
    <w:p>
      <w:pPr>
        <w:widowControl/>
        <w:shd w:val="clear" w:color="auto" w:fill="FFFFFF"/>
        <w:spacing w:line="420" w:lineRule="atLeast"/>
        <w:ind w:right="120"/>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的物流模式是最节省成本、集约化的一种方式。今后，随着监管更加严格，拥有第三方药品物流资质将成为医药物流发展，尤其是医药冷链物流发展的主要趋势。今后谁拥有药品现代物流资质，谁就掌握了药品流通的命脉。</w:t>
      </w:r>
    </w:p>
    <w:p>
      <w:pPr>
        <w:widowControl/>
        <w:shd w:val="clear" w:color="auto" w:fill="FFFFFF"/>
        <w:spacing w:line="420" w:lineRule="atLeast"/>
        <w:ind w:left="120" w:right="120" w:firstLine="560" w:firstLineChars="200"/>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2016年2月，国务院取消从事第三方药品物流业务的行政审批。</w:t>
      </w:r>
    </w:p>
    <w:p>
      <w:pPr>
        <w:widowControl/>
        <w:shd w:val="clear" w:color="auto" w:fill="FFFFFF"/>
        <w:spacing w:line="420" w:lineRule="atLeast"/>
        <w:ind w:right="120"/>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按规定，只要企业达到了现代物流条件，原则上均可通过现场检查以及备案的形式开展第三方药品物流业务。</w:t>
      </w:r>
    </w:p>
    <w:p>
      <w:pPr>
        <w:widowControl/>
        <w:shd w:val="clear" w:color="auto" w:fill="FFFFFF"/>
        <w:spacing w:line="420" w:lineRule="atLeast"/>
        <w:ind w:left="120" w:right="120" w:firstLine="560" w:firstLineChars="200"/>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近年来，部分省市也纷纷出台政策，促进第三方药品物流发展。今年5月，上海市药监局发布《关于&lt;上海市药品现代物流指导意</w:t>
      </w:r>
    </w:p>
    <w:p>
      <w:pPr>
        <w:widowControl/>
        <w:shd w:val="clear" w:color="auto" w:fill="FFFFFF"/>
        <w:spacing w:line="420" w:lineRule="atLeast"/>
        <w:ind w:right="120"/>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见（征求意见稿）&gt;公开征求意见的通知》，对新开办的药品批发企业和药品第三方物流企业均明确了具体要求。</w:t>
      </w:r>
    </w:p>
    <w:p>
      <w:pPr>
        <w:widowControl/>
        <w:shd w:val="clear" w:color="auto" w:fill="FFFFFF"/>
        <w:rPr>
          <w:rFonts w:asciiTheme="minorEastAsia" w:hAnsiTheme="minorEastAsia"/>
          <w:sz w:val="28"/>
          <w:szCs w:val="28"/>
          <w:shd w:val="clear" w:color="auto" w:fill="FFFFFF"/>
        </w:rPr>
      </w:pPr>
      <w:r>
        <w:rPr>
          <w:rFonts w:hint="eastAsia" w:ascii="微软雅黑" w:hAnsi="微软雅黑" w:eastAsia="微软雅黑" w:cs="宋体"/>
          <w:color w:val="333333"/>
          <w:spacing w:val="8"/>
          <w:kern w:val="0"/>
          <w:sz w:val="24"/>
          <w:szCs w:val="24"/>
        </w:rPr>
        <w:t>　　</w:t>
      </w:r>
      <w:r>
        <w:rPr>
          <w:rFonts w:hint="eastAsia" w:asciiTheme="minorEastAsia" w:hAnsiTheme="minorEastAsia"/>
          <w:sz w:val="28"/>
          <w:szCs w:val="28"/>
          <w:shd w:val="clear" w:color="auto" w:fill="FFFFFF"/>
        </w:rPr>
        <w:t>目前国内第三方药品物流资质主要掌握在医药流通巨头企业手中。在政策调整鼓励下，物流巨头也纷纷介入第三方药品物流市场。早于2017年，京东物流就正式推出京东医药云仓，该项目是一套系统的医药物流供应链解决方案，业务覆盖仓储、运输车辆、运输司机、干线配送、终端配送等各服务环节，服务客户包括生产企业、批发企业、连锁药店、医院和卫生站等。</w:t>
      </w:r>
    </w:p>
    <w:p>
      <w:pPr>
        <w:widowControl/>
        <w:shd w:val="clear" w:color="auto" w:fill="FFFFFF"/>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　　除京东外，顺丰也加速抢滩。广东省发布的开展第三方药品现代物流企业名单中，顺丰、大参林等17家企业在列。6月2日，顺丰医药也获得新《药品管理法》实施后首个药品第三方物流“告知承诺公示制”资质。该项资质的获取是湖北省首创试点，是对涉药三方物流企业严格按照GSP标准进行检查，通过检查后在无需获取《药品经营许可》的情况下从事药品仓储、配送业务。</w:t>
      </w:r>
    </w:p>
    <w:p>
      <w:pPr>
        <w:widowControl/>
        <w:shd w:val="clear" w:color="auto" w:fill="FFFFFF"/>
        <w:rPr>
          <w:rFonts w:ascii="微软雅黑" w:hAnsi="微软雅黑" w:eastAsia="微软雅黑" w:cs="宋体"/>
          <w:color w:val="333333"/>
          <w:spacing w:val="8"/>
          <w:kern w:val="0"/>
          <w:sz w:val="26"/>
          <w:szCs w:val="26"/>
        </w:rPr>
      </w:pPr>
      <w:r>
        <w:rPr>
          <w:rFonts w:hint="eastAsia" w:asciiTheme="minorEastAsia" w:hAnsiTheme="minorEastAsia"/>
          <w:sz w:val="28"/>
          <w:szCs w:val="28"/>
          <w:shd w:val="clear" w:color="auto" w:fill="FFFFFF"/>
        </w:rPr>
        <w:t>　　据了解，截至2019年底，顺丰控股医药网络已覆盖219个地级市、1547个区县，拥有4个GSP认证医药仓，总面积3万平方米；拥有42条医药运输干线，贯通全国核心城市；拥有通过GSP验证自有冷藏车242台。</w:t>
      </w:r>
    </w:p>
    <w:p>
      <w:pPr>
        <w:widowControl/>
        <w:shd w:val="clear" w:color="auto" w:fill="FFFFFF"/>
        <w:spacing w:line="360" w:lineRule="atLeast"/>
        <w:rPr>
          <w:rFonts w:ascii="微软雅黑" w:hAnsi="微软雅黑" w:eastAsia="微软雅黑" w:cs="宋体"/>
          <w:color w:val="333333"/>
          <w:spacing w:val="8"/>
          <w:kern w:val="0"/>
          <w:sz w:val="26"/>
          <w:szCs w:val="26"/>
        </w:rPr>
      </w:pPr>
      <w:r>
        <w:rPr>
          <w:rFonts w:hint="eastAsia" w:ascii="微软雅黑" w:hAnsi="微软雅黑" w:eastAsia="微软雅黑" w:cs="宋体"/>
          <w:b/>
          <w:bCs/>
          <w:color w:val="EF7060"/>
          <w:spacing w:val="8"/>
          <w:kern w:val="0"/>
          <w:sz w:val="24"/>
          <w:szCs w:val="24"/>
        </w:rPr>
        <w:t>自营品种或选第三方物流配送</w:t>
      </w:r>
    </w:p>
    <w:p>
      <w:pPr>
        <w:widowControl/>
        <w:shd w:val="clear" w:color="auto" w:fill="FFFFFF"/>
        <w:rPr>
          <w:rFonts w:asciiTheme="minorEastAsia" w:hAnsiTheme="minorEastAsia"/>
          <w:sz w:val="28"/>
          <w:szCs w:val="28"/>
          <w:shd w:val="clear" w:color="auto" w:fill="FFFFFF"/>
        </w:rPr>
      </w:pPr>
      <w:r>
        <w:rPr>
          <w:rFonts w:hint="eastAsia" w:ascii="微软雅黑" w:hAnsi="微软雅黑" w:eastAsia="微软雅黑" w:cs="宋体"/>
          <w:color w:val="333333"/>
          <w:spacing w:val="8"/>
          <w:kern w:val="0"/>
          <w:sz w:val="24"/>
          <w:szCs w:val="24"/>
        </w:rPr>
        <w:t>　　</w:t>
      </w:r>
      <w:r>
        <w:rPr>
          <w:rFonts w:hint="eastAsia" w:asciiTheme="minorEastAsia" w:hAnsiTheme="minorEastAsia"/>
          <w:sz w:val="28"/>
          <w:szCs w:val="28"/>
          <w:shd w:val="clear" w:color="auto" w:fill="FFFFFF"/>
        </w:rPr>
        <w:t>业内人士认为，“第三方药品物流资质很多省份还没放开，从放开的省份来看，仓储面积要达到一定规模才能获得资质。换言之，虽然没有严格明确会批几家，但是符合标准的企业不会太多。那么谁能先拿资质，自然获得一定的商机优势。”　　</w:t>
      </w:r>
    </w:p>
    <w:p>
      <w:pPr>
        <w:widowControl/>
        <w:shd w:val="clear" w:color="auto" w:fill="FFFFFF"/>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　　“再加上‘两票制’政策后，企业订单分散化，例如一家工业企业要面向全国发货，以前每个省发个整车过去就行，现在各个市县区，甚至一些小诊所，都要销售订单，如果企业在每一个省或者区域搞一个中心仓库再发货，成本和效率会节省很多。”　　</w:t>
      </w:r>
    </w:p>
    <w:p>
      <w:pPr>
        <w:widowControl/>
        <w:shd w:val="clear" w:color="auto" w:fill="FFFFFF"/>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　　确实，“两票制”的实施带动了第三方药品物流的发展，流通业务更加集中。一方面，大型医药流通企业获得更多市场份额，另一方面，顺丰、京东也获得了市场竞争的机会。　　</w:t>
      </w:r>
    </w:p>
    <w:p>
      <w:pPr>
        <w:widowControl/>
        <w:shd w:val="clear" w:color="auto" w:fill="FFFFFF"/>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　　值得关注的是，在鼓励“一票制”趋势下，药品生产企业直接和医院结算，流通企业仅承担配送功能，药品配送业务回流至工业企业，工业企业或寻求与拥有成本优势的第三方药品物流企业进行合作。　　</w:t>
      </w:r>
    </w:p>
    <w:p>
      <w:pPr>
        <w:widowControl/>
        <w:shd w:val="clear" w:color="auto" w:fill="FFFFFF"/>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　　相较于传统的医药流通配送，第三方物流企业，从配送时效和效率，以及网络覆盖范围均具一定优势，尤其是一些农村、乡镇地区的药品配送。随着第三方物流介入药品仓储、配送，各类企业有了更多的选择，医药流通领域竞争将日趋激烈。　　</w:t>
      </w:r>
    </w:p>
    <w:p>
      <w:pPr>
        <w:widowControl/>
        <w:shd w:val="clear" w:color="auto" w:fill="FFFFFF"/>
        <w:ind w:firstLine="570"/>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此外，随着国家集采、地方集采不断扩面，医药流通行业加速洗牌。对于带量采购配送权的争夺，国药控股、上药等大型流通企业显然更具优势。同时，药品流通利润逐渐降低，物流成本却不断增加，发展第三方药品物流成为必然选择。据前瞻产业研究院研究，通过第三方物流介入，医药流通企业可节省几十万元甚至几百万元的费用。以全国13000家医药流通企业计，每年可节省200亿元重复投入，医药物流行业整体盈利能力至少翻番。　　</w:t>
      </w:r>
    </w:p>
    <w:p>
      <w:pPr>
        <w:widowControl/>
        <w:shd w:val="clear" w:color="auto" w:fill="FFFFFF"/>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　　具体到顺丰、京东等物流巨头的市场机会，有分析指出，如果工业企业的销售渠道还是依赖于流通公司，配送肯定还是与流通企业合作。如果工业企业具备自营的销售团队，可能就会选择社会物流。再就是与传统流通企业的仓库相比，第三方药品物流属于“第三方”，不具排他性，也可以与各个流通企业开展合作。</w:t>
      </w:r>
    </w:p>
    <w:p>
      <w:pPr>
        <w:rPr>
          <w:rFonts w:cs="宋体" w:asciiTheme="minorEastAsia" w:hAnsiTheme="minorEastAsia"/>
          <w:spacing w:val="8"/>
          <w:sz w:val="28"/>
          <w:szCs w:val="28"/>
        </w:rPr>
      </w:pPr>
    </w:p>
    <w:p>
      <w:pPr>
        <w:rPr>
          <w:rFonts w:cs="宋体" w:asciiTheme="minorEastAsia" w:hAnsiTheme="minorEastAsia"/>
          <w:spacing w:val="8"/>
          <w:sz w:val="28"/>
          <w:szCs w:val="28"/>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r>
        <w:rPr>
          <w:rFonts w:hint="eastAsia" w:ascii="微软雅黑" w:hAnsi="微软雅黑" w:eastAsia="微软雅黑" w:cs="宋体"/>
          <w:b/>
          <w:color w:val="333333"/>
          <w:kern w:val="36"/>
          <w:sz w:val="24"/>
        </w:rPr>
        <w:t>附件5</w:t>
      </w:r>
    </w:p>
    <w:p>
      <w:pPr>
        <w:pStyle w:val="2"/>
        <w:shd w:val="clear" w:color="auto" w:fill="FFFFFF"/>
        <w:spacing w:beforeAutospacing="0" w:after="210" w:afterAutospacing="0"/>
        <w:rPr>
          <w:rFonts w:ascii="微软雅黑" w:hAnsi="微软雅黑" w:eastAsia="微软雅黑"/>
          <w:b/>
          <w:bCs/>
          <w:color w:val="333333"/>
          <w:spacing w:val="8"/>
          <w:sz w:val="33"/>
          <w:szCs w:val="33"/>
        </w:rPr>
      </w:pPr>
    </w:p>
    <w:p>
      <w:pPr>
        <w:widowControl/>
        <w:shd w:val="clear" w:color="auto" w:fill="FFFFFF"/>
        <w:spacing w:after="210"/>
        <w:jc w:val="left"/>
        <w:outlineLvl w:val="1"/>
        <w:rPr>
          <w:rFonts w:ascii="微软雅黑" w:hAnsi="微软雅黑" w:eastAsia="微软雅黑" w:cs="宋体"/>
          <w:color w:val="333333"/>
          <w:spacing w:val="8"/>
          <w:kern w:val="0"/>
          <w:sz w:val="33"/>
          <w:szCs w:val="33"/>
        </w:rPr>
      </w:pPr>
      <w:r>
        <w:rPr>
          <w:rFonts w:hint="eastAsia" w:ascii="微软雅黑" w:hAnsi="微软雅黑" w:eastAsia="微软雅黑" w:cs="宋体"/>
          <w:color w:val="333333"/>
          <w:spacing w:val="8"/>
          <w:kern w:val="0"/>
          <w:sz w:val="33"/>
          <w:szCs w:val="33"/>
        </w:rPr>
        <w:t>中国零售药店市场首破6600亿！</w:t>
      </w:r>
    </w:p>
    <w:p>
      <w:pPr>
        <w:widowControl/>
        <w:spacing w:before="100" w:beforeAutospacing="1" w:after="100" w:afterAutospacing="1"/>
        <w:ind w:firstLine="210" w:firstLineChars="100"/>
        <w:outlineLvl w:val="1"/>
      </w:pPr>
      <w:r>
        <w:rPr>
          <w:rFonts w:hint="eastAsia"/>
        </w:rPr>
        <w:t>米内网 </w:t>
      </w:r>
      <w:r>
        <w:fldChar w:fldCharType="begin"/>
      </w:r>
      <w:r>
        <w:instrText xml:space="preserve"> HYPERLINK "javascript:void(0);" </w:instrText>
      </w:r>
      <w:r>
        <w:fldChar w:fldCharType="separate"/>
      </w:r>
      <w:r>
        <w:rPr>
          <w:rFonts w:hint="eastAsia"/>
        </w:rPr>
        <w:t>谷丰观点</w:t>
      </w:r>
      <w:r>
        <w:rPr>
          <w:rFonts w:hint="eastAsia"/>
        </w:rPr>
        <w:fldChar w:fldCharType="end"/>
      </w:r>
      <w:r>
        <w:rPr>
          <w:rFonts w:hint="eastAsia"/>
        </w:rPr>
        <w:t> 2020-08-24</w:t>
      </w:r>
    </w:p>
    <w:p>
      <w:pPr>
        <w:widowControl/>
        <w:shd w:val="clear" w:color="auto" w:fill="FFFFFF"/>
        <w:rPr>
          <w:rFonts w:asciiTheme="minorEastAsia" w:hAnsiTheme="minorEastAsia"/>
          <w:sz w:val="28"/>
          <w:szCs w:val="28"/>
          <w:shd w:val="clear" w:color="auto" w:fill="FFFFFF"/>
        </w:rPr>
      </w:pPr>
    </w:p>
    <w:p>
      <w:pPr>
        <w:widowControl/>
        <w:shd w:val="clear" w:color="auto" w:fill="FFFFFF"/>
        <w:ind w:firstLine="560" w:firstLineChars="200"/>
        <w:rPr>
          <w:rFonts w:ascii="微软雅黑" w:hAnsi="微软雅黑" w:eastAsia="微软雅黑" w:cs="宋体"/>
          <w:color w:val="333333"/>
          <w:spacing w:val="8"/>
          <w:kern w:val="0"/>
          <w:sz w:val="26"/>
          <w:szCs w:val="26"/>
        </w:rPr>
      </w:pPr>
      <w:r>
        <w:rPr>
          <w:rFonts w:hint="eastAsia" w:asciiTheme="minorEastAsia" w:hAnsiTheme="minorEastAsia"/>
          <w:sz w:val="28"/>
          <w:szCs w:val="28"/>
          <w:shd w:val="clear" w:color="auto" w:fill="FFFFFF"/>
        </w:rPr>
        <w:t>今年8月，国家药监局发布《2019年度药品监管统计年报》，截至2019年底，全国共有《药品经营许可证》持证企业54.4万家，其中批发企业1.4万家；零售连锁企业6701家，零售连锁企业门店29.0万家；零售药店23.4万家。</w:t>
      </w:r>
      <w:r>
        <w:fldChar w:fldCharType="begin"/>
      </w:r>
      <w:r>
        <w:instrText xml:space="preserve"> HYPERLINK "https://mp.weixin.qq.com/s?__biz=MzA3MzM3NzYyNg==&amp;mid=2247495322&amp;idx=1&amp;sn=de1dc47f84138bd63f0cdbb78edfe46b&amp;chksm=9f0d5cafa87ad5b96f090dbbcf60bab8c225d4f7531c0e78f0f150af2a31bfb5974732f29127&amp;mpshare=1&amp;scene=1&amp;srcid=0824Cau8VFnlYfTewIzn6OJj&amp;sharer_sharetime=1598269186556&amp;sharer_shareid=40073f3a88ec896afeb4647df54285f7&amp;key=56c1a4d5743468c9b6005984414b20ce1ba9ad794e053ccb2811678eececd8dfbda3342f2bac1a21d42927d09318e27545f3fa24a601461968c90669b747f3f79c137ecdcbb3aa7c3e2f612036b04124079d6bc8f8bab32a14e7409fe16192781296650b83719c650e1d7550f0fee9bb60921b1f052593839e7acf938d2eb3bb&amp;ascene=1&amp;uin=MjEzNDI5NjE4MA%3D%3D&amp;devicetype=Windows+7+x64&amp;version=62090529&amp;lang=zh_CN&amp;exportkey=ATsDRmA42Ie2%2FASQvnojQUs%3D&amp;pass_ticket=Qdke5f%2FVInBSVwcmTLHvThWoVUJs5EHKExDb%2BC2NvERi72Fhry93nbdROiHBJjP%2B&amp;winzoom=1" </w:instrText>
      </w:r>
      <w:r>
        <w:fldChar w:fldCharType="separate"/>
      </w:r>
      <w:r>
        <w:rPr>
          <w:rFonts w:hint="eastAsia" w:asciiTheme="minorEastAsia" w:hAnsiTheme="minorEastAsia"/>
          <w:sz w:val="28"/>
          <w:szCs w:val="28"/>
          <w:shd w:val="clear" w:color="auto" w:fill="FFFFFF"/>
        </w:rPr>
        <w:t>米内网</w:t>
      </w:r>
      <w:r>
        <w:rPr>
          <w:rFonts w:hint="eastAsia" w:asciiTheme="minorEastAsia" w:hAnsiTheme="minorEastAsia"/>
          <w:sz w:val="28"/>
          <w:szCs w:val="28"/>
          <w:shd w:val="clear" w:color="auto" w:fill="FFFFFF"/>
        </w:rPr>
        <w:fldChar w:fldCharType="end"/>
      </w:r>
      <w:r>
        <w:rPr>
          <w:rFonts w:hint="eastAsia" w:asciiTheme="minorEastAsia" w:hAnsiTheme="minorEastAsia"/>
          <w:sz w:val="28"/>
          <w:szCs w:val="28"/>
          <w:shd w:val="clear" w:color="auto" w:fill="FFFFFF"/>
        </w:rPr>
        <w:t>显示，按终端平均零售价计算，2019年中国实体药店和网上药店(含药品和非药品)销售规模达6620亿元，同比增长8.4%。其中，实体药店占比超80%，网上药店首破千亿。从实体药店各品类结构来看，2019年药品销售额占比超75%，较2018年上升2.1个百分点，受医保政策、国家集采、处方外流、医保药店限制非药品销售等影响，药品占比持续提升。在中国城市实体药店品牌TOP20中，有17个销售额超10亿元，华润医药的阿胶和感冒灵颗粒以39.3亿、22.1亿的销售额占据第一、二位；企业TOP20中，华润医药、辉瑞、广药集团占据前三位置。</w:t>
      </w:r>
    </w:p>
    <w:p>
      <w:pPr>
        <w:widowControl/>
        <w:shd w:val="clear" w:color="auto" w:fill="FFFFFF"/>
        <w:rPr>
          <w:rFonts w:ascii="微软雅黑" w:hAnsi="微软雅黑" w:eastAsia="微软雅黑" w:cs="宋体"/>
          <w:b/>
          <w:bCs/>
          <w:color w:val="1C7B86"/>
          <w:spacing w:val="8"/>
          <w:kern w:val="0"/>
          <w:sz w:val="24"/>
          <w:szCs w:val="24"/>
        </w:rPr>
      </w:pPr>
    </w:p>
    <w:p>
      <w:pPr>
        <w:widowControl/>
        <w:shd w:val="clear" w:color="auto" w:fill="FFFFFF"/>
        <w:rPr>
          <w:rFonts w:ascii="微软雅黑" w:hAnsi="微软雅黑" w:eastAsia="微软雅黑" w:cs="宋体"/>
          <w:b/>
          <w:bCs/>
          <w:color w:val="1C7B86"/>
          <w:spacing w:val="8"/>
          <w:kern w:val="0"/>
          <w:sz w:val="24"/>
          <w:szCs w:val="24"/>
        </w:rPr>
      </w:pPr>
      <w:r>
        <w:rPr>
          <w:rFonts w:hint="eastAsia" w:ascii="微软雅黑" w:hAnsi="微软雅黑" w:eastAsia="微软雅黑" w:cs="宋体"/>
          <w:b/>
          <w:bCs/>
          <w:color w:val="1C7B86"/>
          <w:spacing w:val="8"/>
          <w:kern w:val="0"/>
          <w:sz w:val="24"/>
          <w:szCs w:val="24"/>
        </w:rPr>
        <w:t>6600亿零售药店市场：实体药店占比超80%，网上药店突破千亿</w:t>
      </w:r>
    </w:p>
    <w:p>
      <w:pPr>
        <w:widowControl/>
        <w:shd w:val="clear" w:color="auto" w:fill="FFFFFF"/>
        <w:rPr>
          <w:rFonts w:ascii="微软雅黑" w:hAnsi="微软雅黑" w:eastAsia="微软雅黑" w:cs="宋体"/>
          <w:color w:val="333333"/>
          <w:spacing w:val="8"/>
          <w:kern w:val="0"/>
          <w:sz w:val="26"/>
          <w:szCs w:val="26"/>
        </w:rPr>
      </w:pPr>
      <w:r>
        <w:rPr>
          <w:rFonts w:hint="eastAsia" w:ascii="微软雅黑" w:hAnsi="微软雅黑" w:eastAsia="微软雅黑"/>
          <w:color w:val="333333"/>
          <w:spacing w:val="8"/>
          <w:sz w:val="23"/>
          <w:szCs w:val="23"/>
          <w:shd w:val="clear" w:color="auto" w:fill="FFFFFF"/>
        </w:rPr>
        <w:t>图1：2013-2019年中国实体药店和网上药店(含药品和非药品)销售情况</w:t>
      </w:r>
      <w:r>
        <w:rPr>
          <w:rFonts w:ascii="微软雅黑" w:hAnsi="微软雅黑" w:eastAsia="微软雅黑" w:cs="宋体"/>
          <w:color w:val="333333"/>
          <w:spacing w:val="8"/>
          <w:kern w:val="0"/>
          <w:sz w:val="26"/>
          <w:szCs w:val="26"/>
        </w:rPr>
        <w:drawing>
          <wp:inline distT="0" distB="0" distL="0" distR="0">
            <wp:extent cx="5274310" cy="2776855"/>
            <wp:effectExtent l="0" t="0" r="2540" b="4445"/>
            <wp:docPr id="27" name="图片 27" descr="C:\Users\Administrator\Documents\WeChat Files\ppdeboke\FileStorage\Temp\779f0e13b688d4d44f50cdc919f67d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Documents\WeChat Files\ppdeboke\FileStorage\Temp\779f0e13b688d4d44f50cdc919f67d5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777254"/>
                    </a:xfrm>
                    <a:prstGeom prst="rect">
                      <a:avLst/>
                    </a:prstGeom>
                    <a:noFill/>
                    <a:ln>
                      <a:noFill/>
                    </a:ln>
                  </pic:spPr>
                </pic:pic>
              </a:graphicData>
            </a:graphic>
          </wp:inline>
        </w:drawing>
      </w:r>
    </w:p>
    <w:p>
      <w:pPr>
        <w:widowControl/>
        <w:shd w:val="clear" w:color="auto" w:fill="FFFFFF"/>
        <w:jc w:val="right"/>
        <w:rPr>
          <w:rFonts w:ascii="微软雅黑" w:hAnsi="微软雅黑" w:eastAsia="微软雅黑" w:cs="宋体"/>
          <w:color w:val="333333"/>
          <w:spacing w:val="8"/>
          <w:kern w:val="0"/>
          <w:sz w:val="26"/>
          <w:szCs w:val="26"/>
        </w:rPr>
      </w:pPr>
      <w:r>
        <w:rPr>
          <w:rFonts w:hint="eastAsia" w:ascii="微软雅黑" w:hAnsi="微软雅黑" w:eastAsia="微软雅黑" w:cs="宋体"/>
          <w:color w:val="333333"/>
          <w:spacing w:val="8"/>
          <w:kern w:val="0"/>
          <w:szCs w:val="21"/>
        </w:rPr>
        <w:t>来源:米内网终端格局数据库，以平均零售价统计</w:t>
      </w:r>
    </w:p>
    <w:p>
      <w:pPr>
        <w:widowControl/>
        <w:shd w:val="clear" w:color="auto" w:fill="FFFFFF"/>
        <w:ind w:firstLine="560" w:firstLineChars="200"/>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最近几年，受到国家多项政策叠加影响，我国医药工业增速进一步放缓，终端增长持续下滑。</w:t>
      </w:r>
      <w:r>
        <w:fldChar w:fldCharType="begin"/>
      </w:r>
      <w:r>
        <w:instrText xml:space="preserve"> HYPERLINK "https://mp.weixin.qq.com/s?__biz=MzA3MzM3NzYyNg==&amp;mid=2247495322&amp;idx=1&amp;sn=de1dc47f84138bd63f0cdbb78edfe46b&amp;chksm=9f0d5cafa87ad5b96f090dbbcf60bab8c225d4f7531c0e78f0f150af2a31bfb5974732f29127&amp;mpshare=1&amp;scene=1&amp;srcid=0824Cau8VFnlYfTewIzn6OJj&amp;sharer_sharetime=1598269186556&amp;sharer_shareid=40073f3a88ec896afeb4647df54285f7&amp;key=56c1a4d5743468c9b6005984414b20ce1ba9ad794e053ccb2811678eececd8dfbda3342f2bac1a21d42927d09318e27545f3fa24a601461968c90669b747f3f79c137ecdcbb3aa7c3e2f612036b04124079d6bc8f8bab32a14e7409fe16192781296650b83719c650e1d7550f0fee9bb60921b1f052593839e7acf938d2eb3bb&amp;ascene=1&amp;uin=MjEzNDI5NjE4MA%3D%3D&amp;devicetype=Windows+7+x64&amp;version=62090529&amp;lang=zh_CN&amp;exportkey=ATsDRmA42Ie2%2FASQvnojQUs%3D&amp;pass_ticket=Qdke5f%2FVInBSVwcmTLHvThWoVUJs5EHKExDb%2BC2NvERi72Fhry93nbdROiHBJjP%2B&amp;winzoom=1" </w:instrText>
      </w:r>
      <w:r>
        <w:fldChar w:fldCharType="separate"/>
      </w:r>
      <w:r>
        <w:rPr>
          <w:rFonts w:hint="eastAsia" w:asciiTheme="minorEastAsia" w:hAnsiTheme="minorEastAsia"/>
          <w:sz w:val="28"/>
          <w:szCs w:val="28"/>
          <w:shd w:val="clear" w:color="auto" w:fill="FFFFFF"/>
        </w:rPr>
        <w:t>米内网数据</w:t>
      </w:r>
      <w:r>
        <w:rPr>
          <w:rFonts w:hint="eastAsia" w:asciiTheme="minorEastAsia" w:hAnsiTheme="minorEastAsia"/>
          <w:sz w:val="28"/>
          <w:szCs w:val="28"/>
          <w:shd w:val="clear" w:color="auto" w:fill="FFFFFF"/>
        </w:rPr>
        <w:fldChar w:fldCharType="end"/>
      </w:r>
      <w:r>
        <w:rPr>
          <w:rFonts w:hint="eastAsia" w:asciiTheme="minorEastAsia" w:hAnsiTheme="minorEastAsia"/>
          <w:sz w:val="28"/>
          <w:szCs w:val="28"/>
          <w:shd w:val="clear" w:color="auto" w:fill="FFFFFF"/>
        </w:rPr>
        <w:t>显示，2019年中国实体药店和网上药店(含药品和非药品)销售规模达6620亿元，同比增长8.4%，增速处于近几年的低位。广东、山东、浙江、上海等地相继出台药店医保药品集采相关政策，药店加入集采已成为零售药店改革不可阻挡趋势，未来零售药店市场的竞争将进一步加剧。</w:t>
      </w:r>
    </w:p>
    <w:p>
      <w:pPr>
        <w:widowControl/>
        <w:shd w:val="clear" w:color="auto" w:fill="FFFFFF"/>
        <w:rPr>
          <w:rFonts w:ascii="微软雅黑" w:hAnsi="微软雅黑" w:eastAsia="微软雅黑" w:cs="宋体"/>
          <w:color w:val="333333"/>
          <w:spacing w:val="8"/>
          <w:kern w:val="0"/>
          <w:sz w:val="26"/>
          <w:szCs w:val="26"/>
        </w:rPr>
      </w:pPr>
      <w:r>
        <w:rPr>
          <w:rFonts w:hint="eastAsia" w:ascii="微软雅黑" w:hAnsi="微软雅黑" w:eastAsia="微软雅黑" w:cs="宋体"/>
          <w:color w:val="333333"/>
          <w:spacing w:val="8"/>
          <w:kern w:val="0"/>
          <w:sz w:val="23"/>
          <w:szCs w:val="23"/>
        </w:rPr>
        <w:t>图2：2013-2019年中国实体药店和网上药店(含药品和非药品)销售额占比</w:t>
      </w:r>
    </w:p>
    <w:p>
      <w:pPr>
        <w:widowControl/>
        <w:shd w:val="clear" w:color="auto" w:fill="FFFFFF"/>
        <w:jc w:val="center"/>
        <w:rPr>
          <w:rFonts w:ascii="微软雅黑" w:hAnsi="微软雅黑" w:eastAsia="微软雅黑" w:cs="宋体"/>
          <w:color w:val="333333"/>
          <w:spacing w:val="8"/>
          <w:kern w:val="0"/>
          <w:sz w:val="26"/>
          <w:szCs w:val="26"/>
        </w:rPr>
      </w:pPr>
      <w:r>
        <w:rPr>
          <w:rFonts w:ascii="微软雅黑" w:hAnsi="微软雅黑" w:eastAsia="微软雅黑" w:cs="宋体"/>
          <w:color w:val="333333"/>
          <w:spacing w:val="8"/>
          <w:kern w:val="0"/>
          <w:sz w:val="26"/>
          <w:szCs w:val="26"/>
        </w:rPr>
        <mc:AlternateContent>
          <mc:Choice Requires="wps">
            <w:drawing>
              <wp:inline distT="0" distB="0" distL="0" distR="0">
                <wp:extent cx="304800" cy="304800"/>
                <wp:effectExtent l="0" t="0" r="0" b="0"/>
                <wp:docPr id="22" name="矩形 22" descr="https://mmbiz.qpic.cn/mmbiz_jpg/HKOy4YsExrtrRXJ3iaibHvhUpibv7iaGoDpcYAz0u9ZCGRXtyzeIgv7akK8CrHCa6C4hR1FZaQj4bLBfqExciaTCUQ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_x0000_s1026" o:spid="_x0000_s1026" o:spt="1" alt="https://mmbiz.qpic.cn/mmbiz_jpg/HKOy4YsExrtrRXJ3iaibHvhUpibv7iaGoDpcYAz0u9ZCGRXtyzeIgv7akK8CrHCa6C4hR1FZaQj4bLBfqExciaTCUQw/640?wx_fmt=jpeg&amp;tp=webp&amp;wxfrom=5&amp;wx_lazy=1&amp;wx_co=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HzJZ00gAAAAMBAAAPAAAAAAAA&#10;AAEAIAAAACIAAABkcnMvZG93bnJldi54bWxQSwECFAAUAAAACACHTuJAhsOxhYoCAACVBAAADgAA&#10;AAAAAAABACAAAAAhAQAAZHJzL2Uyb0RvYy54bWxQSwUGAAAAAAYABgBZAQAAHQYAAAAA&#10;">
                <v:fill on="f" focussize="0,0"/>
                <v:stroke on="f"/>
                <v:imagedata o:title=""/>
                <o:lock v:ext="edit" aspectratio="t"/>
                <v:textbox>
                  <w:txbxContent>
                    <w:p>
                      <w:pPr>
                        <w:jc w:val="center"/>
                      </w:pPr>
                    </w:p>
                  </w:txbxContent>
                </v:textbox>
                <w10:wrap type="none"/>
                <w10:anchorlock/>
              </v:rect>
            </w:pict>
          </mc:Fallback>
        </mc:AlternateContent>
      </w:r>
      <w:r>
        <w:rPr>
          <w:rFonts w:ascii="微软雅黑" w:hAnsi="微软雅黑" w:eastAsia="微软雅黑" w:cs="宋体"/>
          <w:color w:val="333333"/>
          <w:spacing w:val="8"/>
          <w:kern w:val="0"/>
          <w:sz w:val="26"/>
          <w:szCs w:val="26"/>
        </w:rPr>
        <w:drawing>
          <wp:inline distT="0" distB="0" distL="0" distR="0">
            <wp:extent cx="4724400" cy="1865630"/>
            <wp:effectExtent l="0" t="0" r="0" b="1270"/>
            <wp:docPr id="28" name="图片 28" descr="C:\Users\Administrator\Documents\WeChat Files\ppdeboke\FileStorage\Temp\84760b8e1093c539670f13a99612a0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ocuments\WeChat Files\ppdeboke\FileStorage\Temp\84760b8e1093c539670f13a99612a09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741674" cy="1872859"/>
                    </a:xfrm>
                    <a:prstGeom prst="rect">
                      <a:avLst/>
                    </a:prstGeom>
                    <a:noFill/>
                    <a:ln>
                      <a:noFill/>
                    </a:ln>
                  </pic:spPr>
                </pic:pic>
              </a:graphicData>
            </a:graphic>
          </wp:inline>
        </w:drawing>
      </w:r>
    </w:p>
    <w:p>
      <w:pPr>
        <w:widowControl/>
        <w:shd w:val="clear" w:color="auto" w:fill="FFFFFF"/>
        <w:jc w:val="right"/>
        <w:rPr>
          <w:rFonts w:ascii="微软雅黑" w:hAnsi="微软雅黑" w:eastAsia="微软雅黑" w:cs="宋体"/>
          <w:color w:val="333333"/>
          <w:spacing w:val="8"/>
          <w:kern w:val="0"/>
          <w:sz w:val="26"/>
          <w:szCs w:val="26"/>
        </w:rPr>
      </w:pPr>
      <w:r>
        <w:rPr>
          <w:rFonts w:hint="eastAsia" w:ascii="微软雅黑" w:hAnsi="微软雅黑" w:eastAsia="微软雅黑" w:cs="宋体"/>
          <w:color w:val="333333"/>
          <w:spacing w:val="8"/>
          <w:kern w:val="0"/>
          <w:szCs w:val="21"/>
        </w:rPr>
        <w:t>来源:米内网终端格局数据库，以平均零售价统计</w:t>
      </w:r>
    </w:p>
    <w:p>
      <w:pPr>
        <w:widowControl/>
        <w:shd w:val="clear" w:color="auto" w:fill="FFFFFF"/>
        <w:ind w:firstLine="560" w:firstLineChars="200"/>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从零售药店类型来看，网上药店(含药品和非药品)销售额占比上涨至18.9%，发展迅猛；实体药店(含药品和非药品)销售规模占比呈持续下滑态势，2019年实体药店销售额占比跌至81.1%，较2018年下滑4.1个百分点。</w:t>
      </w:r>
    </w:p>
    <w:p>
      <w:pPr>
        <w:widowControl/>
        <w:shd w:val="clear" w:color="auto" w:fill="FFFFFF"/>
        <w:rPr>
          <w:rFonts w:ascii="微软雅黑" w:hAnsi="微软雅黑" w:eastAsia="微软雅黑" w:cs="宋体"/>
          <w:color w:val="333333"/>
          <w:spacing w:val="8"/>
          <w:kern w:val="0"/>
          <w:sz w:val="26"/>
          <w:szCs w:val="26"/>
        </w:rPr>
      </w:pPr>
      <w:r>
        <w:rPr>
          <w:rFonts w:hint="eastAsia" w:ascii="微软雅黑" w:hAnsi="微软雅黑" w:eastAsia="微软雅黑" w:cs="宋体"/>
          <w:color w:val="333333"/>
          <w:spacing w:val="8"/>
          <w:kern w:val="0"/>
          <w:sz w:val="23"/>
          <w:szCs w:val="23"/>
        </w:rPr>
        <w:t>图3：2013-2019年中国网上药店(含药品和非药品)销售情况</w:t>
      </w:r>
    </w:p>
    <w:p>
      <w:pPr>
        <w:widowControl/>
        <w:shd w:val="clear" w:color="auto" w:fill="FFFFFF"/>
        <w:jc w:val="center"/>
        <w:rPr>
          <w:rFonts w:ascii="微软雅黑" w:hAnsi="微软雅黑" w:eastAsia="微软雅黑" w:cs="宋体"/>
          <w:color w:val="333333"/>
          <w:spacing w:val="8"/>
          <w:kern w:val="0"/>
          <w:sz w:val="26"/>
          <w:szCs w:val="26"/>
        </w:rPr>
      </w:pPr>
      <w:r>
        <w:rPr>
          <w:rFonts w:ascii="微软雅黑" w:hAnsi="微软雅黑" w:eastAsia="微软雅黑" w:cs="宋体"/>
          <w:color w:val="333333"/>
          <w:spacing w:val="8"/>
          <w:kern w:val="0"/>
          <w:sz w:val="26"/>
          <w:szCs w:val="26"/>
        </w:rPr>
        <w:drawing>
          <wp:inline distT="0" distB="0" distL="0" distR="0">
            <wp:extent cx="5274310" cy="2785110"/>
            <wp:effectExtent l="0" t="0" r="2540" b="0"/>
            <wp:docPr id="29" name="图片 29" descr="C:\Users\Administrator\Documents\WeChat Files\ppdeboke\FileStorage\Temp\2f4e45a6d571e3e8d599b5400af376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ocuments\WeChat Files\ppdeboke\FileStorage\Temp\2f4e45a6d571e3e8d599b5400af3764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785495"/>
                    </a:xfrm>
                    <a:prstGeom prst="rect">
                      <a:avLst/>
                    </a:prstGeom>
                    <a:noFill/>
                    <a:ln>
                      <a:noFill/>
                    </a:ln>
                  </pic:spPr>
                </pic:pic>
              </a:graphicData>
            </a:graphic>
          </wp:inline>
        </w:drawing>
      </w:r>
      <w:r>
        <w:rPr>
          <w:rFonts w:ascii="微软雅黑" w:hAnsi="微软雅黑" w:eastAsia="微软雅黑" w:cs="宋体"/>
          <w:color w:val="333333"/>
          <w:spacing w:val="8"/>
          <w:kern w:val="0"/>
          <w:sz w:val="26"/>
          <w:szCs w:val="26"/>
        </w:rPr>
        <mc:AlternateContent>
          <mc:Choice Requires="wps">
            <w:drawing>
              <wp:inline distT="0" distB="0" distL="0" distR="0">
                <wp:extent cx="304800" cy="304800"/>
                <wp:effectExtent l="0" t="0" r="0" b="0"/>
                <wp:docPr id="23" name="矩形 23" descr="https://mmbiz.qpic.cn/mmbiz_jpg/HKOy4YsExrtrRXJ3iaibHvhUpibv7iaGoDpclzdianibDfGeibLheSVDBrq7G7yKr6ZNkvicRQlboiaaGXzmm8mYlbibadk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_x0000_s1026" o:spid="_x0000_s1026" o:spt="1" alt="https://mmbiz.qpic.cn/mmbiz_jpg/HKOy4YsExrtrRXJ3iaibHvhUpibv7iaGoDpclzdianibDfGeibLheSVDBrq7G7yKr6ZNkvicRQlboiaaGXzmm8mYlbibadkw/640?wx_fmt=jpeg&amp;tp=webp&amp;wxfrom=5&amp;wx_lazy=1&amp;wx_co=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fMlnTSAAAAAwEAAA8AAAAA&#10;AAAAAQAgAAAAIgAAAGRycy9kb3ducmV2LnhtbFBLAQIUABQAAAAIAIdO4kAlLHYajAIAAJoEAAAO&#10;AAAAAAAAAAEAIAAAACEBAABkcnMvZTJvRG9jLnhtbFBLBQYAAAAABgAGAFkBAAAfBgAAAAA=&#10;">
                <v:fill on="f" focussize="0,0"/>
                <v:stroke on="f"/>
                <v:imagedata o:title=""/>
                <o:lock v:ext="edit" aspectratio="t"/>
                <v:textbox>
                  <w:txbxContent>
                    <w:p>
                      <w:pPr>
                        <w:jc w:val="center"/>
                      </w:pPr>
                    </w:p>
                  </w:txbxContent>
                </v:textbox>
                <w10:wrap type="none"/>
                <w10:anchorlock/>
              </v:rect>
            </w:pict>
          </mc:Fallback>
        </mc:AlternateContent>
      </w:r>
      <w:r>
        <w:rPr>
          <w:rFonts w:hint="eastAsia" w:ascii="微软雅黑" w:hAnsi="微软雅黑" w:eastAsia="微软雅黑" w:cs="宋体"/>
          <w:color w:val="333333"/>
          <w:spacing w:val="8"/>
          <w:kern w:val="0"/>
          <w:szCs w:val="21"/>
        </w:rPr>
        <w:t xml:space="preserve">                      来源:米内网终端格局数据库，以平均零售价统计</w:t>
      </w:r>
    </w:p>
    <w:p>
      <w:pPr>
        <w:widowControl/>
        <w:shd w:val="clear" w:color="auto" w:fill="FFFFFF"/>
        <w:rPr>
          <w:rFonts w:ascii="微软雅黑" w:hAnsi="微软雅黑" w:eastAsia="微软雅黑" w:cs="宋体"/>
          <w:color w:val="333333"/>
          <w:spacing w:val="8"/>
          <w:kern w:val="0"/>
          <w:sz w:val="26"/>
          <w:szCs w:val="26"/>
        </w:rPr>
      </w:pPr>
      <w:r>
        <w:rPr>
          <w:rFonts w:hint="eastAsia" w:ascii="微软雅黑" w:hAnsi="微软雅黑" w:eastAsia="微软雅黑" w:cs="宋体"/>
          <w:color w:val="333333"/>
          <w:spacing w:val="8"/>
          <w:kern w:val="0"/>
          <w:sz w:val="23"/>
          <w:szCs w:val="23"/>
        </w:rPr>
        <w:t>图4：2013-2019中国实体药店(含药品和非药品)销售情况</w:t>
      </w:r>
    </w:p>
    <w:p>
      <w:pPr>
        <w:widowControl/>
        <w:shd w:val="clear" w:color="auto" w:fill="FFFFFF"/>
        <w:jc w:val="center"/>
        <w:rPr>
          <w:rFonts w:ascii="微软雅黑" w:hAnsi="微软雅黑" w:eastAsia="微软雅黑" w:cs="宋体"/>
          <w:color w:val="333333"/>
          <w:spacing w:val="8"/>
          <w:kern w:val="0"/>
          <w:sz w:val="26"/>
          <w:szCs w:val="26"/>
        </w:rPr>
      </w:pPr>
      <w:r>
        <w:rPr>
          <w:rFonts w:ascii="微软雅黑" w:hAnsi="微软雅黑" w:eastAsia="微软雅黑" w:cs="宋体"/>
          <w:color w:val="333333"/>
          <w:spacing w:val="8"/>
          <w:kern w:val="0"/>
          <w:sz w:val="26"/>
          <w:szCs w:val="26"/>
        </w:rPr>
        <w:drawing>
          <wp:inline distT="0" distB="0" distL="0" distR="0">
            <wp:extent cx="5274310" cy="2793365"/>
            <wp:effectExtent l="0" t="0" r="2540" b="6985"/>
            <wp:docPr id="30" name="图片 30" descr="C:\Users\Administrator\Documents\WeChat Files\ppdeboke\FileStorage\Temp\26cbf319144fe0c5719d25fd7c80e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Documents\WeChat Files\ppdeboke\FileStorage\Temp\26cbf319144fe0c5719d25fd7c80e56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2793736"/>
                    </a:xfrm>
                    <a:prstGeom prst="rect">
                      <a:avLst/>
                    </a:prstGeom>
                    <a:noFill/>
                    <a:ln>
                      <a:noFill/>
                    </a:ln>
                  </pic:spPr>
                </pic:pic>
              </a:graphicData>
            </a:graphic>
          </wp:inline>
        </w:drawing>
      </w:r>
    </w:p>
    <w:p>
      <w:pPr>
        <w:widowControl/>
        <w:shd w:val="clear" w:color="auto" w:fill="FFFFFF"/>
        <w:jc w:val="right"/>
        <w:rPr>
          <w:rFonts w:ascii="微软雅黑" w:hAnsi="微软雅黑" w:eastAsia="微软雅黑" w:cs="宋体"/>
          <w:color w:val="333333"/>
          <w:spacing w:val="8"/>
          <w:kern w:val="0"/>
          <w:sz w:val="26"/>
          <w:szCs w:val="26"/>
        </w:rPr>
      </w:pPr>
      <w:r>
        <w:rPr>
          <w:rFonts w:hint="eastAsia" w:ascii="微软雅黑" w:hAnsi="微软雅黑" w:eastAsia="微软雅黑" w:cs="宋体"/>
          <w:color w:val="333333"/>
          <w:spacing w:val="8"/>
          <w:kern w:val="0"/>
          <w:szCs w:val="21"/>
        </w:rPr>
        <w:t>来源:米内网终端格局数据库，以平均零售价统计</w:t>
      </w:r>
    </w:p>
    <w:p>
      <w:pPr>
        <w:widowControl/>
        <w:shd w:val="clear" w:color="auto" w:fill="FFFFFF"/>
        <w:ind w:firstLine="560" w:firstLineChars="200"/>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2019年中国网上药店销售规模突破千亿大关，为1251亿元，同比增长38.2%，与前几年的高速增长相比，增速有所放缓；而实体药店(含药品和非药品)2019年销售规模为5369亿元，同比增长3.2%。</w:t>
      </w:r>
    </w:p>
    <w:p>
      <w:pPr>
        <w:widowControl/>
        <w:shd w:val="clear" w:color="auto" w:fill="FFFFFF"/>
        <w:rPr>
          <w:rFonts w:ascii="微软雅黑" w:hAnsi="微软雅黑" w:eastAsia="微软雅黑" w:cs="宋体"/>
          <w:color w:val="333333"/>
          <w:spacing w:val="8"/>
          <w:kern w:val="0"/>
          <w:sz w:val="26"/>
          <w:szCs w:val="26"/>
        </w:rPr>
      </w:pPr>
      <w:r>
        <w:rPr>
          <w:rFonts w:hint="eastAsia" w:ascii="微软雅黑" w:hAnsi="微软雅黑" w:eastAsia="微软雅黑" w:cs="宋体"/>
          <w:color w:val="333333"/>
          <w:spacing w:val="8"/>
          <w:kern w:val="0"/>
          <w:sz w:val="23"/>
          <w:szCs w:val="23"/>
        </w:rPr>
        <w:t>图5：2013-2019年中国实体药店(含药品和非药品)各品类结构变化</w:t>
      </w:r>
    </w:p>
    <w:p>
      <w:pPr>
        <w:widowControl/>
        <w:shd w:val="clear" w:color="auto" w:fill="FFFFFF"/>
        <w:jc w:val="center"/>
        <w:rPr>
          <w:rFonts w:ascii="微软雅黑" w:hAnsi="微软雅黑" w:eastAsia="微软雅黑" w:cs="宋体"/>
          <w:color w:val="333333"/>
          <w:spacing w:val="8"/>
          <w:kern w:val="0"/>
          <w:sz w:val="26"/>
          <w:szCs w:val="26"/>
        </w:rPr>
      </w:pPr>
      <w:r>
        <w:rPr>
          <w:rFonts w:ascii="微软雅黑" w:hAnsi="微软雅黑" w:eastAsia="微软雅黑" w:cs="宋体"/>
          <w:color w:val="333333"/>
          <w:spacing w:val="8"/>
          <w:kern w:val="0"/>
          <w:sz w:val="26"/>
          <w:szCs w:val="26"/>
        </w:rPr>
        <w:drawing>
          <wp:inline distT="0" distB="0" distL="0" distR="0">
            <wp:extent cx="5274310" cy="6312535"/>
            <wp:effectExtent l="0" t="0" r="2540" b="0"/>
            <wp:docPr id="31" name="图片 31" descr="C:\Users\Administrator\Documents\WeChat Files\ppdeboke\FileStorage\Temp\54a6e447f0fa4f645316158517469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Documents\WeChat Files\ppdeboke\FileStorage\Temp\54a6e447f0fa4f645316158517469a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6312690"/>
                    </a:xfrm>
                    <a:prstGeom prst="rect">
                      <a:avLst/>
                    </a:prstGeom>
                    <a:noFill/>
                    <a:ln>
                      <a:noFill/>
                    </a:ln>
                  </pic:spPr>
                </pic:pic>
              </a:graphicData>
            </a:graphic>
          </wp:inline>
        </w:drawing>
      </w:r>
      <w:r>
        <w:rPr>
          <w:rFonts w:ascii="微软雅黑" w:hAnsi="微软雅黑" w:eastAsia="微软雅黑" w:cs="宋体"/>
          <w:color w:val="333333"/>
          <w:spacing w:val="8"/>
          <w:kern w:val="0"/>
          <w:sz w:val="26"/>
          <w:szCs w:val="26"/>
        </w:rPr>
        <mc:AlternateContent>
          <mc:Choice Requires="wps">
            <w:drawing>
              <wp:inline distT="0" distB="0" distL="0" distR="0">
                <wp:extent cx="304800" cy="304800"/>
                <wp:effectExtent l="0" t="0" r="0" b="0"/>
                <wp:docPr id="24" name="矩形 24" descr="https://mmbiz.qpic.cn/mmbiz_jpg/HKOy4YsExrtrRXJ3iaibHvhUpibv7iaGoDpcgicnEIfZkuiaDEe6bGdWHDCJ3QpRI7m3eoU3N7Ru5YZJG0IPqDGKVb3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_x0000_s1026" o:spid="_x0000_s1026" o:spt="1" alt="https://mmbiz.qpic.cn/mmbiz_jpg/HKOy4YsExrtrRXJ3iaibHvhUpibv7iaGoDpcgicnEIfZkuiaDEe6bGdWHDCJ3QpRI7m3eoU3N7Ru5YZJG0IPqDGKVb3A/640?wx_fmt=jpeg&amp;tp=webp&amp;wxfrom=5&amp;wx_lazy=1&amp;wx_co=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HzJZ00gAAAAMBAAAPAAAA&#10;AAAAAAEAIAAAACIAAABkcnMvZG93bnJldi54bWxQSwECFAAUAAAACACHTuJASxHu0I0CAACWBAAA&#10;DgAAAAAAAAABACAAAAAhAQAAZHJzL2Uyb0RvYy54bWxQSwUGAAAAAAYABgBZAQAAIAYAAAAA&#10;">
                <v:fill on="f" focussize="0,0"/>
                <v:stroke on="f"/>
                <v:imagedata o:title=""/>
                <o:lock v:ext="edit" aspectratio="t"/>
                <v:textbox>
                  <w:txbxContent>
                    <w:p>
                      <w:pPr>
                        <w:jc w:val="center"/>
                      </w:pPr>
                    </w:p>
                  </w:txbxContent>
                </v:textbox>
                <w10:wrap type="none"/>
                <w10:anchorlock/>
              </v:rect>
            </w:pict>
          </mc:Fallback>
        </mc:AlternateContent>
      </w:r>
      <w:r>
        <w:rPr>
          <w:rFonts w:hint="eastAsia" w:ascii="微软雅黑" w:hAnsi="微软雅黑" w:eastAsia="微软雅黑" w:cs="宋体"/>
          <w:color w:val="333333"/>
          <w:spacing w:val="8"/>
          <w:kern w:val="0"/>
          <w:szCs w:val="21"/>
        </w:rPr>
        <w:t xml:space="preserve">                      来源:米内网终端格局数据库，以平均零售价统计</w:t>
      </w:r>
    </w:p>
    <w:p>
      <w:pPr>
        <w:widowControl/>
        <w:shd w:val="clear" w:color="auto" w:fill="FFFFFF"/>
        <w:rPr>
          <w:rFonts w:ascii="微软雅黑" w:hAnsi="微软雅黑" w:eastAsia="微软雅黑" w:cs="宋体"/>
          <w:color w:val="333333"/>
          <w:spacing w:val="8"/>
          <w:kern w:val="0"/>
          <w:sz w:val="26"/>
          <w:szCs w:val="26"/>
        </w:rPr>
      </w:pPr>
      <w:r>
        <w:rPr>
          <w:rFonts w:hint="eastAsia" w:ascii="微软雅黑" w:hAnsi="微软雅黑" w:eastAsia="微软雅黑" w:cs="宋体"/>
          <w:b/>
          <w:bCs/>
          <w:color w:val="1C7B86"/>
          <w:spacing w:val="8"/>
          <w:kern w:val="0"/>
          <w:sz w:val="24"/>
          <w:szCs w:val="24"/>
        </w:rPr>
        <w:t>突破4000亿！实体药店药品销售额增速放缓</w:t>
      </w:r>
    </w:p>
    <w:p>
      <w:pPr>
        <w:widowControl/>
        <w:shd w:val="clear" w:color="auto" w:fill="FFFFFF"/>
        <w:rPr>
          <w:rFonts w:ascii="微软雅黑" w:hAnsi="微软雅黑" w:eastAsia="微软雅黑" w:cs="宋体"/>
          <w:color w:val="333333"/>
          <w:spacing w:val="8"/>
          <w:kern w:val="0"/>
          <w:sz w:val="26"/>
          <w:szCs w:val="26"/>
        </w:rPr>
      </w:pPr>
      <w:r>
        <w:rPr>
          <w:rFonts w:hint="eastAsia" w:ascii="微软雅黑" w:hAnsi="微软雅黑" w:eastAsia="微软雅黑" w:cs="宋体"/>
          <w:color w:val="333333"/>
          <w:spacing w:val="8"/>
          <w:kern w:val="0"/>
          <w:sz w:val="23"/>
          <w:szCs w:val="23"/>
        </w:rPr>
        <w:t>图6：2013-2019年中国实体药店药品销售情况</w:t>
      </w:r>
    </w:p>
    <w:p>
      <w:pPr>
        <w:widowControl/>
        <w:shd w:val="clear" w:color="auto" w:fill="FFFFFF"/>
        <w:jc w:val="right"/>
        <w:rPr>
          <w:rFonts w:ascii="微软雅黑" w:hAnsi="微软雅黑" w:eastAsia="微软雅黑" w:cs="宋体"/>
          <w:color w:val="333333"/>
          <w:spacing w:val="8"/>
          <w:kern w:val="0"/>
          <w:sz w:val="26"/>
          <w:szCs w:val="26"/>
        </w:rPr>
      </w:pPr>
      <w:r>
        <w:rPr>
          <w:rFonts w:ascii="微软雅黑" w:hAnsi="微软雅黑" w:eastAsia="微软雅黑" w:cs="宋体"/>
          <w:color w:val="333333"/>
          <w:spacing w:val="8"/>
          <w:kern w:val="0"/>
          <w:sz w:val="26"/>
          <w:szCs w:val="26"/>
        </w:rPr>
        <w:drawing>
          <wp:inline distT="0" distB="0" distL="0" distR="0">
            <wp:extent cx="5274310" cy="2785110"/>
            <wp:effectExtent l="0" t="0" r="2540" b="0"/>
            <wp:docPr id="32" name="图片 32" descr="C:\Users\Administrator\Documents\WeChat Files\ppdeboke\FileStorage\Temp\946fcc490b2b7b50e2ed5bc34a604b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Documents\WeChat Files\ppdeboke\FileStorage\Temp\946fcc490b2b7b50e2ed5bc34a604be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2785495"/>
                    </a:xfrm>
                    <a:prstGeom prst="rect">
                      <a:avLst/>
                    </a:prstGeom>
                    <a:noFill/>
                    <a:ln>
                      <a:noFill/>
                    </a:ln>
                  </pic:spPr>
                </pic:pic>
              </a:graphicData>
            </a:graphic>
          </wp:inline>
        </w:drawing>
      </w:r>
      <w:r>
        <w:rPr>
          <w:rFonts w:ascii="微软雅黑" w:hAnsi="微软雅黑" w:eastAsia="微软雅黑" w:cs="宋体"/>
          <w:color w:val="333333"/>
          <w:spacing w:val="8"/>
          <w:kern w:val="0"/>
          <w:sz w:val="26"/>
          <w:szCs w:val="26"/>
        </w:rPr>
        <mc:AlternateContent>
          <mc:Choice Requires="wps">
            <w:drawing>
              <wp:inline distT="0" distB="0" distL="0" distR="0">
                <wp:extent cx="304800" cy="304800"/>
                <wp:effectExtent l="0" t="0" r="0" b="0"/>
                <wp:docPr id="25" name="矩形 25" descr="https://mmbiz.qpic.cn/mmbiz_jpg/HKOy4YsExrtrRXJ3iaibHvhUpibv7iaGoDpcB8t2Ms8yDxxnnupudRTuEk3xia0M285VDI2ibVnzrnGWfIp1NgdQwkz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_x0000_s1026" o:spid="_x0000_s1026" o:spt="1" alt="https://mmbiz.qpic.cn/mmbiz_jpg/HKOy4YsExrtrRXJ3iaibHvhUpibv7iaGoDpcB8t2Ms8yDxxnnupudRTuEk3xia0M285VDI2ibVnzrnGWfIp1NgdQwkzw/640?wx_fmt=jpeg&amp;tp=webp&amp;wxfrom=5&amp;wx_lazy=1&amp;wx_co=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fMlnTSAAAAAwEAAA8AAAAAAAAA&#10;AQAgAAAAIgAAAGRycy9kb3ducmV2LnhtbFBLAQIUABQAAAAIAIdO4kBz0IWviQIAAJYEAAAOAAAA&#10;AAAAAAEAIAAAACEBAABkcnMvZTJvRG9jLnhtbFBLBQYAAAAABgAGAFkBAAAcBgAAAAA=&#10;">
                <v:fill on="f" focussize="0,0"/>
                <v:stroke on="f"/>
                <v:imagedata o:title=""/>
                <o:lock v:ext="edit" aspectratio="t"/>
                <v:textbox>
                  <w:txbxContent>
                    <w:p>
                      <w:pPr>
                        <w:jc w:val="center"/>
                      </w:pPr>
                    </w:p>
                  </w:txbxContent>
                </v:textbox>
                <w10:wrap type="none"/>
                <w10:anchorlock/>
              </v:rect>
            </w:pict>
          </mc:Fallback>
        </mc:AlternateContent>
      </w:r>
      <w:r>
        <w:rPr>
          <w:rFonts w:hint="eastAsia" w:ascii="微软雅黑" w:hAnsi="微软雅黑" w:eastAsia="微软雅黑" w:cs="宋体"/>
          <w:color w:val="333333"/>
          <w:spacing w:val="8"/>
          <w:kern w:val="0"/>
          <w:szCs w:val="21"/>
        </w:rPr>
        <w:t>来源:米内网终端格局数据库，以平均零售价统计</w:t>
      </w:r>
    </w:p>
    <w:p>
      <w:pPr>
        <w:widowControl/>
        <w:shd w:val="clear" w:color="auto" w:fill="FFFFFF"/>
        <w:ind w:firstLine="560" w:firstLineChars="200"/>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2019年中国实体药店药品销售规模为4057亿元，较2018年增长6.2%，销售规模稳步增长，但增速逐渐放缓。</w:t>
      </w:r>
    </w:p>
    <w:p>
      <w:pPr>
        <w:widowControl/>
        <w:shd w:val="clear" w:color="auto" w:fill="FFFFFF"/>
        <w:rPr>
          <w:rFonts w:ascii="微软雅黑" w:hAnsi="微软雅黑" w:eastAsia="微软雅黑" w:cs="宋体"/>
          <w:color w:val="333333"/>
          <w:spacing w:val="8"/>
          <w:kern w:val="0"/>
          <w:sz w:val="26"/>
          <w:szCs w:val="26"/>
        </w:rPr>
      </w:pPr>
      <w:r>
        <w:rPr>
          <w:rFonts w:hint="eastAsia" w:ascii="微软雅黑" w:hAnsi="微软雅黑" w:eastAsia="微软雅黑" w:cs="宋体"/>
          <w:color w:val="333333"/>
          <w:spacing w:val="8"/>
          <w:kern w:val="0"/>
          <w:sz w:val="23"/>
          <w:szCs w:val="23"/>
        </w:rPr>
        <w:t>图7：2015-2019年中国城市实体药店与县乡村实体药店药品销售额占比</w:t>
      </w:r>
    </w:p>
    <w:p>
      <w:pPr>
        <w:widowControl/>
        <w:shd w:val="clear" w:color="auto" w:fill="FFFFFF"/>
        <w:jc w:val="center"/>
        <w:rPr>
          <w:rFonts w:ascii="微软雅黑" w:hAnsi="微软雅黑" w:eastAsia="微软雅黑" w:cs="宋体"/>
          <w:color w:val="333333"/>
          <w:spacing w:val="8"/>
          <w:kern w:val="0"/>
          <w:sz w:val="26"/>
          <w:szCs w:val="26"/>
        </w:rPr>
      </w:pPr>
      <w:r>
        <w:rPr>
          <w:rFonts w:ascii="微软雅黑" w:hAnsi="微软雅黑" w:eastAsia="微软雅黑" w:cs="宋体"/>
          <w:color w:val="333333"/>
          <w:spacing w:val="8"/>
          <w:kern w:val="0"/>
          <w:sz w:val="26"/>
          <w:szCs w:val="26"/>
        </w:rPr>
        <w:drawing>
          <wp:inline distT="0" distB="0" distL="0" distR="0">
            <wp:extent cx="5274310" cy="2801620"/>
            <wp:effectExtent l="0" t="0" r="2540" b="0"/>
            <wp:docPr id="33" name="图片 33" descr="C:\Users\Administrator\Documents\WeChat Files\ppdeboke\FileStorage\Temp\c43bdaa9989312ba28790a45e084a5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Documents\WeChat Files\ppdeboke\FileStorage\Temp\c43bdaa9989312ba28790a45e084a57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2801977"/>
                    </a:xfrm>
                    <a:prstGeom prst="rect">
                      <a:avLst/>
                    </a:prstGeom>
                    <a:noFill/>
                    <a:ln>
                      <a:noFill/>
                    </a:ln>
                  </pic:spPr>
                </pic:pic>
              </a:graphicData>
            </a:graphic>
          </wp:inline>
        </w:drawing>
      </w:r>
    </w:p>
    <w:p>
      <w:pPr>
        <w:widowControl/>
        <w:shd w:val="clear" w:color="auto" w:fill="FFFFFF"/>
        <w:jc w:val="right"/>
        <w:rPr>
          <w:rFonts w:ascii="微软雅黑" w:hAnsi="微软雅黑" w:eastAsia="微软雅黑" w:cs="宋体"/>
          <w:color w:val="333333"/>
          <w:spacing w:val="8"/>
          <w:kern w:val="0"/>
          <w:sz w:val="26"/>
          <w:szCs w:val="26"/>
        </w:rPr>
      </w:pPr>
      <w:r>
        <w:rPr>
          <w:rFonts w:hint="eastAsia" w:ascii="微软雅黑" w:hAnsi="微软雅黑" w:eastAsia="微软雅黑" w:cs="宋体"/>
          <w:color w:val="333333"/>
          <w:spacing w:val="8"/>
          <w:kern w:val="0"/>
          <w:szCs w:val="21"/>
        </w:rPr>
        <w:t>来源:米内网终端格局数据库，以平均零售价统计</w:t>
      </w:r>
    </w:p>
    <w:p>
      <w:pPr>
        <w:widowControl/>
        <w:shd w:val="clear" w:color="auto" w:fill="FFFFFF"/>
        <w:rPr>
          <w:rFonts w:ascii="微软雅黑" w:hAnsi="微软雅黑" w:eastAsia="微软雅黑" w:cs="宋体"/>
          <w:color w:val="333333"/>
          <w:spacing w:val="8"/>
          <w:kern w:val="0"/>
          <w:sz w:val="26"/>
          <w:szCs w:val="26"/>
        </w:rPr>
      </w:pPr>
      <w:r>
        <w:rPr>
          <w:rFonts w:hint="eastAsia" w:ascii="微软雅黑" w:hAnsi="微软雅黑" w:eastAsia="微软雅黑" w:cs="宋体"/>
          <w:color w:val="333333"/>
          <w:spacing w:val="8"/>
          <w:kern w:val="0"/>
          <w:sz w:val="23"/>
          <w:szCs w:val="23"/>
        </w:rPr>
        <w:t>图8：2015-2019年中国城市实体药店(含地级及以上城市)药品销售情况</w:t>
      </w:r>
    </w:p>
    <w:p>
      <w:pPr>
        <w:widowControl/>
        <w:shd w:val="clear" w:color="auto" w:fill="FFFFFF"/>
        <w:jc w:val="center"/>
        <w:rPr>
          <w:rFonts w:ascii="微软雅黑" w:hAnsi="微软雅黑" w:eastAsia="微软雅黑" w:cs="宋体"/>
          <w:color w:val="333333"/>
          <w:spacing w:val="8"/>
          <w:kern w:val="0"/>
          <w:sz w:val="26"/>
          <w:szCs w:val="26"/>
        </w:rPr>
      </w:pPr>
      <w:r>
        <w:rPr>
          <w:rFonts w:ascii="微软雅黑" w:hAnsi="微软雅黑" w:eastAsia="微软雅黑" w:cs="宋体"/>
          <w:color w:val="333333"/>
          <w:spacing w:val="8"/>
          <w:kern w:val="0"/>
          <w:sz w:val="26"/>
          <w:szCs w:val="26"/>
        </w:rPr>
        <w:drawing>
          <wp:inline distT="0" distB="0" distL="0" distR="0">
            <wp:extent cx="5274310" cy="2801620"/>
            <wp:effectExtent l="0" t="0" r="2540" b="0"/>
            <wp:docPr id="34" name="图片 34" descr="C:\Users\Administrator\Documents\WeChat Files\ppdeboke\FileStorage\Temp\b965cc94bb96ab82ae269d77eceff7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ocuments\WeChat Files\ppdeboke\FileStorage\Temp\b965cc94bb96ab82ae269d77eceff71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2801977"/>
                    </a:xfrm>
                    <a:prstGeom prst="rect">
                      <a:avLst/>
                    </a:prstGeom>
                    <a:noFill/>
                    <a:ln>
                      <a:noFill/>
                    </a:ln>
                  </pic:spPr>
                </pic:pic>
              </a:graphicData>
            </a:graphic>
          </wp:inline>
        </w:drawing>
      </w:r>
    </w:p>
    <w:p>
      <w:pPr>
        <w:widowControl/>
        <w:shd w:val="clear" w:color="auto" w:fill="FFFFFF"/>
        <w:jc w:val="right"/>
        <w:rPr>
          <w:rFonts w:ascii="微软雅黑" w:hAnsi="微软雅黑" w:eastAsia="微软雅黑" w:cs="宋体"/>
          <w:color w:val="333333"/>
          <w:spacing w:val="8"/>
          <w:kern w:val="0"/>
          <w:sz w:val="26"/>
          <w:szCs w:val="26"/>
        </w:rPr>
      </w:pPr>
      <w:r>
        <w:rPr>
          <w:rFonts w:hint="eastAsia" w:ascii="微软雅黑" w:hAnsi="微软雅黑" w:eastAsia="微软雅黑" w:cs="宋体"/>
          <w:color w:val="333333"/>
          <w:spacing w:val="8"/>
          <w:kern w:val="0"/>
          <w:szCs w:val="21"/>
        </w:rPr>
        <w:t>来源:米内网终端格局数据库，以平均零售价统计</w:t>
      </w:r>
    </w:p>
    <w:p>
      <w:pPr>
        <w:widowControl/>
        <w:shd w:val="clear" w:color="auto" w:fill="FFFFFF"/>
        <w:ind w:firstLine="560" w:firstLineChars="200"/>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米内网推出的《中国城市实体药店化学药与中成药终端竞争格局》数据显示，2019年“中国城市实体药店”(指：地级及以上城市实体药店)药品规模占中国实体药店药品规模60.4%；“中国县乡村实体药店”(指：非地级城市，也就是县乡村实体药店)药品规模占比达39.6%。</w:t>
      </w:r>
    </w:p>
    <w:p>
      <w:pPr>
        <w:widowControl/>
        <w:shd w:val="clear" w:color="auto" w:fill="FFFFFF"/>
        <w:rPr>
          <w:rFonts w:ascii="微软雅黑" w:hAnsi="微软雅黑" w:eastAsia="微软雅黑" w:cs="宋体"/>
          <w:color w:val="333333"/>
          <w:spacing w:val="8"/>
          <w:kern w:val="0"/>
          <w:sz w:val="26"/>
          <w:szCs w:val="26"/>
        </w:rPr>
      </w:pPr>
      <w:r>
        <w:rPr>
          <w:rFonts w:hint="eastAsia" w:ascii="微软雅黑" w:hAnsi="微软雅黑" w:eastAsia="微软雅黑" w:cs="宋体"/>
          <w:color w:val="333333"/>
          <w:spacing w:val="8"/>
          <w:kern w:val="0"/>
          <w:sz w:val="23"/>
          <w:szCs w:val="23"/>
        </w:rPr>
        <w:t>图9：2019年中国城市实体药店(含地级及以上城市)中西药以及OTC/Rx市场份额</w:t>
      </w:r>
    </w:p>
    <w:p>
      <w:pPr>
        <w:widowControl/>
        <w:shd w:val="clear" w:color="auto" w:fill="FFFFFF"/>
        <w:jc w:val="center"/>
        <w:rPr>
          <w:rFonts w:ascii="微软雅黑" w:hAnsi="微软雅黑" w:eastAsia="微软雅黑" w:cs="宋体"/>
          <w:color w:val="333333"/>
          <w:spacing w:val="8"/>
          <w:kern w:val="0"/>
          <w:sz w:val="26"/>
          <w:szCs w:val="26"/>
        </w:rPr>
      </w:pPr>
      <w:r>
        <w:rPr>
          <w:rFonts w:ascii="微软雅黑" w:hAnsi="微软雅黑" w:eastAsia="微软雅黑" w:cs="宋体"/>
          <w:color w:val="333333"/>
          <w:spacing w:val="8"/>
          <w:kern w:val="0"/>
          <w:sz w:val="26"/>
          <w:szCs w:val="26"/>
        </w:rPr>
        <w:drawing>
          <wp:inline distT="0" distB="0" distL="0" distR="0">
            <wp:extent cx="5274310" cy="1985645"/>
            <wp:effectExtent l="0" t="0" r="2540" b="0"/>
            <wp:docPr id="35" name="图片 35" descr="C:\Users\Administrator\Documents\WeChat Files\ppdeboke\FileStorage\Temp\9fcda9f9630ab158a53ba84814716e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Documents\WeChat Files\ppdeboke\FileStorage\Temp\9fcda9f9630ab158a53ba84814716ee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1986107"/>
                    </a:xfrm>
                    <a:prstGeom prst="rect">
                      <a:avLst/>
                    </a:prstGeom>
                    <a:noFill/>
                    <a:ln>
                      <a:noFill/>
                    </a:ln>
                  </pic:spPr>
                </pic:pic>
              </a:graphicData>
            </a:graphic>
          </wp:inline>
        </w:drawing>
      </w:r>
    </w:p>
    <w:p>
      <w:pPr>
        <w:widowControl/>
        <w:shd w:val="clear" w:color="auto" w:fill="FFFFFF"/>
        <w:jc w:val="right"/>
        <w:rPr>
          <w:rFonts w:ascii="微软雅黑" w:hAnsi="微软雅黑" w:eastAsia="微软雅黑" w:cs="宋体"/>
          <w:color w:val="333333"/>
          <w:spacing w:val="8"/>
          <w:kern w:val="0"/>
          <w:sz w:val="26"/>
          <w:szCs w:val="26"/>
        </w:rPr>
      </w:pPr>
      <w:r>
        <w:rPr>
          <w:rFonts w:hint="eastAsia" w:ascii="微软雅黑" w:hAnsi="微软雅黑" w:eastAsia="微软雅黑" w:cs="宋体"/>
          <w:color w:val="333333"/>
          <w:spacing w:val="8"/>
          <w:kern w:val="0"/>
          <w:szCs w:val="21"/>
        </w:rPr>
        <w:t>来源:米内网终端格局数据库，以平均零售价统计</w:t>
      </w:r>
    </w:p>
    <w:p>
      <w:pPr>
        <w:widowControl/>
        <w:shd w:val="clear" w:color="auto" w:fill="FFFFFF"/>
        <w:ind w:firstLine="560" w:firstLineChars="200"/>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2019年中国城市实体药店(含地级及以上城市)药品销售规模中，化学药占比54.5%，较2018年上升3.2个百分点；此消彼长之下，中成药占比下滑至45.5%。从药品类型看，处方药占半壁江山，市场份额为51.0%，较2018年上升2.7个百分点，非处方药占39.8%，双跨占9.2%，可见处方外流成效显著，DTP药房等院外渠道做出的贡献也愈发明显。</w:t>
      </w:r>
    </w:p>
    <w:p>
      <w:pPr>
        <w:widowControl/>
        <w:shd w:val="clear" w:color="auto" w:fill="FFFFFF"/>
        <w:rPr>
          <w:rFonts w:ascii="微软雅黑" w:hAnsi="微软雅黑" w:eastAsia="微软雅黑" w:cs="宋体"/>
          <w:color w:val="333333"/>
          <w:spacing w:val="8"/>
          <w:kern w:val="0"/>
          <w:sz w:val="26"/>
          <w:szCs w:val="26"/>
        </w:rPr>
      </w:pPr>
      <w:r>
        <w:rPr>
          <w:rFonts w:hint="eastAsia" w:ascii="微软雅黑" w:hAnsi="微软雅黑" w:eastAsia="微软雅黑" w:cs="宋体"/>
          <w:b/>
          <w:bCs/>
          <w:color w:val="1C7B86"/>
          <w:spacing w:val="8"/>
          <w:kern w:val="0"/>
          <w:sz w:val="24"/>
          <w:szCs w:val="24"/>
        </w:rPr>
        <w:t>17个超10亿！品牌TOP20亮眼</w:t>
      </w:r>
    </w:p>
    <w:p>
      <w:pPr>
        <w:widowControl/>
        <w:shd w:val="clear" w:color="auto" w:fill="FFFFFF"/>
        <w:rPr>
          <w:rFonts w:ascii="微软雅黑" w:hAnsi="微软雅黑" w:eastAsia="微软雅黑" w:cs="宋体"/>
          <w:color w:val="333333"/>
          <w:spacing w:val="8"/>
          <w:kern w:val="0"/>
          <w:sz w:val="26"/>
          <w:szCs w:val="26"/>
        </w:rPr>
      </w:pPr>
      <w:r>
        <w:rPr>
          <w:rFonts w:hint="eastAsia" w:ascii="微软雅黑" w:hAnsi="微软雅黑" w:eastAsia="微软雅黑" w:cs="宋体"/>
          <w:color w:val="333333"/>
          <w:spacing w:val="8"/>
          <w:kern w:val="0"/>
          <w:sz w:val="23"/>
          <w:szCs w:val="23"/>
        </w:rPr>
        <w:t>表1:2019年中国城市实体药店(含地级及以上城市)最畅销品牌TOP20</w:t>
      </w:r>
    </w:p>
    <w:p>
      <w:pPr>
        <w:widowControl/>
        <w:shd w:val="clear" w:color="auto" w:fill="FFFFFF"/>
        <w:jc w:val="right"/>
        <w:rPr>
          <w:rFonts w:ascii="微软雅黑" w:hAnsi="微软雅黑" w:eastAsia="微软雅黑" w:cs="宋体"/>
          <w:color w:val="333333"/>
          <w:spacing w:val="8"/>
          <w:kern w:val="0"/>
          <w:sz w:val="26"/>
          <w:szCs w:val="26"/>
        </w:rPr>
      </w:pPr>
      <w:r>
        <w:rPr>
          <w:rFonts w:ascii="微软雅黑" w:hAnsi="微软雅黑" w:eastAsia="微软雅黑" w:cs="宋体"/>
          <w:color w:val="333333"/>
          <w:spacing w:val="8"/>
          <w:kern w:val="0"/>
          <w:sz w:val="26"/>
          <w:szCs w:val="26"/>
        </w:rPr>
        <w:drawing>
          <wp:inline distT="0" distB="0" distL="0" distR="0">
            <wp:extent cx="4996180" cy="5038725"/>
            <wp:effectExtent l="0" t="0" r="0" b="0"/>
            <wp:docPr id="36" name="图片 36" descr="C:\Users\Administrator\Documents\WeChat Files\ppdeboke\FileStorage\Temp\208325b3286ed5c7b37d498238f19b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Documents\WeChat Files\ppdeboke\FileStorage\Temp\208325b3286ed5c7b37d498238f19b2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000293" cy="5042460"/>
                    </a:xfrm>
                    <a:prstGeom prst="rect">
                      <a:avLst/>
                    </a:prstGeom>
                    <a:noFill/>
                    <a:ln>
                      <a:noFill/>
                    </a:ln>
                  </pic:spPr>
                </pic:pic>
              </a:graphicData>
            </a:graphic>
          </wp:inline>
        </w:drawing>
      </w:r>
      <w:r>
        <w:rPr>
          <w:rFonts w:ascii="微软雅黑" w:hAnsi="微软雅黑" w:eastAsia="微软雅黑" w:cs="宋体"/>
          <w:color w:val="333333"/>
          <w:spacing w:val="8"/>
          <w:kern w:val="0"/>
          <w:sz w:val="26"/>
          <w:szCs w:val="26"/>
        </w:rPr>
        <mc:AlternateContent>
          <mc:Choice Requires="wps">
            <w:drawing>
              <wp:inline distT="0" distB="0" distL="0" distR="0">
                <wp:extent cx="304800" cy="304800"/>
                <wp:effectExtent l="0" t="0" r="0" b="0"/>
                <wp:docPr id="26" name="矩形 26" descr="https://mmbiz.qpic.cn/mmbiz_jpg/HKOy4YsExrtrRXJ3iaibHvhUpibv7iaGoDpcG7yiaFMZFWJ9DDwia9rdPkpLTKpWd2thYBawhuaauh3ia8LUDnzp35OHQ/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_x0000_s1026" o:spid="_x0000_s1026" o:spt="1" alt="https://mmbiz.qpic.cn/mmbiz_jpg/HKOy4YsExrtrRXJ3iaibHvhUpibv7iaGoDpcG7yiaFMZFWJ9DDwia9rdPkpLTKpWd2thYBawhuaauh3ia8LUDnzp35OHQ/640?wx_fmt=jpeg&amp;tp=webp&amp;wxfrom=5&amp;wx_lazy=1&amp;wx_co=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fMlnTSAAAAAwEAAA8AAAAA&#10;AAAAAQAgAAAAIgAAAGRycy9kb3ducmV2LnhtbFBLAQIUABQAAAAIAIdO4kAU/tNVjAIAAJcEAAAO&#10;AAAAAAAAAAEAIAAAACEBAABkcnMvZTJvRG9jLnhtbFBLBQYAAAAABgAGAFkBAAAfBgAAAAA=&#10;">
                <v:fill on="f" focussize="0,0"/>
                <v:stroke on="f"/>
                <v:imagedata o:title=""/>
                <o:lock v:ext="edit" aspectratio="t"/>
                <v:textbox>
                  <w:txbxContent>
                    <w:p>
                      <w:pPr>
                        <w:jc w:val="center"/>
                      </w:pPr>
                    </w:p>
                  </w:txbxContent>
                </v:textbox>
                <w10:wrap type="none"/>
                <w10:anchorlock/>
              </v:rect>
            </w:pict>
          </mc:Fallback>
        </mc:AlternateContent>
      </w:r>
      <w:r>
        <w:rPr>
          <w:rFonts w:hint="eastAsia" w:ascii="微软雅黑" w:hAnsi="微软雅黑" w:eastAsia="微软雅黑" w:cs="宋体"/>
          <w:color w:val="333333"/>
          <w:spacing w:val="8"/>
          <w:kern w:val="0"/>
          <w:szCs w:val="21"/>
        </w:rPr>
        <w:t>来源:米内网终端格局数据库，以平均零售价统计</w:t>
      </w:r>
    </w:p>
    <w:p>
      <w:pPr>
        <w:widowControl/>
        <w:shd w:val="clear" w:color="auto" w:fill="FFFFFF"/>
        <w:rPr>
          <w:rFonts w:ascii="微软雅黑" w:hAnsi="微软雅黑" w:eastAsia="微软雅黑" w:cs="宋体"/>
          <w:color w:val="333333"/>
          <w:spacing w:val="8"/>
          <w:kern w:val="0"/>
          <w:sz w:val="26"/>
          <w:szCs w:val="26"/>
        </w:rPr>
      </w:pPr>
      <w:r>
        <w:rPr>
          <w:rFonts w:hint="eastAsia" w:ascii="微软雅黑" w:hAnsi="微软雅黑" w:eastAsia="微软雅黑" w:cs="宋体"/>
          <w:b/>
          <w:bCs/>
          <w:color w:val="1C7B86"/>
          <w:spacing w:val="8"/>
          <w:kern w:val="0"/>
          <w:sz w:val="24"/>
          <w:szCs w:val="24"/>
        </w:rPr>
        <w:t>华润、辉瑞、广药……领军企业TOP20</w:t>
      </w:r>
    </w:p>
    <w:p>
      <w:pPr>
        <w:widowControl/>
        <w:shd w:val="clear" w:color="auto" w:fill="FFFFFF"/>
        <w:rPr>
          <w:rFonts w:ascii="微软雅黑" w:hAnsi="微软雅黑" w:eastAsia="微软雅黑" w:cs="宋体"/>
          <w:color w:val="333333"/>
          <w:spacing w:val="8"/>
          <w:kern w:val="0"/>
          <w:sz w:val="26"/>
          <w:szCs w:val="26"/>
        </w:rPr>
      </w:pPr>
      <w:r>
        <w:rPr>
          <w:rFonts w:hint="eastAsia" w:ascii="微软雅黑" w:hAnsi="微软雅黑" w:eastAsia="微软雅黑" w:cs="宋体"/>
          <w:color w:val="333333"/>
          <w:spacing w:val="8"/>
          <w:kern w:val="0"/>
          <w:sz w:val="23"/>
          <w:szCs w:val="23"/>
        </w:rPr>
        <w:t>表2:2019年中国城市实体药店(含地级及以上城市)最畅销企业TOP20</w:t>
      </w:r>
    </w:p>
    <w:p>
      <w:pPr>
        <w:widowControl/>
        <w:shd w:val="clear" w:color="auto" w:fill="FFFFFF"/>
        <w:jc w:val="center"/>
        <w:rPr>
          <w:rFonts w:ascii="微软雅黑" w:hAnsi="微软雅黑" w:eastAsia="微软雅黑" w:cs="宋体"/>
          <w:color w:val="333333"/>
          <w:spacing w:val="8"/>
          <w:kern w:val="0"/>
          <w:sz w:val="26"/>
          <w:szCs w:val="26"/>
        </w:rPr>
      </w:pPr>
      <w:r>
        <w:rPr>
          <w:rFonts w:ascii="微软雅黑" w:hAnsi="微软雅黑" w:eastAsia="微软雅黑" w:cs="宋体"/>
          <w:color w:val="333333"/>
          <w:spacing w:val="8"/>
          <w:kern w:val="0"/>
          <w:sz w:val="26"/>
          <w:szCs w:val="26"/>
        </w:rPr>
        <w:drawing>
          <wp:inline distT="0" distB="0" distL="0" distR="0">
            <wp:extent cx="5274310" cy="5546090"/>
            <wp:effectExtent l="0" t="0" r="2540" b="0"/>
            <wp:docPr id="37" name="图片 37" descr="C:\Users\Administrator\Documents\WeChat Files\ppdeboke\FileStorage\Temp\be3a1ff4881ad5829d25bf5c363c4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Documents\WeChat Files\ppdeboke\FileStorage\Temp\be3a1ff4881ad5829d25bf5c363c461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5546267"/>
                    </a:xfrm>
                    <a:prstGeom prst="rect">
                      <a:avLst/>
                    </a:prstGeom>
                    <a:noFill/>
                    <a:ln>
                      <a:noFill/>
                    </a:ln>
                  </pic:spPr>
                </pic:pic>
              </a:graphicData>
            </a:graphic>
          </wp:inline>
        </w:drawing>
      </w:r>
    </w:p>
    <w:p>
      <w:pPr>
        <w:widowControl/>
        <w:shd w:val="clear" w:color="auto" w:fill="FFFFFF"/>
        <w:jc w:val="right"/>
        <w:rPr>
          <w:rFonts w:ascii="微软雅黑" w:hAnsi="微软雅黑" w:eastAsia="微软雅黑" w:cs="宋体"/>
          <w:color w:val="333333"/>
          <w:spacing w:val="8"/>
          <w:kern w:val="0"/>
          <w:sz w:val="26"/>
          <w:szCs w:val="26"/>
        </w:rPr>
      </w:pPr>
      <w:r>
        <w:rPr>
          <w:rFonts w:hint="eastAsia" w:ascii="微软雅黑" w:hAnsi="微软雅黑" w:eastAsia="微软雅黑" w:cs="宋体"/>
          <w:color w:val="333333"/>
          <w:spacing w:val="8"/>
          <w:kern w:val="0"/>
          <w:szCs w:val="21"/>
        </w:rPr>
        <w:t>来源:米内网终端格局数据库，以平均零售价统计</w:t>
      </w:r>
    </w:p>
    <w:p>
      <w:pPr>
        <w:widowControl/>
        <w:shd w:val="clear" w:color="auto" w:fill="FFFFFF"/>
        <w:ind w:firstLine="560" w:firstLineChars="200"/>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2019年中国城市实体药店(含地级及以上城市)最畅销企业TOP20门槛为25.1亿元，TOP20企业合计销售额超过900亿元。跨国药企近年来对中国市场的关注度逐渐加大，尤其在国家集采、一致性评价的冲击下，从以往全力进军医院终端，开始组建精锐团队加大力度在零售市场进行产品推广及布局，尤其是在处方外流的背景下，跨国药企凭借多年积累的品牌口碑，更容易被患者接纳。TOP20最畅销企业中有8家为跨国药企，2019年的销售额增速均为正值。</w:t>
      </w:r>
    </w:p>
    <w:p>
      <w:pPr>
        <w:widowControl/>
        <w:shd w:val="clear" w:color="auto" w:fill="FFFFFF"/>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结语</w:t>
      </w:r>
    </w:p>
    <w:p>
      <w:pPr>
        <w:widowControl/>
        <w:shd w:val="clear" w:color="auto" w:fill="FFFFFF"/>
        <w:ind w:firstLine="560" w:firstLineChars="200"/>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近年来，随着公立医院改革、医保控费、药品集采等政策的持续推进，零售药店逐步发展成为提供药品、医疗器械、保健品等健康产品和服务的重要载体。随着行业集中度的提升，区域性、全国性的医药零售连锁企业逐步形成，企业已从价格竞争逐步转变为差异化竞争，如何在激烈的市场竞争中砥砺前行则是企业应该去思考的问题。</w:t>
      </w:r>
    </w:p>
    <w:p>
      <w:pPr>
        <w:widowControl/>
        <w:shd w:val="clear" w:color="auto" w:fill="FFFFFF"/>
        <w:ind w:firstLine="560" w:firstLineChars="200"/>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数据说明：米内网《中国城市实体药店化学药与中成药终端竞争格局》中，所指“城市”的统计范围是：293个地市及以上城市，即中国所有地级及以上城市的实体药店(不含县乡村实体药店);上述销售额以产品在终端的平均零售价计算。</w:t>
      </w:r>
    </w:p>
    <w:p>
      <w:pPr>
        <w:widowControl/>
        <w:spacing w:before="100" w:beforeAutospacing="1" w:after="100" w:afterAutospacing="1" w:line="900" w:lineRule="atLeast"/>
        <w:outlineLvl w:val="1"/>
        <w:rPr>
          <w:rFonts w:cs="宋体" w:asciiTheme="minorEastAsia" w:hAnsiTheme="minorEastAsia"/>
          <w:spacing w:val="8"/>
          <w:sz w:val="28"/>
          <w:szCs w:val="28"/>
        </w:rPr>
      </w:pPr>
    </w:p>
    <w:sectPr>
      <w:footerReference r:id="rId3" w:type="default"/>
      <w:pgSz w:w="11906" w:h="16838"/>
      <w:pgMar w:top="1440" w:right="1797" w:bottom="1134" w:left="1797"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Heiti SC Light">
    <w:altName w:val="Arial Unicode MS"/>
    <w:panose1 w:val="00000000000000000000"/>
    <w:charset w:val="50"/>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Arial Unicode MS">
    <w:panose1 w:val="020B0604020202020204"/>
    <w:charset w:val="86"/>
    <w:family w:val="auto"/>
    <w:pitch w:val="default"/>
    <w:sig w:usb0="FFFFFFFF" w:usb1="E9FFFFFF" w:usb2="0000003F" w:usb3="00000000" w:csb0="603F01FF" w:csb1="FFFF0000"/>
  </w:font>
  <w:font w:name="Arial Unicode MS">
    <w:panose1 w:val="020B0604020202020204"/>
    <w:charset w:val="50"/>
    <w:family w:val="auto"/>
    <w:pitch w:val="default"/>
    <w:sig w:usb0="FFFFFFFF" w:usb1="E9FFFFFF" w:usb2="0000003F" w:usb3="00000000" w:csb0="603F01FF" w:csb1="FFFF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174036"/>
      <w:docPartObj>
        <w:docPartGallery w:val="autotext"/>
      </w:docPartObj>
    </w:sdtPr>
    <w:sdtContent>
      <w:p>
        <w:pPr>
          <w:pStyle w:val="6"/>
          <w:jc w:val="center"/>
        </w:pPr>
        <w:r>
          <w:fldChar w:fldCharType="begin"/>
        </w:r>
        <w:r>
          <w:instrText xml:space="preserve"> PAGE   \* MERGEFORMAT </w:instrText>
        </w:r>
        <w:r>
          <w:fldChar w:fldCharType="separate"/>
        </w:r>
        <w:r>
          <w:rPr>
            <w:lang w:val="zh-CN"/>
          </w:rPr>
          <w:t>37</w:t>
        </w:r>
        <w:r>
          <w:rPr>
            <w:lang w:val="zh-CN"/>
          </w:rPr>
          <w:fldChar w:fldCharType="end"/>
        </w:r>
      </w:p>
    </w:sdtContent>
  </w:sdt>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913"/>
    <w:rsid w:val="00001BFB"/>
    <w:rsid w:val="000022E3"/>
    <w:rsid w:val="000024F5"/>
    <w:rsid w:val="00002766"/>
    <w:rsid w:val="000039EE"/>
    <w:rsid w:val="00003F1F"/>
    <w:rsid w:val="000052F1"/>
    <w:rsid w:val="00005C14"/>
    <w:rsid w:val="00010051"/>
    <w:rsid w:val="000100BC"/>
    <w:rsid w:val="000113BB"/>
    <w:rsid w:val="00011510"/>
    <w:rsid w:val="00011729"/>
    <w:rsid w:val="000128A3"/>
    <w:rsid w:val="000146CA"/>
    <w:rsid w:val="00015379"/>
    <w:rsid w:val="000155B7"/>
    <w:rsid w:val="0001575A"/>
    <w:rsid w:val="00015A5C"/>
    <w:rsid w:val="00015D57"/>
    <w:rsid w:val="000175C9"/>
    <w:rsid w:val="00017C59"/>
    <w:rsid w:val="00017FF3"/>
    <w:rsid w:val="000208A4"/>
    <w:rsid w:val="00022B29"/>
    <w:rsid w:val="00022D08"/>
    <w:rsid w:val="0002356D"/>
    <w:rsid w:val="0002364C"/>
    <w:rsid w:val="0002670E"/>
    <w:rsid w:val="0002785C"/>
    <w:rsid w:val="00027E7A"/>
    <w:rsid w:val="00031218"/>
    <w:rsid w:val="0003140E"/>
    <w:rsid w:val="00031F9A"/>
    <w:rsid w:val="000323D0"/>
    <w:rsid w:val="00032702"/>
    <w:rsid w:val="00032748"/>
    <w:rsid w:val="00032D3A"/>
    <w:rsid w:val="00032F39"/>
    <w:rsid w:val="00033524"/>
    <w:rsid w:val="000341C2"/>
    <w:rsid w:val="000348FD"/>
    <w:rsid w:val="000352F5"/>
    <w:rsid w:val="00035AF1"/>
    <w:rsid w:val="00035BE2"/>
    <w:rsid w:val="00035C5A"/>
    <w:rsid w:val="00035CD4"/>
    <w:rsid w:val="00036356"/>
    <w:rsid w:val="0003643D"/>
    <w:rsid w:val="00036535"/>
    <w:rsid w:val="00040400"/>
    <w:rsid w:val="00040A70"/>
    <w:rsid w:val="00040DA8"/>
    <w:rsid w:val="000417F0"/>
    <w:rsid w:val="000420F3"/>
    <w:rsid w:val="000436FE"/>
    <w:rsid w:val="000454E9"/>
    <w:rsid w:val="000459E3"/>
    <w:rsid w:val="00047695"/>
    <w:rsid w:val="00050CCD"/>
    <w:rsid w:val="00050E0C"/>
    <w:rsid w:val="00051091"/>
    <w:rsid w:val="00053A0E"/>
    <w:rsid w:val="00053CCF"/>
    <w:rsid w:val="00053D46"/>
    <w:rsid w:val="00055025"/>
    <w:rsid w:val="0005614E"/>
    <w:rsid w:val="000561FD"/>
    <w:rsid w:val="0005653C"/>
    <w:rsid w:val="0005678D"/>
    <w:rsid w:val="00056ADA"/>
    <w:rsid w:val="00057226"/>
    <w:rsid w:val="00057394"/>
    <w:rsid w:val="00057873"/>
    <w:rsid w:val="00057E16"/>
    <w:rsid w:val="00060194"/>
    <w:rsid w:val="00060829"/>
    <w:rsid w:val="00060B4E"/>
    <w:rsid w:val="00060DB6"/>
    <w:rsid w:val="00060E3A"/>
    <w:rsid w:val="00060F2A"/>
    <w:rsid w:val="000612FF"/>
    <w:rsid w:val="00061883"/>
    <w:rsid w:val="0006228B"/>
    <w:rsid w:val="000627A5"/>
    <w:rsid w:val="000629CC"/>
    <w:rsid w:val="00063B74"/>
    <w:rsid w:val="000644AD"/>
    <w:rsid w:val="00064FF9"/>
    <w:rsid w:val="000660CF"/>
    <w:rsid w:val="00066B1E"/>
    <w:rsid w:val="00067203"/>
    <w:rsid w:val="0007054B"/>
    <w:rsid w:val="00070668"/>
    <w:rsid w:val="00070C62"/>
    <w:rsid w:val="00072506"/>
    <w:rsid w:val="0007440C"/>
    <w:rsid w:val="00074962"/>
    <w:rsid w:val="0007594B"/>
    <w:rsid w:val="00076278"/>
    <w:rsid w:val="00076422"/>
    <w:rsid w:val="00076AA0"/>
    <w:rsid w:val="00077AA6"/>
    <w:rsid w:val="00081C4C"/>
    <w:rsid w:val="0008296C"/>
    <w:rsid w:val="00082B25"/>
    <w:rsid w:val="00082D82"/>
    <w:rsid w:val="0008334C"/>
    <w:rsid w:val="00084851"/>
    <w:rsid w:val="000853DB"/>
    <w:rsid w:val="000855A7"/>
    <w:rsid w:val="00085664"/>
    <w:rsid w:val="00085999"/>
    <w:rsid w:val="00086182"/>
    <w:rsid w:val="00086257"/>
    <w:rsid w:val="00086383"/>
    <w:rsid w:val="0008668C"/>
    <w:rsid w:val="00087C0D"/>
    <w:rsid w:val="00087E46"/>
    <w:rsid w:val="00087FA7"/>
    <w:rsid w:val="00090C13"/>
    <w:rsid w:val="00091146"/>
    <w:rsid w:val="0009141B"/>
    <w:rsid w:val="0009174A"/>
    <w:rsid w:val="00091FFC"/>
    <w:rsid w:val="00093A40"/>
    <w:rsid w:val="00093CBF"/>
    <w:rsid w:val="00093E3A"/>
    <w:rsid w:val="00094515"/>
    <w:rsid w:val="000953D3"/>
    <w:rsid w:val="00096C9C"/>
    <w:rsid w:val="00097D5A"/>
    <w:rsid w:val="000A003B"/>
    <w:rsid w:val="000A0979"/>
    <w:rsid w:val="000A0C20"/>
    <w:rsid w:val="000A1603"/>
    <w:rsid w:val="000A1660"/>
    <w:rsid w:val="000A1AFA"/>
    <w:rsid w:val="000A1B47"/>
    <w:rsid w:val="000A202A"/>
    <w:rsid w:val="000A2150"/>
    <w:rsid w:val="000A23F5"/>
    <w:rsid w:val="000A49A4"/>
    <w:rsid w:val="000A634C"/>
    <w:rsid w:val="000A6BFA"/>
    <w:rsid w:val="000A7367"/>
    <w:rsid w:val="000B0A67"/>
    <w:rsid w:val="000B3940"/>
    <w:rsid w:val="000B3F1B"/>
    <w:rsid w:val="000B4EC5"/>
    <w:rsid w:val="000B53B1"/>
    <w:rsid w:val="000B5C93"/>
    <w:rsid w:val="000B6825"/>
    <w:rsid w:val="000B6B78"/>
    <w:rsid w:val="000C2567"/>
    <w:rsid w:val="000C47AA"/>
    <w:rsid w:val="000C4E05"/>
    <w:rsid w:val="000C682D"/>
    <w:rsid w:val="000C6AFC"/>
    <w:rsid w:val="000C6FFF"/>
    <w:rsid w:val="000C7C03"/>
    <w:rsid w:val="000D041E"/>
    <w:rsid w:val="000D0824"/>
    <w:rsid w:val="000D0D8A"/>
    <w:rsid w:val="000D1C31"/>
    <w:rsid w:val="000D246E"/>
    <w:rsid w:val="000D28F7"/>
    <w:rsid w:val="000D56A1"/>
    <w:rsid w:val="000D5A1A"/>
    <w:rsid w:val="000D61D0"/>
    <w:rsid w:val="000D6AB0"/>
    <w:rsid w:val="000D76C3"/>
    <w:rsid w:val="000E0059"/>
    <w:rsid w:val="000E05FD"/>
    <w:rsid w:val="000E11A9"/>
    <w:rsid w:val="000E1243"/>
    <w:rsid w:val="000E16A0"/>
    <w:rsid w:val="000E251E"/>
    <w:rsid w:val="000E2955"/>
    <w:rsid w:val="000E2B6C"/>
    <w:rsid w:val="000E42C0"/>
    <w:rsid w:val="000E4895"/>
    <w:rsid w:val="000E4A5E"/>
    <w:rsid w:val="000E5D58"/>
    <w:rsid w:val="000E6245"/>
    <w:rsid w:val="000E79CF"/>
    <w:rsid w:val="000F0270"/>
    <w:rsid w:val="000F07CE"/>
    <w:rsid w:val="000F0AF0"/>
    <w:rsid w:val="000F0C17"/>
    <w:rsid w:val="000F0F23"/>
    <w:rsid w:val="000F1D22"/>
    <w:rsid w:val="000F2C6A"/>
    <w:rsid w:val="000F32F6"/>
    <w:rsid w:val="000F33C1"/>
    <w:rsid w:val="000F43A9"/>
    <w:rsid w:val="000F55D2"/>
    <w:rsid w:val="000F6444"/>
    <w:rsid w:val="000F6846"/>
    <w:rsid w:val="000F6ACA"/>
    <w:rsid w:val="000F6D53"/>
    <w:rsid w:val="000F724C"/>
    <w:rsid w:val="001016A6"/>
    <w:rsid w:val="00101B15"/>
    <w:rsid w:val="001031E5"/>
    <w:rsid w:val="001032B8"/>
    <w:rsid w:val="00103BC3"/>
    <w:rsid w:val="00103DAD"/>
    <w:rsid w:val="00104ACF"/>
    <w:rsid w:val="00105135"/>
    <w:rsid w:val="001056A9"/>
    <w:rsid w:val="00105CE5"/>
    <w:rsid w:val="001069F4"/>
    <w:rsid w:val="0010723C"/>
    <w:rsid w:val="00107268"/>
    <w:rsid w:val="001110C3"/>
    <w:rsid w:val="0011189B"/>
    <w:rsid w:val="00113937"/>
    <w:rsid w:val="00113DC5"/>
    <w:rsid w:val="00114185"/>
    <w:rsid w:val="00114802"/>
    <w:rsid w:val="001149F4"/>
    <w:rsid w:val="001173FB"/>
    <w:rsid w:val="00117A35"/>
    <w:rsid w:val="0012030B"/>
    <w:rsid w:val="00120A62"/>
    <w:rsid w:val="00121C29"/>
    <w:rsid w:val="00122376"/>
    <w:rsid w:val="00122583"/>
    <w:rsid w:val="001225B1"/>
    <w:rsid w:val="001228C5"/>
    <w:rsid w:val="00123126"/>
    <w:rsid w:val="00123D5A"/>
    <w:rsid w:val="0012415F"/>
    <w:rsid w:val="00124221"/>
    <w:rsid w:val="00125020"/>
    <w:rsid w:val="00126255"/>
    <w:rsid w:val="00126BF8"/>
    <w:rsid w:val="0012750C"/>
    <w:rsid w:val="0012752B"/>
    <w:rsid w:val="00127A07"/>
    <w:rsid w:val="0013048B"/>
    <w:rsid w:val="00130EEA"/>
    <w:rsid w:val="00131CBA"/>
    <w:rsid w:val="00131EC6"/>
    <w:rsid w:val="00132673"/>
    <w:rsid w:val="001326AA"/>
    <w:rsid w:val="00133315"/>
    <w:rsid w:val="00136D64"/>
    <w:rsid w:val="001403FA"/>
    <w:rsid w:val="001407D8"/>
    <w:rsid w:val="0014087D"/>
    <w:rsid w:val="001424A8"/>
    <w:rsid w:val="0014298A"/>
    <w:rsid w:val="00142E3F"/>
    <w:rsid w:val="00144ECC"/>
    <w:rsid w:val="00145DB1"/>
    <w:rsid w:val="001460BB"/>
    <w:rsid w:val="001466DA"/>
    <w:rsid w:val="00146CD9"/>
    <w:rsid w:val="00147260"/>
    <w:rsid w:val="00147B39"/>
    <w:rsid w:val="001500A3"/>
    <w:rsid w:val="00150113"/>
    <w:rsid w:val="00150FFB"/>
    <w:rsid w:val="00151A04"/>
    <w:rsid w:val="00152AE5"/>
    <w:rsid w:val="00152C40"/>
    <w:rsid w:val="00152E4E"/>
    <w:rsid w:val="0015388E"/>
    <w:rsid w:val="00153D1C"/>
    <w:rsid w:val="00154F45"/>
    <w:rsid w:val="0015554A"/>
    <w:rsid w:val="00155BAD"/>
    <w:rsid w:val="001563A0"/>
    <w:rsid w:val="00156883"/>
    <w:rsid w:val="001578CA"/>
    <w:rsid w:val="001608F2"/>
    <w:rsid w:val="00162ADF"/>
    <w:rsid w:val="00162DBC"/>
    <w:rsid w:val="001630AD"/>
    <w:rsid w:val="001639CA"/>
    <w:rsid w:val="00163BDD"/>
    <w:rsid w:val="00163DA7"/>
    <w:rsid w:val="001642EC"/>
    <w:rsid w:val="00164597"/>
    <w:rsid w:val="00164B58"/>
    <w:rsid w:val="00164C43"/>
    <w:rsid w:val="00165C37"/>
    <w:rsid w:val="001670DA"/>
    <w:rsid w:val="0017152E"/>
    <w:rsid w:val="00171A68"/>
    <w:rsid w:val="001739AD"/>
    <w:rsid w:val="00173C28"/>
    <w:rsid w:val="0017408C"/>
    <w:rsid w:val="0017457B"/>
    <w:rsid w:val="00175134"/>
    <w:rsid w:val="001767E5"/>
    <w:rsid w:val="0018153F"/>
    <w:rsid w:val="0018160E"/>
    <w:rsid w:val="00181800"/>
    <w:rsid w:val="0018452F"/>
    <w:rsid w:val="00185B3C"/>
    <w:rsid w:val="00186072"/>
    <w:rsid w:val="0018620F"/>
    <w:rsid w:val="001864C9"/>
    <w:rsid w:val="00187303"/>
    <w:rsid w:val="001903A2"/>
    <w:rsid w:val="001905DD"/>
    <w:rsid w:val="001908AB"/>
    <w:rsid w:val="00190927"/>
    <w:rsid w:val="00190F6E"/>
    <w:rsid w:val="001919F5"/>
    <w:rsid w:val="00191FD5"/>
    <w:rsid w:val="0019335B"/>
    <w:rsid w:val="00193B69"/>
    <w:rsid w:val="00193F34"/>
    <w:rsid w:val="0019486C"/>
    <w:rsid w:val="00195DC1"/>
    <w:rsid w:val="001962FE"/>
    <w:rsid w:val="001A038F"/>
    <w:rsid w:val="001A0497"/>
    <w:rsid w:val="001A1C96"/>
    <w:rsid w:val="001A301E"/>
    <w:rsid w:val="001A354B"/>
    <w:rsid w:val="001A354F"/>
    <w:rsid w:val="001A47B2"/>
    <w:rsid w:val="001A4F2B"/>
    <w:rsid w:val="001A4F78"/>
    <w:rsid w:val="001A510C"/>
    <w:rsid w:val="001A5FCE"/>
    <w:rsid w:val="001A621D"/>
    <w:rsid w:val="001B0448"/>
    <w:rsid w:val="001B07E5"/>
    <w:rsid w:val="001B0EFF"/>
    <w:rsid w:val="001B1726"/>
    <w:rsid w:val="001B1E70"/>
    <w:rsid w:val="001B2160"/>
    <w:rsid w:val="001B25B6"/>
    <w:rsid w:val="001B3741"/>
    <w:rsid w:val="001B3846"/>
    <w:rsid w:val="001B4721"/>
    <w:rsid w:val="001B544A"/>
    <w:rsid w:val="001B5720"/>
    <w:rsid w:val="001B62B5"/>
    <w:rsid w:val="001B6A65"/>
    <w:rsid w:val="001B6C75"/>
    <w:rsid w:val="001B7DF4"/>
    <w:rsid w:val="001C27A9"/>
    <w:rsid w:val="001C2967"/>
    <w:rsid w:val="001C3235"/>
    <w:rsid w:val="001C39E0"/>
    <w:rsid w:val="001C39FD"/>
    <w:rsid w:val="001C4801"/>
    <w:rsid w:val="001C508D"/>
    <w:rsid w:val="001C5A48"/>
    <w:rsid w:val="001D0737"/>
    <w:rsid w:val="001D13D4"/>
    <w:rsid w:val="001D1E3F"/>
    <w:rsid w:val="001D33E2"/>
    <w:rsid w:val="001D3B5C"/>
    <w:rsid w:val="001D3BFF"/>
    <w:rsid w:val="001D433F"/>
    <w:rsid w:val="001D44DA"/>
    <w:rsid w:val="001D5F46"/>
    <w:rsid w:val="001D5F9D"/>
    <w:rsid w:val="001D71ED"/>
    <w:rsid w:val="001D7E99"/>
    <w:rsid w:val="001E0A8D"/>
    <w:rsid w:val="001E0EF4"/>
    <w:rsid w:val="001E1450"/>
    <w:rsid w:val="001E1C3D"/>
    <w:rsid w:val="001E2F38"/>
    <w:rsid w:val="001E34DF"/>
    <w:rsid w:val="001E3D69"/>
    <w:rsid w:val="001E72AD"/>
    <w:rsid w:val="001E7B65"/>
    <w:rsid w:val="001F0482"/>
    <w:rsid w:val="001F090A"/>
    <w:rsid w:val="001F0A9C"/>
    <w:rsid w:val="001F17B4"/>
    <w:rsid w:val="001F2D98"/>
    <w:rsid w:val="001F2F68"/>
    <w:rsid w:val="001F33AE"/>
    <w:rsid w:val="001F4080"/>
    <w:rsid w:val="001F467E"/>
    <w:rsid w:val="001F4D84"/>
    <w:rsid w:val="001F53FD"/>
    <w:rsid w:val="001F6CFD"/>
    <w:rsid w:val="001F7124"/>
    <w:rsid w:val="001F7965"/>
    <w:rsid w:val="0020139B"/>
    <w:rsid w:val="002022A3"/>
    <w:rsid w:val="002034B9"/>
    <w:rsid w:val="00203567"/>
    <w:rsid w:val="00203947"/>
    <w:rsid w:val="00205880"/>
    <w:rsid w:val="00205AB9"/>
    <w:rsid w:val="00205B89"/>
    <w:rsid w:val="00205EB5"/>
    <w:rsid w:val="00207153"/>
    <w:rsid w:val="002075FF"/>
    <w:rsid w:val="0020779A"/>
    <w:rsid w:val="002103E0"/>
    <w:rsid w:val="0021048A"/>
    <w:rsid w:val="002105D7"/>
    <w:rsid w:val="0021132D"/>
    <w:rsid w:val="002119CC"/>
    <w:rsid w:val="002122CD"/>
    <w:rsid w:val="00212300"/>
    <w:rsid w:val="00213B80"/>
    <w:rsid w:val="00214454"/>
    <w:rsid w:val="0021452B"/>
    <w:rsid w:val="002158D3"/>
    <w:rsid w:val="002160B9"/>
    <w:rsid w:val="00216CDF"/>
    <w:rsid w:val="002173B6"/>
    <w:rsid w:val="00221241"/>
    <w:rsid w:val="002228FF"/>
    <w:rsid w:val="00222CC3"/>
    <w:rsid w:val="00223404"/>
    <w:rsid w:val="002236A0"/>
    <w:rsid w:val="002243A0"/>
    <w:rsid w:val="002243A5"/>
    <w:rsid w:val="002249B6"/>
    <w:rsid w:val="00226714"/>
    <w:rsid w:val="002278CC"/>
    <w:rsid w:val="00230207"/>
    <w:rsid w:val="00230B63"/>
    <w:rsid w:val="00230C6B"/>
    <w:rsid w:val="00231311"/>
    <w:rsid w:val="002314A5"/>
    <w:rsid w:val="002318A0"/>
    <w:rsid w:val="002327D9"/>
    <w:rsid w:val="00232967"/>
    <w:rsid w:val="00233542"/>
    <w:rsid w:val="0023379C"/>
    <w:rsid w:val="00233C59"/>
    <w:rsid w:val="00235103"/>
    <w:rsid w:val="002351A4"/>
    <w:rsid w:val="00236537"/>
    <w:rsid w:val="00237D91"/>
    <w:rsid w:val="0024061C"/>
    <w:rsid w:val="00240C67"/>
    <w:rsid w:val="00240FAB"/>
    <w:rsid w:val="002416FC"/>
    <w:rsid w:val="002427C2"/>
    <w:rsid w:val="00244227"/>
    <w:rsid w:val="00244248"/>
    <w:rsid w:val="0024457B"/>
    <w:rsid w:val="00244ABD"/>
    <w:rsid w:val="00245654"/>
    <w:rsid w:val="00245FDA"/>
    <w:rsid w:val="0024640D"/>
    <w:rsid w:val="00247264"/>
    <w:rsid w:val="00247497"/>
    <w:rsid w:val="00247AA4"/>
    <w:rsid w:val="00247E86"/>
    <w:rsid w:val="00250160"/>
    <w:rsid w:val="00250630"/>
    <w:rsid w:val="0025106B"/>
    <w:rsid w:val="002519F4"/>
    <w:rsid w:val="00251B6B"/>
    <w:rsid w:val="00251BB2"/>
    <w:rsid w:val="0025201B"/>
    <w:rsid w:val="00252A4A"/>
    <w:rsid w:val="00254F04"/>
    <w:rsid w:val="00255199"/>
    <w:rsid w:val="0025548F"/>
    <w:rsid w:val="00256111"/>
    <w:rsid w:val="00256345"/>
    <w:rsid w:val="002563FA"/>
    <w:rsid w:val="0026045F"/>
    <w:rsid w:val="00260468"/>
    <w:rsid w:val="00260992"/>
    <w:rsid w:val="002621FF"/>
    <w:rsid w:val="002625D6"/>
    <w:rsid w:val="002626AA"/>
    <w:rsid w:val="002629B4"/>
    <w:rsid w:val="0026346A"/>
    <w:rsid w:val="002638D5"/>
    <w:rsid w:val="00264A0A"/>
    <w:rsid w:val="002657C3"/>
    <w:rsid w:val="0026611E"/>
    <w:rsid w:val="0026627E"/>
    <w:rsid w:val="00266A78"/>
    <w:rsid w:val="00266C02"/>
    <w:rsid w:val="00266CC5"/>
    <w:rsid w:val="002677A9"/>
    <w:rsid w:val="00270B26"/>
    <w:rsid w:val="00272A57"/>
    <w:rsid w:val="00272DD6"/>
    <w:rsid w:val="00272DD8"/>
    <w:rsid w:val="0027315C"/>
    <w:rsid w:val="00273666"/>
    <w:rsid w:val="00274D0C"/>
    <w:rsid w:val="00275C4C"/>
    <w:rsid w:val="00276854"/>
    <w:rsid w:val="00276911"/>
    <w:rsid w:val="00276E5B"/>
    <w:rsid w:val="002776BC"/>
    <w:rsid w:val="002806FF"/>
    <w:rsid w:val="0028072E"/>
    <w:rsid w:val="00280939"/>
    <w:rsid w:val="0028113F"/>
    <w:rsid w:val="00281484"/>
    <w:rsid w:val="00283DBC"/>
    <w:rsid w:val="00284758"/>
    <w:rsid w:val="00285A99"/>
    <w:rsid w:val="00286857"/>
    <w:rsid w:val="002906A4"/>
    <w:rsid w:val="00291A08"/>
    <w:rsid w:val="002920A8"/>
    <w:rsid w:val="00292553"/>
    <w:rsid w:val="00292558"/>
    <w:rsid w:val="00292833"/>
    <w:rsid w:val="00292AA3"/>
    <w:rsid w:val="0029335C"/>
    <w:rsid w:val="002937FB"/>
    <w:rsid w:val="002938F5"/>
    <w:rsid w:val="002946BD"/>
    <w:rsid w:val="002952D5"/>
    <w:rsid w:val="00295F88"/>
    <w:rsid w:val="00297251"/>
    <w:rsid w:val="0029747B"/>
    <w:rsid w:val="002A07D3"/>
    <w:rsid w:val="002A2451"/>
    <w:rsid w:val="002A33A8"/>
    <w:rsid w:val="002A3C2B"/>
    <w:rsid w:val="002A4944"/>
    <w:rsid w:val="002A598B"/>
    <w:rsid w:val="002A5DD2"/>
    <w:rsid w:val="002A62EC"/>
    <w:rsid w:val="002A68AE"/>
    <w:rsid w:val="002B01FD"/>
    <w:rsid w:val="002B0589"/>
    <w:rsid w:val="002B1F7B"/>
    <w:rsid w:val="002B1FCF"/>
    <w:rsid w:val="002B3ED6"/>
    <w:rsid w:val="002B3FA2"/>
    <w:rsid w:val="002B46CC"/>
    <w:rsid w:val="002B4A21"/>
    <w:rsid w:val="002B4B4C"/>
    <w:rsid w:val="002B4DC6"/>
    <w:rsid w:val="002B5298"/>
    <w:rsid w:val="002B556C"/>
    <w:rsid w:val="002B5B13"/>
    <w:rsid w:val="002B681D"/>
    <w:rsid w:val="002C1C42"/>
    <w:rsid w:val="002C1E38"/>
    <w:rsid w:val="002C2126"/>
    <w:rsid w:val="002C26E3"/>
    <w:rsid w:val="002C31C2"/>
    <w:rsid w:val="002C3457"/>
    <w:rsid w:val="002C393C"/>
    <w:rsid w:val="002C3FEE"/>
    <w:rsid w:val="002C431C"/>
    <w:rsid w:val="002C46BB"/>
    <w:rsid w:val="002C473E"/>
    <w:rsid w:val="002C4A09"/>
    <w:rsid w:val="002C72F3"/>
    <w:rsid w:val="002C7A72"/>
    <w:rsid w:val="002C7DC1"/>
    <w:rsid w:val="002D1189"/>
    <w:rsid w:val="002D1EA0"/>
    <w:rsid w:val="002D2553"/>
    <w:rsid w:val="002D2D9C"/>
    <w:rsid w:val="002D3CB8"/>
    <w:rsid w:val="002D4680"/>
    <w:rsid w:val="002D50D6"/>
    <w:rsid w:val="002D580B"/>
    <w:rsid w:val="002D5B47"/>
    <w:rsid w:val="002D68A2"/>
    <w:rsid w:val="002D7855"/>
    <w:rsid w:val="002D7BEE"/>
    <w:rsid w:val="002E096F"/>
    <w:rsid w:val="002E1EA0"/>
    <w:rsid w:val="002E2D86"/>
    <w:rsid w:val="002E36AC"/>
    <w:rsid w:val="002E3F25"/>
    <w:rsid w:val="002E5E7D"/>
    <w:rsid w:val="002F0685"/>
    <w:rsid w:val="002F1160"/>
    <w:rsid w:val="002F13BC"/>
    <w:rsid w:val="002F1F90"/>
    <w:rsid w:val="002F3403"/>
    <w:rsid w:val="002F3F94"/>
    <w:rsid w:val="002F40B3"/>
    <w:rsid w:val="002F58B5"/>
    <w:rsid w:val="002F7B7B"/>
    <w:rsid w:val="00300477"/>
    <w:rsid w:val="00300F79"/>
    <w:rsid w:val="00302DBE"/>
    <w:rsid w:val="00304584"/>
    <w:rsid w:val="00304793"/>
    <w:rsid w:val="003047E7"/>
    <w:rsid w:val="003051B4"/>
    <w:rsid w:val="00305369"/>
    <w:rsid w:val="00305412"/>
    <w:rsid w:val="00306DBC"/>
    <w:rsid w:val="00307F55"/>
    <w:rsid w:val="0031012A"/>
    <w:rsid w:val="00310835"/>
    <w:rsid w:val="00310B0A"/>
    <w:rsid w:val="0031156E"/>
    <w:rsid w:val="00311A79"/>
    <w:rsid w:val="00312472"/>
    <w:rsid w:val="00312785"/>
    <w:rsid w:val="00312A2C"/>
    <w:rsid w:val="00312A4E"/>
    <w:rsid w:val="00313469"/>
    <w:rsid w:val="00313539"/>
    <w:rsid w:val="00314C54"/>
    <w:rsid w:val="00317276"/>
    <w:rsid w:val="003179E4"/>
    <w:rsid w:val="00317BF9"/>
    <w:rsid w:val="00320350"/>
    <w:rsid w:val="00320FE0"/>
    <w:rsid w:val="003210F3"/>
    <w:rsid w:val="00321602"/>
    <w:rsid w:val="0032169F"/>
    <w:rsid w:val="00322C5C"/>
    <w:rsid w:val="00323170"/>
    <w:rsid w:val="00323392"/>
    <w:rsid w:val="0032363C"/>
    <w:rsid w:val="00323C2E"/>
    <w:rsid w:val="00324197"/>
    <w:rsid w:val="00325071"/>
    <w:rsid w:val="003268D7"/>
    <w:rsid w:val="00327CAF"/>
    <w:rsid w:val="00327FE5"/>
    <w:rsid w:val="0033263D"/>
    <w:rsid w:val="0033291B"/>
    <w:rsid w:val="0033465D"/>
    <w:rsid w:val="00335274"/>
    <w:rsid w:val="00335A4E"/>
    <w:rsid w:val="00335C44"/>
    <w:rsid w:val="00336499"/>
    <w:rsid w:val="0033663B"/>
    <w:rsid w:val="00336E08"/>
    <w:rsid w:val="00336F6F"/>
    <w:rsid w:val="003370D6"/>
    <w:rsid w:val="0033724A"/>
    <w:rsid w:val="00337391"/>
    <w:rsid w:val="00337888"/>
    <w:rsid w:val="00341038"/>
    <w:rsid w:val="0034105F"/>
    <w:rsid w:val="00342973"/>
    <w:rsid w:val="0034346C"/>
    <w:rsid w:val="0034378E"/>
    <w:rsid w:val="0034422C"/>
    <w:rsid w:val="003442D9"/>
    <w:rsid w:val="00345AFD"/>
    <w:rsid w:val="00346311"/>
    <w:rsid w:val="00346627"/>
    <w:rsid w:val="003507E9"/>
    <w:rsid w:val="00350845"/>
    <w:rsid w:val="00351168"/>
    <w:rsid w:val="00352C9C"/>
    <w:rsid w:val="0035304D"/>
    <w:rsid w:val="00354BFD"/>
    <w:rsid w:val="00354D1F"/>
    <w:rsid w:val="00357A31"/>
    <w:rsid w:val="00357D07"/>
    <w:rsid w:val="00360F8B"/>
    <w:rsid w:val="00361C58"/>
    <w:rsid w:val="00361FBE"/>
    <w:rsid w:val="00364EDB"/>
    <w:rsid w:val="00365092"/>
    <w:rsid w:val="003656A7"/>
    <w:rsid w:val="00365C24"/>
    <w:rsid w:val="003662F1"/>
    <w:rsid w:val="00366A50"/>
    <w:rsid w:val="00366F4D"/>
    <w:rsid w:val="0036711D"/>
    <w:rsid w:val="00367305"/>
    <w:rsid w:val="0036751A"/>
    <w:rsid w:val="003679CE"/>
    <w:rsid w:val="003712D6"/>
    <w:rsid w:val="00371710"/>
    <w:rsid w:val="003724C8"/>
    <w:rsid w:val="003730BD"/>
    <w:rsid w:val="00373967"/>
    <w:rsid w:val="00374CE2"/>
    <w:rsid w:val="003752B6"/>
    <w:rsid w:val="00376004"/>
    <w:rsid w:val="0037647A"/>
    <w:rsid w:val="00376480"/>
    <w:rsid w:val="00376771"/>
    <w:rsid w:val="0037765D"/>
    <w:rsid w:val="00380C91"/>
    <w:rsid w:val="0038131A"/>
    <w:rsid w:val="003817B3"/>
    <w:rsid w:val="00382270"/>
    <w:rsid w:val="003836E1"/>
    <w:rsid w:val="00384748"/>
    <w:rsid w:val="003849E1"/>
    <w:rsid w:val="00385431"/>
    <w:rsid w:val="00385743"/>
    <w:rsid w:val="00386D12"/>
    <w:rsid w:val="003874DC"/>
    <w:rsid w:val="00387AE4"/>
    <w:rsid w:val="003902B7"/>
    <w:rsid w:val="003902FB"/>
    <w:rsid w:val="00390444"/>
    <w:rsid w:val="00390851"/>
    <w:rsid w:val="0039109A"/>
    <w:rsid w:val="003914FA"/>
    <w:rsid w:val="00393655"/>
    <w:rsid w:val="003938AF"/>
    <w:rsid w:val="00393F06"/>
    <w:rsid w:val="0039555E"/>
    <w:rsid w:val="003962F0"/>
    <w:rsid w:val="00397D5A"/>
    <w:rsid w:val="00397F9A"/>
    <w:rsid w:val="003A06BF"/>
    <w:rsid w:val="003A082D"/>
    <w:rsid w:val="003A0FC6"/>
    <w:rsid w:val="003A17C6"/>
    <w:rsid w:val="003A1EDA"/>
    <w:rsid w:val="003A2A79"/>
    <w:rsid w:val="003A2D64"/>
    <w:rsid w:val="003A3081"/>
    <w:rsid w:val="003A4135"/>
    <w:rsid w:val="003A5055"/>
    <w:rsid w:val="003A516D"/>
    <w:rsid w:val="003A5641"/>
    <w:rsid w:val="003A583B"/>
    <w:rsid w:val="003A67B2"/>
    <w:rsid w:val="003A6902"/>
    <w:rsid w:val="003A7F64"/>
    <w:rsid w:val="003B014F"/>
    <w:rsid w:val="003B044F"/>
    <w:rsid w:val="003B0B28"/>
    <w:rsid w:val="003B0EE9"/>
    <w:rsid w:val="003B2521"/>
    <w:rsid w:val="003B37EF"/>
    <w:rsid w:val="003B3A38"/>
    <w:rsid w:val="003B478F"/>
    <w:rsid w:val="003B5078"/>
    <w:rsid w:val="003B6CEF"/>
    <w:rsid w:val="003B7665"/>
    <w:rsid w:val="003B794B"/>
    <w:rsid w:val="003C0CEC"/>
    <w:rsid w:val="003C1120"/>
    <w:rsid w:val="003C1999"/>
    <w:rsid w:val="003C1A2D"/>
    <w:rsid w:val="003C31B3"/>
    <w:rsid w:val="003C3686"/>
    <w:rsid w:val="003C3AD5"/>
    <w:rsid w:val="003C46AB"/>
    <w:rsid w:val="003C4D36"/>
    <w:rsid w:val="003C594F"/>
    <w:rsid w:val="003C5C2A"/>
    <w:rsid w:val="003C6E83"/>
    <w:rsid w:val="003C79BE"/>
    <w:rsid w:val="003D073B"/>
    <w:rsid w:val="003D1CD9"/>
    <w:rsid w:val="003D24D6"/>
    <w:rsid w:val="003D2AE9"/>
    <w:rsid w:val="003D402A"/>
    <w:rsid w:val="003D4F06"/>
    <w:rsid w:val="003D68AB"/>
    <w:rsid w:val="003D7AC8"/>
    <w:rsid w:val="003D7B40"/>
    <w:rsid w:val="003E0D0F"/>
    <w:rsid w:val="003E1888"/>
    <w:rsid w:val="003E3DE0"/>
    <w:rsid w:val="003E499D"/>
    <w:rsid w:val="003E4D7B"/>
    <w:rsid w:val="003E50E1"/>
    <w:rsid w:val="003E5215"/>
    <w:rsid w:val="003E524C"/>
    <w:rsid w:val="003E5B90"/>
    <w:rsid w:val="003E6D15"/>
    <w:rsid w:val="003E6FE6"/>
    <w:rsid w:val="003E70B9"/>
    <w:rsid w:val="003E711B"/>
    <w:rsid w:val="003E74F7"/>
    <w:rsid w:val="003E76BE"/>
    <w:rsid w:val="003F09D8"/>
    <w:rsid w:val="003F11DF"/>
    <w:rsid w:val="003F12FB"/>
    <w:rsid w:val="003F1864"/>
    <w:rsid w:val="003F1D3F"/>
    <w:rsid w:val="003F1F98"/>
    <w:rsid w:val="003F3312"/>
    <w:rsid w:val="003F4D08"/>
    <w:rsid w:val="003F5392"/>
    <w:rsid w:val="003F5C06"/>
    <w:rsid w:val="003F5D26"/>
    <w:rsid w:val="003F5E53"/>
    <w:rsid w:val="003F5FAB"/>
    <w:rsid w:val="003F66F5"/>
    <w:rsid w:val="003F6EF1"/>
    <w:rsid w:val="003F6F0B"/>
    <w:rsid w:val="003F6F7E"/>
    <w:rsid w:val="003F7CD9"/>
    <w:rsid w:val="004004A9"/>
    <w:rsid w:val="00401A5E"/>
    <w:rsid w:val="00402835"/>
    <w:rsid w:val="004036D4"/>
    <w:rsid w:val="004037CC"/>
    <w:rsid w:val="00403D84"/>
    <w:rsid w:val="00403E71"/>
    <w:rsid w:val="00404FFF"/>
    <w:rsid w:val="00406F51"/>
    <w:rsid w:val="00407DE5"/>
    <w:rsid w:val="00412203"/>
    <w:rsid w:val="00412CF6"/>
    <w:rsid w:val="00413FA9"/>
    <w:rsid w:val="004142CB"/>
    <w:rsid w:val="004145E0"/>
    <w:rsid w:val="0041468C"/>
    <w:rsid w:val="00414706"/>
    <w:rsid w:val="00415BFA"/>
    <w:rsid w:val="00415F69"/>
    <w:rsid w:val="00416421"/>
    <w:rsid w:val="00416EF8"/>
    <w:rsid w:val="00417AE2"/>
    <w:rsid w:val="00421A67"/>
    <w:rsid w:val="00421F7A"/>
    <w:rsid w:val="004220BE"/>
    <w:rsid w:val="00423DB5"/>
    <w:rsid w:val="00425249"/>
    <w:rsid w:val="00425DDE"/>
    <w:rsid w:val="00430063"/>
    <w:rsid w:val="00431042"/>
    <w:rsid w:val="00431504"/>
    <w:rsid w:val="00432908"/>
    <w:rsid w:val="00432E09"/>
    <w:rsid w:val="00433299"/>
    <w:rsid w:val="0043362D"/>
    <w:rsid w:val="00434263"/>
    <w:rsid w:val="0043430C"/>
    <w:rsid w:val="004348D6"/>
    <w:rsid w:val="00434C44"/>
    <w:rsid w:val="00436B3A"/>
    <w:rsid w:val="00440712"/>
    <w:rsid w:val="004407B0"/>
    <w:rsid w:val="00441126"/>
    <w:rsid w:val="004424C2"/>
    <w:rsid w:val="004434D1"/>
    <w:rsid w:val="004443DB"/>
    <w:rsid w:val="00444478"/>
    <w:rsid w:val="0044561B"/>
    <w:rsid w:val="00445B89"/>
    <w:rsid w:val="00446986"/>
    <w:rsid w:val="00447011"/>
    <w:rsid w:val="00447F78"/>
    <w:rsid w:val="004509DA"/>
    <w:rsid w:val="00450A96"/>
    <w:rsid w:val="00451772"/>
    <w:rsid w:val="00452EE2"/>
    <w:rsid w:val="00453117"/>
    <w:rsid w:val="00454775"/>
    <w:rsid w:val="0045582A"/>
    <w:rsid w:val="00455DBA"/>
    <w:rsid w:val="004569D8"/>
    <w:rsid w:val="00457D43"/>
    <w:rsid w:val="00457E13"/>
    <w:rsid w:val="004600C4"/>
    <w:rsid w:val="00461C9E"/>
    <w:rsid w:val="004623D3"/>
    <w:rsid w:val="004636AB"/>
    <w:rsid w:val="004639B2"/>
    <w:rsid w:val="00463B34"/>
    <w:rsid w:val="00465B50"/>
    <w:rsid w:val="00465C48"/>
    <w:rsid w:val="00465EB8"/>
    <w:rsid w:val="004670EB"/>
    <w:rsid w:val="0046721D"/>
    <w:rsid w:val="004672D7"/>
    <w:rsid w:val="00467651"/>
    <w:rsid w:val="004677A5"/>
    <w:rsid w:val="00470F7B"/>
    <w:rsid w:val="00471E9C"/>
    <w:rsid w:val="00472E84"/>
    <w:rsid w:val="00473BC1"/>
    <w:rsid w:val="00474E7F"/>
    <w:rsid w:val="00475AD3"/>
    <w:rsid w:val="00476200"/>
    <w:rsid w:val="00476F76"/>
    <w:rsid w:val="00480642"/>
    <w:rsid w:val="00480C0D"/>
    <w:rsid w:val="0048102A"/>
    <w:rsid w:val="00482395"/>
    <w:rsid w:val="004831C3"/>
    <w:rsid w:val="00484545"/>
    <w:rsid w:val="00484809"/>
    <w:rsid w:val="004859BB"/>
    <w:rsid w:val="00486251"/>
    <w:rsid w:val="0048680C"/>
    <w:rsid w:val="0048796A"/>
    <w:rsid w:val="00487EF9"/>
    <w:rsid w:val="00490155"/>
    <w:rsid w:val="00490629"/>
    <w:rsid w:val="0049475D"/>
    <w:rsid w:val="004947E2"/>
    <w:rsid w:val="00494C34"/>
    <w:rsid w:val="00494F33"/>
    <w:rsid w:val="004954CE"/>
    <w:rsid w:val="004966D8"/>
    <w:rsid w:val="004971AF"/>
    <w:rsid w:val="00497214"/>
    <w:rsid w:val="004A0635"/>
    <w:rsid w:val="004A16C0"/>
    <w:rsid w:val="004A267F"/>
    <w:rsid w:val="004A3D97"/>
    <w:rsid w:val="004A4A6C"/>
    <w:rsid w:val="004A538B"/>
    <w:rsid w:val="004A676E"/>
    <w:rsid w:val="004A6B9F"/>
    <w:rsid w:val="004A71B6"/>
    <w:rsid w:val="004B01E1"/>
    <w:rsid w:val="004B1197"/>
    <w:rsid w:val="004B2C58"/>
    <w:rsid w:val="004B37EA"/>
    <w:rsid w:val="004B3804"/>
    <w:rsid w:val="004B3885"/>
    <w:rsid w:val="004B3A6D"/>
    <w:rsid w:val="004B4737"/>
    <w:rsid w:val="004B4860"/>
    <w:rsid w:val="004B52D0"/>
    <w:rsid w:val="004B5B57"/>
    <w:rsid w:val="004B5FCB"/>
    <w:rsid w:val="004B64CC"/>
    <w:rsid w:val="004B67CE"/>
    <w:rsid w:val="004B6DAD"/>
    <w:rsid w:val="004B6FA0"/>
    <w:rsid w:val="004C0247"/>
    <w:rsid w:val="004C171A"/>
    <w:rsid w:val="004C3CBE"/>
    <w:rsid w:val="004C3CE4"/>
    <w:rsid w:val="004C4274"/>
    <w:rsid w:val="004C7C97"/>
    <w:rsid w:val="004D0092"/>
    <w:rsid w:val="004D0111"/>
    <w:rsid w:val="004D084D"/>
    <w:rsid w:val="004D2867"/>
    <w:rsid w:val="004D35EC"/>
    <w:rsid w:val="004D3876"/>
    <w:rsid w:val="004D4BAA"/>
    <w:rsid w:val="004D4E85"/>
    <w:rsid w:val="004D60C7"/>
    <w:rsid w:val="004D6958"/>
    <w:rsid w:val="004E1511"/>
    <w:rsid w:val="004E1A94"/>
    <w:rsid w:val="004E29A8"/>
    <w:rsid w:val="004E2ADA"/>
    <w:rsid w:val="004E38CE"/>
    <w:rsid w:val="004E3ED9"/>
    <w:rsid w:val="004E3F4A"/>
    <w:rsid w:val="004E4BB1"/>
    <w:rsid w:val="004E50C1"/>
    <w:rsid w:val="004E5638"/>
    <w:rsid w:val="004E56B5"/>
    <w:rsid w:val="004E5C10"/>
    <w:rsid w:val="004E72D5"/>
    <w:rsid w:val="004E7710"/>
    <w:rsid w:val="004F0E84"/>
    <w:rsid w:val="004F0FE1"/>
    <w:rsid w:val="004F121E"/>
    <w:rsid w:val="004F22CD"/>
    <w:rsid w:val="004F3AC9"/>
    <w:rsid w:val="004F5EF4"/>
    <w:rsid w:val="004F6B78"/>
    <w:rsid w:val="004F763F"/>
    <w:rsid w:val="004F7F26"/>
    <w:rsid w:val="005000DE"/>
    <w:rsid w:val="005005F8"/>
    <w:rsid w:val="00500E96"/>
    <w:rsid w:val="0050100C"/>
    <w:rsid w:val="005021B9"/>
    <w:rsid w:val="00503712"/>
    <w:rsid w:val="005042C2"/>
    <w:rsid w:val="00505232"/>
    <w:rsid w:val="00505EA4"/>
    <w:rsid w:val="00505F7D"/>
    <w:rsid w:val="00506F31"/>
    <w:rsid w:val="00507E29"/>
    <w:rsid w:val="00510E72"/>
    <w:rsid w:val="0051119F"/>
    <w:rsid w:val="00511CFB"/>
    <w:rsid w:val="005132F6"/>
    <w:rsid w:val="00514C16"/>
    <w:rsid w:val="0051595C"/>
    <w:rsid w:val="00515B45"/>
    <w:rsid w:val="0051644E"/>
    <w:rsid w:val="0051646E"/>
    <w:rsid w:val="005174E7"/>
    <w:rsid w:val="00517C0C"/>
    <w:rsid w:val="005213F6"/>
    <w:rsid w:val="00521621"/>
    <w:rsid w:val="00521C2D"/>
    <w:rsid w:val="00522893"/>
    <w:rsid w:val="00523B2B"/>
    <w:rsid w:val="00523D61"/>
    <w:rsid w:val="00523D8F"/>
    <w:rsid w:val="00523ED3"/>
    <w:rsid w:val="00524818"/>
    <w:rsid w:val="005255AF"/>
    <w:rsid w:val="005256DB"/>
    <w:rsid w:val="00526122"/>
    <w:rsid w:val="0052626E"/>
    <w:rsid w:val="0052644A"/>
    <w:rsid w:val="00526794"/>
    <w:rsid w:val="00527A5D"/>
    <w:rsid w:val="00531185"/>
    <w:rsid w:val="0053380C"/>
    <w:rsid w:val="00533C5A"/>
    <w:rsid w:val="00533CAC"/>
    <w:rsid w:val="005344EF"/>
    <w:rsid w:val="00536F68"/>
    <w:rsid w:val="005373E7"/>
    <w:rsid w:val="00537423"/>
    <w:rsid w:val="00537ADE"/>
    <w:rsid w:val="005415C7"/>
    <w:rsid w:val="00542C03"/>
    <w:rsid w:val="00543671"/>
    <w:rsid w:val="005439C2"/>
    <w:rsid w:val="00543B55"/>
    <w:rsid w:val="005445E0"/>
    <w:rsid w:val="0054576E"/>
    <w:rsid w:val="00546498"/>
    <w:rsid w:val="0054699E"/>
    <w:rsid w:val="00547F88"/>
    <w:rsid w:val="00550EE7"/>
    <w:rsid w:val="0055123E"/>
    <w:rsid w:val="00551CA2"/>
    <w:rsid w:val="00551D58"/>
    <w:rsid w:val="0055237F"/>
    <w:rsid w:val="0055250D"/>
    <w:rsid w:val="00552761"/>
    <w:rsid w:val="00552AC7"/>
    <w:rsid w:val="00552CC4"/>
    <w:rsid w:val="005531B7"/>
    <w:rsid w:val="00553819"/>
    <w:rsid w:val="00554749"/>
    <w:rsid w:val="0055488B"/>
    <w:rsid w:val="005575A7"/>
    <w:rsid w:val="00557A9F"/>
    <w:rsid w:val="00557C8E"/>
    <w:rsid w:val="00557EC3"/>
    <w:rsid w:val="0056031B"/>
    <w:rsid w:val="005607D2"/>
    <w:rsid w:val="00560CC1"/>
    <w:rsid w:val="00560CD8"/>
    <w:rsid w:val="00560D7F"/>
    <w:rsid w:val="005622D9"/>
    <w:rsid w:val="005653A4"/>
    <w:rsid w:val="005656B9"/>
    <w:rsid w:val="0056604E"/>
    <w:rsid w:val="005664FC"/>
    <w:rsid w:val="005665C8"/>
    <w:rsid w:val="005667F5"/>
    <w:rsid w:val="00566CFC"/>
    <w:rsid w:val="00567329"/>
    <w:rsid w:val="005674C3"/>
    <w:rsid w:val="00570BCB"/>
    <w:rsid w:val="00570FB0"/>
    <w:rsid w:val="00571FA6"/>
    <w:rsid w:val="005728E3"/>
    <w:rsid w:val="00572BE2"/>
    <w:rsid w:val="00573F39"/>
    <w:rsid w:val="0057442A"/>
    <w:rsid w:val="005766DB"/>
    <w:rsid w:val="0058147E"/>
    <w:rsid w:val="00581653"/>
    <w:rsid w:val="00581705"/>
    <w:rsid w:val="00582195"/>
    <w:rsid w:val="00582A49"/>
    <w:rsid w:val="0058329D"/>
    <w:rsid w:val="00583D67"/>
    <w:rsid w:val="00583F7A"/>
    <w:rsid w:val="005842F5"/>
    <w:rsid w:val="00584B68"/>
    <w:rsid w:val="00584F8E"/>
    <w:rsid w:val="005870CF"/>
    <w:rsid w:val="00587245"/>
    <w:rsid w:val="0058741D"/>
    <w:rsid w:val="00587879"/>
    <w:rsid w:val="00587CED"/>
    <w:rsid w:val="005914A1"/>
    <w:rsid w:val="00591FEB"/>
    <w:rsid w:val="005921D6"/>
    <w:rsid w:val="00592404"/>
    <w:rsid w:val="00594156"/>
    <w:rsid w:val="00594234"/>
    <w:rsid w:val="00594F38"/>
    <w:rsid w:val="005963FD"/>
    <w:rsid w:val="0059771D"/>
    <w:rsid w:val="0059776B"/>
    <w:rsid w:val="005A273E"/>
    <w:rsid w:val="005A2A33"/>
    <w:rsid w:val="005A2CD4"/>
    <w:rsid w:val="005A2E7A"/>
    <w:rsid w:val="005A2FF4"/>
    <w:rsid w:val="005A5744"/>
    <w:rsid w:val="005A6006"/>
    <w:rsid w:val="005A76FD"/>
    <w:rsid w:val="005B0440"/>
    <w:rsid w:val="005B0B4C"/>
    <w:rsid w:val="005B0E29"/>
    <w:rsid w:val="005B1D49"/>
    <w:rsid w:val="005B25AE"/>
    <w:rsid w:val="005B4BF2"/>
    <w:rsid w:val="005B5317"/>
    <w:rsid w:val="005B564F"/>
    <w:rsid w:val="005B5BC1"/>
    <w:rsid w:val="005B6AB6"/>
    <w:rsid w:val="005B731E"/>
    <w:rsid w:val="005B74DC"/>
    <w:rsid w:val="005B7DED"/>
    <w:rsid w:val="005C07FD"/>
    <w:rsid w:val="005C1DC4"/>
    <w:rsid w:val="005C20F1"/>
    <w:rsid w:val="005C2158"/>
    <w:rsid w:val="005C22DA"/>
    <w:rsid w:val="005C4724"/>
    <w:rsid w:val="005C47B8"/>
    <w:rsid w:val="005C5B9C"/>
    <w:rsid w:val="005C6DE8"/>
    <w:rsid w:val="005C7C55"/>
    <w:rsid w:val="005D2171"/>
    <w:rsid w:val="005D22D1"/>
    <w:rsid w:val="005D23E8"/>
    <w:rsid w:val="005D2D96"/>
    <w:rsid w:val="005D44A8"/>
    <w:rsid w:val="005D59A8"/>
    <w:rsid w:val="005D5E71"/>
    <w:rsid w:val="005D65AE"/>
    <w:rsid w:val="005D7320"/>
    <w:rsid w:val="005D7463"/>
    <w:rsid w:val="005D7BDD"/>
    <w:rsid w:val="005D7D43"/>
    <w:rsid w:val="005E3A9B"/>
    <w:rsid w:val="005E48A0"/>
    <w:rsid w:val="005E4B49"/>
    <w:rsid w:val="005E5241"/>
    <w:rsid w:val="005E5B1D"/>
    <w:rsid w:val="005E750B"/>
    <w:rsid w:val="005E7CEA"/>
    <w:rsid w:val="005F023A"/>
    <w:rsid w:val="005F02AF"/>
    <w:rsid w:val="005F1719"/>
    <w:rsid w:val="005F2817"/>
    <w:rsid w:val="005F3812"/>
    <w:rsid w:val="005F4451"/>
    <w:rsid w:val="005F52CE"/>
    <w:rsid w:val="005F6C87"/>
    <w:rsid w:val="005F73C2"/>
    <w:rsid w:val="005F7AE0"/>
    <w:rsid w:val="0060019F"/>
    <w:rsid w:val="006002B9"/>
    <w:rsid w:val="00600D7E"/>
    <w:rsid w:val="00603094"/>
    <w:rsid w:val="00603466"/>
    <w:rsid w:val="006036D2"/>
    <w:rsid w:val="006053CD"/>
    <w:rsid w:val="00605FC0"/>
    <w:rsid w:val="0060648C"/>
    <w:rsid w:val="00606E1F"/>
    <w:rsid w:val="0060747B"/>
    <w:rsid w:val="00607EFD"/>
    <w:rsid w:val="006100B4"/>
    <w:rsid w:val="00610A23"/>
    <w:rsid w:val="00611F3F"/>
    <w:rsid w:val="00612A1B"/>
    <w:rsid w:val="00613C0E"/>
    <w:rsid w:val="00613C3B"/>
    <w:rsid w:val="006147EE"/>
    <w:rsid w:val="00615E0A"/>
    <w:rsid w:val="00617A3C"/>
    <w:rsid w:val="00620134"/>
    <w:rsid w:val="0062046F"/>
    <w:rsid w:val="0062061E"/>
    <w:rsid w:val="00620A19"/>
    <w:rsid w:val="00621934"/>
    <w:rsid w:val="006252E0"/>
    <w:rsid w:val="006262F0"/>
    <w:rsid w:val="00627B57"/>
    <w:rsid w:val="0063181F"/>
    <w:rsid w:val="00631A90"/>
    <w:rsid w:val="00631AAA"/>
    <w:rsid w:val="006323AE"/>
    <w:rsid w:val="00632774"/>
    <w:rsid w:val="00634210"/>
    <w:rsid w:val="00634487"/>
    <w:rsid w:val="00635516"/>
    <w:rsid w:val="0063631E"/>
    <w:rsid w:val="00636C1C"/>
    <w:rsid w:val="00640027"/>
    <w:rsid w:val="00640572"/>
    <w:rsid w:val="00642485"/>
    <w:rsid w:val="006424A1"/>
    <w:rsid w:val="006429BB"/>
    <w:rsid w:val="00642B9D"/>
    <w:rsid w:val="006434A5"/>
    <w:rsid w:val="00643EB1"/>
    <w:rsid w:val="00644728"/>
    <w:rsid w:val="00644F30"/>
    <w:rsid w:val="00645B64"/>
    <w:rsid w:val="00647037"/>
    <w:rsid w:val="006528C5"/>
    <w:rsid w:val="00652F6A"/>
    <w:rsid w:val="006540AA"/>
    <w:rsid w:val="00654470"/>
    <w:rsid w:val="00655712"/>
    <w:rsid w:val="006568CA"/>
    <w:rsid w:val="006570EB"/>
    <w:rsid w:val="00657192"/>
    <w:rsid w:val="006571BE"/>
    <w:rsid w:val="00660A24"/>
    <w:rsid w:val="00660B52"/>
    <w:rsid w:val="006614A1"/>
    <w:rsid w:val="0066206F"/>
    <w:rsid w:val="00662406"/>
    <w:rsid w:val="006633BC"/>
    <w:rsid w:val="006640EE"/>
    <w:rsid w:val="006646B8"/>
    <w:rsid w:val="006651AD"/>
    <w:rsid w:val="00670A54"/>
    <w:rsid w:val="00671103"/>
    <w:rsid w:val="00672426"/>
    <w:rsid w:val="006724A5"/>
    <w:rsid w:val="006726E6"/>
    <w:rsid w:val="00673A1B"/>
    <w:rsid w:val="0067431C"/>
    <w:rsid w:val="006745F3"/>
    <w:rsid w:val="0067485E"/>
    <w:rsid w:val="0067613C"/>
    <w:rsid w:val="00676334"/>
    <w:rsid w:val="00677844"/>
    <w:rsid w:val="00677C11"/>
    <w:rsid w:val="00677EED"/>
    <w:rsid w:val="006800C4"/>
    <w:rsid w:val="006803FE"/>
    <w:rsid w:val="0068073D"/>
    <w:rsid w:val="006815BE"/>
    <w:rsid w:val="006815CA"/>
    <w:rsid w:val="006829A7"/>
    <w:rsid w:val="00682CFC"/>
    <w:rsid w:val="00682D26"/>
    <w:rsid w:val="00683581"/>
    <w:rsid w:val="00683E8D"/>
    <w:rsid w:val="006844CE"/>
    <w:rsid w:val="00684B8B"/>
    <w:rsid w:val="00684C34"/>
    <w:rsid w:val="00685431"/>
    <w:rsid w:val="0068578F"/>
    <w:rsid w:val="006864ED"/>
    <w:rsid w:val="00686767"/>
    <w:rsid w:val="006867A3"/>
    <w:rsid w:val="00687269"/>
    <w:rsid w:val="00687A8B"/>
    <w:rsid w:val="00690BF1"/>
    <w:rsid w:val="0069161F"/>
    <w:rsid w:val="00691717"/>
    <w:rsid w:val="00694570"/>
    <w:rsid w:val="006949FC"/>
    <w:rsid w:val="006965BF"/>
    <w:rsid w:val="0069662C"/>
    <w:rsid w:val="006A044B"/>
    <w:rsid w:val="006A194D"/>
    <w:rsid w:val="006A2825"/>
    <w:rsid w:val="006A3A2F"/>
    <w:rsid w:val="006A3AA8"/>
    <w:rsid w:val="006A3BD7"/>
    <w:rsid w:val="006A3FA9"/>
    <w:rsid w:val="006A43C7"/>
    <w:rsid w:val="006A5012"/>
    <w:rsid w:val="006A54D0"/>
    <w:rsid w:val="006A54FA"/>
    <w:rsid w:val="006A57EE"/>
    <w:rsid w:val="006A725A"/>
    <w:rsid w:val="006B0715"/>
    <w:rsid w:val="006B072C"/>
    <w:rsid w:val="006B0AFF"/>
    <w:rsid w:val="006B0CAD"/>
    <w:rsid w:val="006B1D1E"/>
    <w:rsid w:val="006B304B"/>
    <w:rsid w:val="006B5973"/>
    <w:rsid w:val="006B5D86"/>
    <w:rsid w:val="006B63E5"/>
    <w:rsid w:val="006B69C4"/>
    <w:rsid w:val="006B6D0F"/>
    <w:rsid w:val="006B6E3A"/>
    <w:rsid w:val="006B7403"/>
    <w:rsid w:val="006C0190"/>
    <w:rsid w:val="006C0AA4"/>
    <w:rsid w:val="006C1D80"/>
    <w:rsid w:val="006C22BE"/>
    <w:rsid w:val="006C2576"/>
    <w:rsid w:val="006C2CEB"/>
    <w:rsid w:val="006C3248"/>
    <w:rsid w:val="006C3D07"/>
    <w:rsid w:val="006C4046"/>
    <w:rsid w:val="006C65FE"/>
    <w:rsid w:val="006C7039"/>
    <w:rsid w:val="006C78C0"/>
    <w:rsid w:val="006C78FD"/>
    <w:rsid w:val="006D0129"/>
    <w:rsid w:val="006D0383"/>
    <w:rsid w:val="006D23F1"/>
    <w:rsid w:val="006D2DD4"/>
    <w:rsid w:val="006D3EA8"/>
    <w:rsid w:val="006D44BA"/>
    <w:rsid w:val="006D6384"/>
    <w:rsid w:val="006D71BF"/>
    <w:rsid w:val="006D74CB"/>
    <w:rsid w:val="006E34E2"/>
    <w:rsid w:val="006E3B07"/>
    <w:rsid w:val="006E3B29"/>
    <w:rsid w:val="006E43A0"/>
    <w:rsid w:val="006E45CE"/>
    <w:rsid w:val="006E4B48"/>
    <w:rsid w:val="006E5756"/>
    <w:rsid w:val="006E5C8D"/>
    <w:rsid w:val="006E6DED"/>
    <w:rsid w:val="006E702C"/>
    <w:rsid w:val="006E7639"/>
    <w:rsid w:val="006E7AD9"/>
    <w:rsid w:val="006E7FC8"/>
    <w:rsid w:val="006F0A19"/>
    <w:rsid w:val="006F1CEC"/>
    <w:rsid w:val="006F201F"/>
    <w:rsid w:val="006F25F5"/>
    <w:rsid w:val="006F371F"/>
    <w:rsid w:val="006F5124"/>
    <w:rsid w:val="006F5285"/>
    <w:rsid w:val="006F5942"/>
    <w:rsid w:val="006F63D2"/>
    <w:rsid w:val="006F6BBC"/>
    <w:rsid w:val="006F72C9"/>
    <w:rsid w:val="00700509"/>
    <w:rsid w:val="00700803"/>
    <w:rsid w:val="00700FF9"/>
    <w:rsid w:val="0070162F"/>
    <w:rsid w:val="00702273"/>
    <w:rsid w:val="007031A8"/>
    <w:rsid w:val="007042A3"/>
    <w:rsid w:val="00704315"/>
    <w:rsid w:val="00704B0B"/>
    <w:rsid w:val="00704DD3"/>
    <w:rsid w:val="00705171"/>
    <w:rsid w:val="0070547D"/>
    <w:rsid w:val="007060FF"/>
    <w:rsid w:val="00706C2D"/>
    <w:rsid w:val="00707258"/>
    <w:rsid w:val="0070758F"/>
    <w:rsid w:val="00707F9E"/>
    <w:rsid w:val="00710B18"/>
    <w:rsid w:val="00711EFA"/>
    <w:rsid w:val="0071250A"/>
    <w:rsid w:val="00712AEF"/>
    <w:rsid w:val="0071380D"/>
    <w:rsid w:val="0071386C"/>
    <w:rsid w:val="007142C6"/>
    <w:rsid w:val="00715834"/>
    <w:rsid w:val="007159EF"/>
    <w:rsid w:val="007170EB"/>
    <w:rsid w:val="00717466"/>
    <w:rsid w:val="007178AE"/>
    <w:rsid w:val="00717C15"/>
    <w:rsid w:val="00720138"/>
    <w:rsid w:val="007211A2"/>
    <w:rsid w:val="00721CA9"/>
    <w:rsid w:val="00723A70"/>
    <w:rsid w:val="00723BD6"/>
    <w:rsid w:val="00723D39"/>
    <w:rsid w:val="007242E8"/>
    <w:rsid w:val="00724637"/>
    <w:rsid w:val="0072593C"/>
    <w:rsid w:val="00726523"/>
    <w:rsid w:val="00726AB8"/>
    <w:rsid w:val="007272C0"/>
    <w:rsid w:val="00730E23"/>
    <w:rsid w:val="00731E43"/>
    <w:rsid w:val="007320E2"/>
    <w:rsid w:val="00733A24"/>
    <w:rsid w:val="00735361"/>
    <w:rsid w:val="0073586B"/>
    <w:rsid w:val="00737585"/>
    <w:rsid w:val="0073787C"/>
    <w:rsid w:val="0074024A"/>
    <w:rsid w:val="007415D4"/>
    <w:rsid w:val="00742514"/>
    <w:rsid w:val="00743CDA"/>
    <w:rsid w:val="00744E86"/>
    <w:rsid w:val="007460CB"/>
    <w:rsid w:val="007465EF"/>
    <w:rsid w:val="00746E97"/>
    <w:rsid w:val="007477C6"/>
    <w:rsid w:val="0075012C"/>
    <w:rsid w:val="00750A97"/>
    <w:rsid w:val="00750E4C"/>
    <w:rsid w:val="00751008"/>
    <w:rsid w:val="00751245"/>
    <w:rsid w:val="007517DA"/>
    <w:rsid w:val="00752631"/>
    <w:rsid w:val="00752E62"/>
    <w:rsid w:val="0075359D"/>
    <w:rsid w:val="007549A4"/>
    <w:rsid w:val="00754E29"/>
    <w:rsid w:val="00755B21"/>
    <w:rsid w:val="00756119"/>
    <w:rsid w:val="00756B0D"/>
    <w:rsid w:val="00757837"/>
    <w:rsid w:val="00757842"/>
    <w:rsid w:val="00760E20"/>
    <w:rsid w:val="00761093"/>
    <w:rsid w:val="007623D4"/>
    <w:rsid w:val="0076649E"/>
    <w:rsid w:val="00767C54"/>
    <w:rsid w:val="00770794"/>
    <w:rsid w:val="007709D9"/>
    <w:rsid w:val="007723B4"/>
    <w:rsid w:val="007731B4"/>
    <w:rsid w:val="007736E3"/>
    <w:rsid w:val="00773C00"/>
    <w:rsid w:val="007740F8"/>
    <w:rsid w:val="00774901"/>
    <w:rsid w:val="00774B6B"/>
    <w:rsid w:val="00776326"/>
    <w:rsid w:val="007765A0"/>
    <w:rsid w:val="00776644"/>
    <w:rsid w:val="00776F97"/>
    <w:rsid w:val="00777D2D"/>
    <w:rsid w:val="00777D47"/>
    <w:rsid w:val="00780375"/>
    <w:rsid w:val="0078128A"/>
    <w:rsid w:val="0078191C"/>
    <w:rsid w:val="00783E24"/>
    <w:rsid w:val="00784175"/>
    <w:rsid w:val="00784A6D"/>
    <w:rsid w:val="00785159"/>
    <w:rsid w:val="007851A6"/>
    <w:rsid w:val="00785755"/>
    <w:rsid w:val="00785C8E"/>
    <w:rsid w:val="00786991"/>
    <w:rsid w:val="00786ABF"/>
    <w:rsid w:val="0079015C"/>
    <w:rsid w:val="00790F8E"/>
    <w:rsid w:val="007918EF"/>
    <w:rsid w:val="007927AC"/>
    <w:rsid w:val="0079554D"/>
    <w:rsid w:val="0079590D"/>
    <w:rsid w:val="00796936"/>
    <w:rsid w:val="0079738C"/>
    <w:rsid w:val="0079774A"/>
    <w:rsid w:val="00797849"/>
    <w:rsid w:val="007A1B0C"/>
    <w:rsid w:val="007A2AD9"/>
    <w:rsid w:val="007A3660"/>
    <w:rsid w:val="007A3F61"/>
    <w:rsid w:val="007A4994"/>
    <w:rsid w:val="007A4A02"/>
    <w:rsid w:val="007A6CAD"/>
    <w:rsid w:val="007A728B"/>
    <w:rsid w:val="007B08C4"/>
    <w:rsid w:val="007B1BC6"/>
    <w:rsid w:val="007B1C91"/>
    <w:rsid w:val="007B4520"/>
    <w:rsid w:val="007B496E"/>
    <w:rsid w:val="007B4A5F"/>
    <w:rsid w:val="007B4FE4"/>
    <w:rsid w:val="007B50D4"/>
    <w:rsid w:val="007B52AA"/>
    <w:rsid w:val="007B6059"/>
    <w:rsid w:val="007B612D"/>
    <w:rsid w:val="007B6600"/>
    <w:rsid w:val="007B729D"/>
    <w:rsid w:val="007B7A6E"/>
    <w:rsid w:val="007C0296"/>
    <w:rsid w:val="007C0ABD"/>
    <w:rsid w:val="007C0C42"/>
    <w:rsid w:val="007C1DFA"/>
    <w:rsid w:val="007C1F5A"/>
    <w:rsid w:val="007C3721"/>
    <w:rsid w:val="007C5537"/>
    <w:rsid w:val="007C63B1"/>
    <w:rsid w:val="007C6DEB"/>
    <w:rsid w:val="007C7ECB"/>
    <w:rsid w:val="007D1CC2"/>
    <w:rsid w:val="007D1CC7"/>
    <w:rsid w:val="007D23AD"/>
    <w:rsid w:val="007D373A"/>
    <w:rsid w:val="007D389C"/>
    <w:rsid w:val="007D47E7"/>
    <w:rsid w:val="007D485E"/>
    <w:rsid w:val="007D4CA1"/>
    <w:rsid w:val="007D5C19"/>
    <w:rsid w:val="007D6205"/>
    <w:rsid w:val="007D621D"/>
    <w:rsid w:val="007D6FB5"/>
    <w:rsid w:val="007D7D7F"/>
    <w:rsid w:val="007E034D"/>
    <w:rsid w:val="007E1A81"/>
    <w:rsid w:val="007E1C2F"/>
    <w:rsid w:val="007E2C47"/>
    <w:rsid w:val="007E313E"/>
    <w:rsid w:val="007E32A3"/>
    <w:rsid w:val="007E34E1"/>
    <w:rsid w:val="007E4918"/>
    <w:rsid w:val="007E4BE3"/>
    <w:rsid w:val="007E675B"/>
    <w:rsid w:val="007E67DF"/>
    <w:rsid w:val="007E76AB"/>
    <w:rsid w:val="007E78CA"/>
    <w:rsid w:val="007E7F55"/>
    <w:rsid w:val="007F0519"/>
    <w:rsid w:val="007F094C"/>
    <w:rsid w:val="007F1B27"/>
    <w:rsid w:val="007F20D5"/>
    <w:rsid w:val="007F279D"/>
    <w:rsid w:val="007F3DB8"/>
    <w:rsid w:val="007F3E00"/>
    <w:rsid w:val="007F4B15"/>
    <w:rsid w:val="007F4D8F"/>
    <w:rsid w:val="007F7EAA"/>
    <w:rsid w:val="00800789"/>
    <w:rsid w:val="0080166B"/>
    <w:rsid w:val="008018E2"/>
    <w:rsid w:val="00802A42"/>
    <w:rsid w:val="0080341C"/>
    <w:rsid w:val="00803457"/>
    <w:rsid w:val="008035B9"/>
    <w:rsid w:val="00803C69"/>
    <w:rsid w:val="00803CD0"/>
    <w:rsid w:val="00804A9D"/>
    <w:rsid w:val="00804C8A"/>
    <w:rsid w:val="0080626A"/>
    <w:rsid w:val="0080741D"/>
    <w:rsid w:val="00807EAA"/>
    <w:rsid w:val="00811D10"/>
    <w:rsid w:val="00812EAC"/>
    <w:rsid w:val="008138F0"/>
    <w:rsid w:val="00814D85"/>
    <w:rsid w:val="008151F5"/>
    <w:rsid w:val="00815C2E"/>
    <w:rsid w:val="00816D2F"/>
    <w:rsid w:val="00816EDB"/>
    <w:rsid w:val="008203B3"/>
    <w:rsid w:val="0082191D"/>
    <w:rsid w:val="00822DB3"/>
    <w:rsid w:val="008230CA"/>
    <w:rsid w:val="00826013"/>
    <w:rsid w:val="0082627D"/>
    <w:rsid w:val="00826C11"/>
    <w:rsid w:val="00827962"/>
    <w:rsid w:val="00827E97"/>
    <w:rsid w:val="00830713"/>
    <w:rsid w:val="00832A3B"/>
    <w:rsid w:val="008330EF"/>
    <w:rsid w:val="0083399D"/>
    <w:rsid w:val="00833C3C"/>
    <w:rsid w:val="00834AB3"/>
    <w:rsid w:val="0083537F"/>
    <w:rsid w:val="00835B75"/>
    <w:rsid w:val="008360FD"/>
    <w:rsid w:val="0083657F"/>
    <w:rsid w:val="00837DE9"/>
    <w:rsid w:val="00840196"/>
    <w:rsid w:val="008402AF"/>
    <w:rsid w:val="00840E43"/>
    <w:rsid w:val="00841401"/>
    <w:rsid w:val="00843605"/>
    <w:rsid w:val="00843CBC"/>
    <w:rsid w:val="00843F22"/>
    <w:rsid w:val="008452D6"/>
    <w:rsid w:val="00845F54"/>
    <w:rsid w:val="00847087"/>
    <w:rsid w:val="00847FA5"/>
    <w:rsid w:val="0085135A"/>
    <w:rsid w:val="00851884"/>
    <w:rsid w:val="00852701"/>
    <w:rsid w:val="00852AE4"/>
    <w:rsid w:val="00852C1A"/>
    <w:rsid w:val="00852E54"/>
    <w:rsid w:val="00852FC8"/>
    <w:rsid w:val="00854094"/>
    <w:rsid w:val="008545D5"/>
    <w:rsid w:val="00855D48"/>
    <w:rsid w:val="00855F77"/>
    <w:rsid w:val="00856FC1"/>
    <w:rsid w:val="008570DA"/>
    <w:rsid w:val="00857CC7"/>
    <w:rsid w:val="00857D4C"/>
    <w:rsid w:val="00857DD7"/>
    <w:rsid w:val="00860E40"/>
    <w:rsid w:val="00862040"/>
    <w:rsid w:val="0086267F"/>
    <w:rsid w:val="00862897"/>
    <w:rsid w:val="008628EC"/>
    <w:rsid w:val="008631D7"/>
    <w:rsid w:val="008636EE"/>
    <w:rsid w:val="0086467A"/>
    <w:rsid w:val="0086479E"/>
    <w:rsid w:val="00864D1E"/>
    <w:rsid w:val="0086769C"/>
    <w:rsid w:val="008677ED"/>
    <w:rsid w:val="00867B2A"/>
    <w:rsid w:val="00867DB1"/>
    <w:rsid w:val="00870961"/>
    <w:rsid w:val="00870B32"/>
    <w:rsid w:val="008739B0"/>
    <w:rsid w:val="00874011"/>
    <w:rsid w:val="00875BF7"/>
    <w:rsid w:val="008767A1"/>
    <w:rsid w:val="00876C4E"/>
    <w:rsid w:val="008770B8"/>
    <w:rsid w:val="00877218"/>
    <w:rsid w:val="008772DD"/>
    <w:rsid w:val="00877BF4"/>
    <w:rsid w:val="0088072C"/>
    <w:rsid w:val="00880BBE"/>
    <w:rsid w:val="00880D90"/>
    <w:rsid w:val="008811A6"/>
    <w:rsid w:val="00881EA4"/>
    <w:rsid w:val="00882B35"/>
    <w:rsid w:val="00882B3B"/>
    <w:rsid w:val="00882E6C"/>
    <w:rsid w:val="00882EED"/>
    <w:rsid w:val="00883F4A"/>
    <w:rsid w:val="00884166"/>
    <w:rsid w:val="00885B27"/>
    <w:rsid w:val="00886843"/>
    <w:rsid w:val="008869DB"/>
    <w:rsid w:val="00886E5A"/>
    <w:rsid w:val="00887726"/>
    <w:rsid w:val="00887833"/>
    <w:rsid w:val="00890A63"/>
    <w:rsid w:val="00890ACD"/>
    <w:rsid w:val="00891398"/>
    <w:rsid w:val="0089234D"/>
    <w:rsid w:val="00892971"/>
    <w:rsid w:val="0089467A"/>
    <w:rsid w:val="00894C8F"/>
    <w:rsid w:val="00894D05"/>
    <w:rsid w:val="00895192"/>
    <w:rsid w:val="00895DBE"/>
    <w:rsid w:val="00895E53"/>
    <w:rsid w:val="008A0587"/>
    <w:rsid w:val="008A16D5"/>
    <w:rsid w:val="008A1D25"/>
    <w:rsid w:val="008A21CE"/>
    <w:rsid w:val="008A2526"/>
    <w:rsid w:val="008A276C"/>
    <w:rsid w:val="008A2A50"/>
    <w:rsid w:val="008A3553"/>
    <w:rsid w:val="008A3A51"/>
    <w:rsid w:val="008A4055"/>
    <w:rsid w:val="008A5471"/>
    <w:rsid w:val="008A5A30"/>
    <w:rsid w:val="008A6374"/>
    <w:rsid w:val="008A692E"/>
    <w:rsid w:val="008A72C3"/>
    <w:rsid w:val="008A76F6"/>
    <w:rsid w:val="008A7B27"/>
    <w:rsid w:val="008A7DA7"/>
    <w:rsid w:val="008B0359"/>
    <w:rsid w:val="008B093E"/>
    <w:rsid w:val="008B09C2"/>
    <w:rsid w:val="008B0B30"/>
    <w:rsid w:val="008B1F4D"/>
    <w:rsid w:val="008B2461"/>
    <w:rsid w:val="008B2C23"/>
    <w:rsid w:val="008B3C31"/>
    <w:rsid w:val="008B3F06"/>
    <w:rsid w:val="008B48B0"/>
    <w:rsid w:val="008B50A6"/>
    <w:rsid w:val="008B5DD7"/>
    <w:rsid w:val="008B6C1E"/>
    <w:rsid w:val="008B7C77"/>
    <w:rsid w:val="008B7DF6"/>
    <w:rsid w:val="008C1535"/>
    <w:rsid w:val="008C18C7"/>
    <w:rsid w:val="008C1B3D"/>
    <w:rsid w:val="008C4DCF"/>
    <w:rsid w:val="008C5DDB"/>
    <w:rsid w:val="008C6853"/>
    <w:rsid w:val="008C73C2"/>
    <w:rsid w:val="008C7A23"/>
    <w:rsid w:val="008D0520"/>
    <w:rsid w:val="008D0CFE"/>
    <w:rsid w:val="008D0F76"/>
    <w:rsid w:val="008D11C0"/>
    <w:rsid w:val="008D194F"/>
    <w:rsid w:val="008D35ED"/>
    <w:rsid w:val="008D4328"/>
    <w:rsid w:val="008D4801"/>
    <w:rsid w:val="008D60D0"/>
    <w:rsid w:val="008D7C67"/>
    <w:rsid w:val="008E0F93"/>
    <w:rsid w:val="008E11A3"/>
    <w:rsid w:val="008E284F"/>
    <w:rsid w:val="008E2B11"/>
    <w:rsid w:val="008E2C35"/>
    <w:rsid w:val="008E332B"/>
    <w:rsid w:val="008E33D6"/>
    <w:rsid w:val="008E5715"/>
    <w:rsid w:val="008E5AF2"/>
    <w:rsid w:val="008E63F1"/>
    <w:rsid w:val="008E7080"/>
    <w:rsid w:val="008E77AE"/>
    <w:rsid w:val="008E7834"/>
    <w:rsid w:val="008F0723"/>
    <w:rsid w:val="008F11C5"/>
    <w:rsid w:val="008F122D"/>
    <w:rsid w:val="008F3174"/>
    <w:rsid w:val="009004AF"/>
    <w:rsid w:val="00900F43"/>
    <w:rsid w:val="009041CD"/>
    <w:rsid w:val="009047C9"/>
    <w:rsid w:val="00905401"/>
    <w:rsid w:val="009058CF"/>
    <w:rsid w:val="009062D9"/>
    <w:rsid w:val="00906C05"/>
    <w:rsid w:val="0090776C"/>
    <w:rsid w:val="00907A0E"/>
    <w:rsid w:val="00911372"/>
    <w:rsid w:val="009113F4"/>
    <w:rsid w:val="00911E31"/>
    <w:rsid w:val="00911F96"/>
    <w:rsid w:val="00912091"/>
    <w:rsid w:val="009126F0"/>
    <w:rsid w:val="009134C8"/>
    <w:rsid w:val="00914D4E"/>
    <w:rsid w:val="00915499"/>
    <w:rsid w:val="00917213"/>
    <w:rsid w:val="009175A9"/>
    <w:rsid w:val="00920C58"/>
    <w:rsid w:val="00921525"/>
    <w:rsid w:val="0092155F"/>
    <w:rsid w:val="009231F3"/>
    <w:rsid w:val="00924388"/>
    <w:rsid w:val="009249B6"/>
    <w:rsid w:val="00924FAE"/>
    <w:rsid w:val="00925270"/>
    <w:rsid w:val="00926FB0"/>
    <w:rsid w:val="009323A4"/>
    <w:rsid w:val="00933A64"/>
    <w:rsid w:val="00934B11"/>
    <w:rsid w:val="00934B71"/>
    <w:rsid w:val="00934B87"/>
    <w:rsid w:val="00935015"/>
    <w:rsid w:val="0093507D"/>
    <w:rsid w:val="00935224"/>
    <w:rsid w:val="00936266"/>
    <w:rsid w:val="00936ADA"/>
    <w:rsid w:val="00936F7D"/>
    <w:rsid w:val="0093767F"/>
    <w:rsid w:val="009407FC"/>
    <w:rsid w:val="0094174C"/>
    <w:rsid w:val="009431FC"/>
    <w:rsid w:val="009449F2"/>
    <w:rsid w:val="00944B22"/>
    <w:rsid w:val="00945BAA"/>
    <w:rsid w:val="009464CD"/>
    <w:rsid w:val="00947AC8"/>
    <w:rsid w:val="0095077E"/>
    <w:rsid w:val="00950BD6"/>
    <w:rsid w:val="0095103C"/>
    <w:rsid w:val="00951072"/>
    <w:rsid w:val="00953942"/>
    <w:rsid w:val="009539E6"/>
    <w:rsid w:val="009545F5"/>
    <w:rsid w:val="009557AD"/>
    <w:rsid w:val="009557B1"/>
    <w:rsid w:val="00955FE7"/>
    <w:rsid w:val="009566AB"/>
    <w:rsid w:val="00956AB3"/>
    <w:rsid w:val="009572BA"/>
    <w:rsid w:val="0095748D"/>
    <w:rsid w:val="00957558"/>
    <w:rsid w:val="009576EA"/>
    <w:rsid w:val="009577E9"/>
    <w:rsid w:val="00957D9F"/>
    <w:rsid w:val="00960DE2"/>
    <w:rsid w:val="00961E9C"/>
    <w:rsid w:val="009624A1"/>
    <w:rsid w:val="009647EC"/>
    <w:rsid w:val="00967284"/>
    <w:rsid w:val="0096775C"/>
    <w:rsid w:val="009711B8"/>
    <w:rsid w:val="009719FB"/>
    <w:rsid w:val="00972192"/>
    <w:rsid w:val="00972664"/>
    <w:rsid w:val="00973C73"/>
    <w:rsid w:val="0097538D"/>
    <w:rsid w:val="00975E74"/>
    <w:rsid w:val="00976911"/>
    <w:rsid w:val="00977742"/>
    <w:rsid w:val="009806F0"/>
    <w:rsid w:val="00981181"/>
    <w:rsid w:val="009812FD"/>
    <w:rsid w:val="009813D5"/>
    <w:rsid w:val="009816C4"/>
    <w:rsid w:val="0098346B"/>
    <w:rsid w:val="00985A43"/>
    <w:rsid w:val="009860B9"/>
    <w:rsid w:val="00990B9A"/>
    <w:rsid w:val="00991165"/>
    <w:rsid w:val="00991306"/>
    <w:rsid w:val="00991FB7"/>
    <w:rsid w:val="00992060"/>
    <w:rsid w:val="009929EB"/>
    <w:rsid w:val="00992F75"/>
    <w:rsid w:val="00993080"/>
    <w:rsid w:val="00993543"/>
    <w:rsid w:val="00993B0E"/>
    <w:rsid w:val="00993B25"/>
    <w:rsid w:val="009940EE"/>
    <w:rsid w:val="0099413B"/>
    <w:rsid w:val="009941AE"/>
    <w:rsid w:val="009945AA"/>
    <w:rsid w:val="00994F4D"/>
    <w:rsid w:val="009958AC"/>
    <w:rsid w:val="00995936"/>
    <w:rsid w:val="00996BB4"/>
    <w:rsid w:val="009A0B3D"/>
    <w:rsid w:val="009A19F9"/>
    <w:rsid w:val="009A2199"/>
    <w:rsid w:val="009A26DA"/>
    <w:rsid w:val="009A316A"/>
    <w:rsid w:val="009A3900"/>
    <w:rsid w:val="009A3AEF"/>
    <w:rsid w:val="009A410B"/>
    <w:rsid w:val="009A5C27"/>
    <w:rsid w:val="009A5F5C"/>
    <w:rsid w:val="009A65CC"/>
    <w:rsid w:val="009A6776"/>
    <w:rsid w:val="009B0412"/>
    <w:rsid w:val="009B05E8"/>
    <w:rsid w:val="009B0F84"/>
    <w:rsid w:val="009B2761"/>
    <w:rsid w:val="009B3428"/>
    <w:rsid w:val="009B37BD"/>
    <w:rsid w:val="009B3D86"/>
    <w:rsid w:val="009B4360"/>
    <w:rsid w:val="009B4E51"/>
    <w:rsid w:val="009B5DF4"/>
    <w:rsid w:val="009B735C"/>
    <w:rsid w:val="009B76C6"/>
    <w:rsid w:val="009C05BE"/>
    <w:rsid w:val="009C0D36"/>
    <w:rsid w:val="009C172B"/>
    <w:rsid w:val="009C18AE"/>
    <w:rsid w:val="009C1D95"/>
    <w:rsid w:val="009C2096"/>
    <w:rsid w:val="009C244F"/>
    <w:rsid w:val="009C276A"/>
    <w:rsid w:val="009C3A47"/>
    <w:rsid w:val="009C4922"/>
    <w:rsid w:val="009C58CA"/>
    <w:rsid w:val="009C5E0F"/>
    <w:rsid w:val="009C6DED"/>
    <w:rsid w:val="009C73C3"/>
    <w:rsid w:val="009C7E54"/>
    <w:rsid w:val="009D21E6"/>
    <w:rsid w:val="009D2CED"/>
    <w:rsid w:val="009D38D0"/>
    <w:rsid w:val="009D396B"/>
    <w:rsid w:val="009D3BB9"/>
    <w:rsid w:val="009D3EBC"/>
    <w:rsid w:val="009D451B"/>
    <w:rsid w:val="009D4A51"/>
    <w:rsid w:val="009D54BF"/>
    <w:rsid w:val="009D6235"/>
    <w:rsid w:val="009D68C5"/>
    <w:rsid w:val="009D6B01"/>
    <w:rsid w:val="009E0547"/>
    <w:rsid w:val="009E087F"/>
    <w:rsid w:val="009E0ADF"/>
    <w:rsid w:val="009E0B56"/>
    <w:rsid w:val="009E0C9F"/>
    <w:rsid w:val="009E11AF"/>
    <w:rsid w:val="009E21FE"/>
    <w:rsid w:val="009E3BA3"/>
    <w:rsid w:val="009E55FE"/>
    <w:rsid w:val="009E6461"/>
    <w:rsid w:val="009E6669"/>
    <w:rsid w:val="009E6747"/>
    <w:rsid w:val="009F062F"/>
    <w:rsid w:val="009F2311"/>
    <w:rsid w:val="009F2575"/>
    <w:rsid w:val="009F25DB"/>
    <w:rsid w:val="009F449D"/>
    <w:rsid w:val="009F5C8D"/>
    <w:rsid w:val="009F6736"/>
    <w:rsid w:val="00A005FE"/>
    <w:rsid w:val="00A0084A"/>
    <w:rsid w:val="00A008B6"/>
    <w:rsid w:val="00A012B3"/>
    <w:rsid w:val="00A01F48"/>
    <w:rsid w:val="00A0272F"/>
    <w:rsid w:val="00A03209"/>
    <w:rsid w:val="00A05A59"/>
    <w:rsid w:val="00A06161"/>
    <w:rsid w:val="00A064E7"/>
    <w:rsid w:val="00A065C7"/>
    <w:rsid w:val="00A07942"/>
    <w:rsid w:val="00A103DD"/>
    <w:rsid w:val="00A10DD1"/>
    <w:rsid w:val="00A11645"/>
    <w:rsid w:val="00A11E52"/>
    <w:rsid w:val="00A1209C"/>
    <w:rsid w:val="00A12914"/>
    <w:rsid w:val="00A13870"/>
    <w:rsid w:val="00A13C47"/>
    <w:rsid w:val="00A149EF"/>
    <w:rsid w:val="00A14A82"/>
    <w:rsid w:val="00A15392"/>
    <w:rsid w:val="00A15511"/>
    <w:rsid w:val="00A15712"/>
    <w:rsid w:val="00A16290"/>
    <w:rsid w:val="00A16484"/>
    <w:rsid w:val="00A16626"/>
    <w:rsid w:val="00A223B5"/>
    <w:rsid w:val="00A2274F"/>
    <w:rsid w:val="00A234CB"/>
    <w:rsid w:val="00A235CA"/>
    <w:rsid w:val="00A235D3"/>
    <w:rsid w:val="00A2485F"/>
    <w:rsid w:val="00A257FC"/>
    <w:rsid w:val="00A301AA"/>
    <w:rsid w:val="00A30480"/>
    <w:rsid w:val="00A3049D"/>
    <w:rsid w:val="00A30E9C"/>
    <w:rsid w:val="00A321CD"/>
    <w:rsid w:val="00A32C7B"/>
    <w:rsid w:val="00A33128"/>
    <w:rsid w:val="00A35A71"/>
    <w:rsid w:val="00A35C38"/>
    <w:rsid w:val="00A36446"/>
    <w:rsid w:val="00A36D74"/>
    <w:rsid w:val="00A36EC6"/>
    <w:rsid w:val="00A37B99"/>
    <w:rsid w:val="00A4034A"/>
    <w:rsid w:val="00A4089B"/>
    <w:rsid w:val="00A41593"/>
    <w:rsid w:val="00A42118"/>
    <w:rsid w:val="00A45695"/>
    <w:rsid w:val="00A45B7F"/>
    <w:rsid w:val="00A466F9"/>
    <w:rsid w:val="00A478C6"/>
    <w:rsid w:val="00A479A5"/>
    <w:rsid w:val="00A501EE"/>
    <w:rsid w:val="00A5044E"/>
    <w:rsid w:val="00A50493"/>
    <w:rsid w:val="00A506AC"/>
    <w:rsid w:val="00A50BEB"/>
    <w:rsid w:val="00A50E84"/>
    <w:rsid w:val="00A518FC"/>
    <w:rsid w:val="00A52E0A"/>
    <w:rsid w:val="00A53B30"/>
    <w:rsid w:val="00A56BC6"/>
    <w:rsid w:val="00A574A8"/>
    <w:rsid w:val="00A614C8"/>
    <w:rsid w:val="00A62ED0"/>
    <w:rsid w:val="00A63C89"/>
    <w:rsid w:val="00A65750"/>
    <w:rsid w:val="00A658BB"/>
    <w:rsid w:val="00A66D94"/>
    <w:rsid w:val="00A67372"/>
    <w:rsid w:val="00A6749B"/>
    <w:rsid w:val="00A701D3"/>
    <w:rsid w:val="00A70315"/>
    <w:rsid w:val="00A70A85"/>
    <w:rsid w:val="00A71909"/>
    <w:rsid w:val="00A7200E"/>
    <w:rsid w:val="00A7203A"/>
    <w:rsid w:val="00A724DC"/>
    <w:rsid w:val="00A73C59"/>
    <w:rsid w:val="00A74C57"/>
    <w:rsid w:val="00A752E0"/>
    <w:rsid w:val="00A75312"/>
    <w:rsid w:val="00A75544"/>
    <w:rsid w:val="00A759C8"/>
    <w:rsid w:val="00A75BAC"/>
    <w:rsid w:val="00A762C2"/>
    <w:rsid w:val="00A766DB"/>
    <w:rsid w:val="00A80423"/>
    <w:rsid w:val="00A8218B"/>
    <w:rsid w:val="00A841CF"/>
    <w:rsid w:val="00A8488C"/>
    <w:rsid w:val="00A84C55"/>
    <w:rsid w:val="00A854BA"/>
    <w:rsid w:val="00A86693"/>
    <w:rsid w:val="00A9012C"/>
    <w:rsid w:val="00A90667"/>
    <w:rsid w:val="00A90FC7"/>
    <w:rsid w:val="00A91F90"/>
    <w:rsid w:val="00A92946"/>
    <w:rsid w:val="00A9339E"/>
    <w:rsid w:val="00A9518C"/>
    <w:rsid w:val="00A95FA1"/>
    <w:rsid w:val="00A97107"/>
    <w:rsid w:val="00A97D2D"/>
    <w:rsid w:val="00AA060D"/>
    <w:rsid w:val="00AA07E5"/>
    <w:rsid w:val="00AA15A2"/>
    <w:rsid w:val="00AA2D2A"/>
    <w:rsid w:val="00AA3115"/>
    <w:rsid w:val="00AA365B"/>
    <w:rsid w:val="00AA4DBD"/>
    <w:rsid w:val="00AA5585"/>
    <w:rsid w:val="00AA6666"/>
    <w:rsid w:val="00AA67D9"/>
    <w:rsid w:val="00AA783E"/>
    <w:rsid w:val="00AB0B3C"/>
    <w:rsid w:val="00AB0C40"/>
    <w:rsid w:val="00AB2783"/>
    <w:rsid w:val="00AB3CE8"/>
    <w:rsid w:val="00AB3EAA"/>
    <w:rsid w:val="00AB44AA"/>
    <w:rsid w:val="00AB44B2"/>
    <w:rsid w:val="00AB472D"/>
    <w:rsid w:val="00AB4DE8"/>
    <w:rsid w:val="00AB5C1B"/>
    <w:rsid w:val="00AB6084"/>
    <w:rsid w:val="00AB659F"/>
    <w:rsid w:val="00AB6D7B"/>
    <w:rsid w:val="00AB6DF9"/>
    <w:rsid w:val="00AB6FFE"/>
    <w:rsid w:val="00AB73C0"/>
    <w:rsid w:val="00AB7893"/>
    <w:rsid w:val="00AC042E"/>
    <w:rsid w:val="00AC0BC2"/>
    <w:rsid w:val="00AC0ECB"/>
    <w:rsid w:val="00AC1436"/>
    <w:rsid w:val="00AC193A"/>
    <w:rsid w:val="00AC1EAC"/>
    <w:rsid w:val="00AC2400"/>
    <w:rsid w:val="00AC279D"/>
    <w:rsid w:val="00AC2C0D"/>
    <w:rsid w:val="00AC2E86"/>
    <w:rsid w:val="00AC365B"/>
    <w:rsid w:val="00AC4C57"/>
    <w:rsid w:val="00AC5510"/>
    <w:rsid w:val="00AC58B5"/>
    <w:rsid w:val="00AC6BE5"/>
    <w:rsid w:val="00AC6CC1"/>
    <w:rsid w:val="00AC6D17"/>
    <w:rsid w:val="00AC6D7A"/>
    <w:rsid w:val="00AC7AB7"/>
    <w:rsid w:val="00AC7C99"/>
    <w:rsid w:val="00AD1C1F"/>
    <w:rsid w:val="00AD26F4"/>
    <w:rsid w:val="00AD3679"/>
    <w:rsid w:val="00AD37D5"/>
    <w:rsid w:val="00AD43A1"/>
    <w:rsid w:val="00AD56D2"/>
    <w:rsid w:val="00AD6721"/>
    <w:rsid w:val="00AD6D61"/>
    <w:rsid w:val="00AD6F6B"/>
    <w:rsid w:val="00AD721F"/>
    <w:rsid w:val="00AD7985"/>
    <w:rsid w:val="00AE126B"/>
    <w:rsid w:val="00AE1757"/>
    <w:rsid w:val="00AE1811"/>
    <w:rsid w:val="00AE2237"/>
    <w:rsid w:val="00AE289B"/>
    <w:rsid w:val="00AE2B82"/>
    <w:rsid w:val="00AE326C"/>
    <w:rsid w:val="00AE3954"/>
    <w:rsid w:val="00AE3E63"/>
    <w:rsid w:val="00AE3EE7"/>
    <w:rsid w:val="00AE4CB8"/>
    <w:rsid w:val="00AE5602"/>
    <w:rsid w:val="00AE58D3"/>
    <w:rsid w:val="00AE5F1F"/>
    <w:rsid w:val="00AE61B5"/>
    <w:rsid w:val="00AE6E0E"/>
    <w:rsid w:val="00AE7332"/>
    <w:rsid w:val="00AF0B6E"/>
    <w:rsid w:val="00AF1CCD"/>
    <w:rsid w:val="00AF2888"/>
    <w:rsid w:val="00AF2C59"/>
    <w:rsid w:val="00AF3198"/>
    <w:rsid w:val="00AF3D2C"/>
    <w:rsid w:val="00AF41A0"/>
    <w:rsid w:val="00AF576F"/>
    <w:rsid w:val="00AF66DA"/>
    <w:rsid w:val="00AF69D4"/>
    <w:rsid w:val="00AF6AA4"/>
    <w:rsid w:val="00AF6D34"/>
    <w:rsid w:val="00AF7167"/>
    <w:rsid w:val="00B00E46"/>
    <w:rsid w:val="00B01AF8"/>
    <w:rsid w:val="00B02C39"/>
    <w:rsid w:val="00B04015"/>
    <w:rsid w:val="00B0467C"/>
    <w:rsid w:val="00B04DF0"/>
    <w:rsid w:val="00B06028"/>
    <w:rsid w:val="00B064D2"/>
    <w:rsid w:val="00B06536"/>
    <w:rsid w:val="00B06AC6"/>
    <w:rsid w:val="00B06B37"/>
    <w:rsid w:val="00B078A4"/>
    <w:rsid w:val="00B106BB"/>
    <w:rsid w:val="00B118BE"/>
    <w:rsid w:val="00B11EDC"/>
    <w:rsid w:val="00B125E7"/>
    <w:rsid w:val="00B13A31"/>
    <w:rsid w:val="00B13B53"/>
    <w:rsid w:val="00B15424"/>
    <w:rsid w:val="00B16070"/>
    <w:rsid w:val="00B1625B"/>
    <w:rsid w:val="00B16594"/>
    <w:rsid w:val="00B16A2E"/>
    <w:rsid w:val="00B1726E"/>
    <w:rsid w:val="00B20183"/>
    <w:rsid w:val="00B20918"/>
    <w:rsid w:val="00B20DE0"/>
    <w:rsid w:val="00B22299"/>
    <w:rsid w:val="00B23455"/>
    <w:rsid w:val="00B235CB"/>
    <w:rsid w:val="00B23EF7"/>
    <w:rsid w:val="00B243AB"/>
    <w:rsid w:val="00B2559E"/>
    <w:rsid w:val="00B25AA3"/>
    <w:rsid w:val="00B25C68"/>
    <w:rsid w:val="00B25D02"/>
    <w:rsid w:val="00B26346"/>
    <w:rsid w:val="00B27C9D"/>
    <w:rsid w:val="00B3102D"/>
    <w:rsid w:val="00B326F3"/>
    <w:rsid w:val="00B33524"/>
    <w:rsid w:val="00B33791"/>
    <w:rsid w:val="00B3439F"/>
    <w:rsid w:val="00B348E7"/>
    <w:rsid w:val="00B3584E"/>
    <w:rsid w:val="00B35DDB"/>
    <w:rsid w:val="00B35FDD"/>
    <w:rsid w:val="00B371AA"/>
    <w:rsid w:val="00B373B3"/>
    <w:rsid w:val="00B37BB7"/>
    <w:rsid w:val="00B37BCD"/>
    <w:rsid w:val="00B424AB"/>
    <w:rsid w:val="00B42853"/>
    <w:rsid w:val="00B44B37"/>
    <w:rsid w:val="00B44F9F"/>
    <w:rsid w:val="00B45524"/>
    <w:rsid w:val="00B46999"/>
    <w:rsid w:val="00B4709F"/>
    <w:rsid w:val="00B47157"/>
    <w:rsid w:val="00B47200"/>
    <w:rsid w:val="00B475F1"/>
    <w:rsid w:val="00B502AD"/>
    <w:rsid w:val="00B5037A"/>
    <w:rsid w:val="00B5037E"/>
    <w:rsid w:val="00B52941"/>
    <w:rsid w:val="00B5304E"/>
    <w:rsid w:val="00B539FA"/>
    <w:rsid w:val="00B543F6"/>
    <w:rsid w:val="00B54525"/>
    <w:rsid w:val="00B54B78"/>
    <w:rsid w:val="00B550D2"/>
    <w:rsid w:val="00B5579D"/>
    <w:rsid w:val="00B56100"/>
    <w:rsid w:val="00B6063F"/>
    <w:rsid w:val="00B60BDF"/>
    <w:rsid w:val="00B60E75"/>
    <w:rsid w:val="00B60EED"/>
    <w:rsid w:val="00B6237B"/>
    <w:rsid w:val="00B6403A"/>
    <w:rsid w:val="00B645CD"/>
    <w:rsid w:val="00B647D9"/>
    <w:rsid w:val="00B65605"/>
    <w:rsid w:val="00B658FE"/>
    <w:rsid w:val="00B66539"/>
    <w:rsid w:val="00B66632"/>
    <w:rsid w:val="00B673D8"/>
    <w:rsid w:val="00B67436"/>
    <w:rsid w:val="00B708AF"/>
    <w:rsid w:val="00B71262"/>
    <w:rsid w:val="00B73014"/>
    <w:rsid w:val="00B740D5"/>
    <w:rsid w:val="00B746CD"/>
    <w:rsid w:val="00B747DF"/>
    <w:rsid w:val="00B753EC"/>
    <w:rsid w:val="00B7661F"/>
    <w:rsid w:val="00B76C21"/>
    <w:rsid w:val="00B76FE0"/>
    <w:rsid w:val="00B77108"/>
    <w:rsid w:val="00B80690"/>
    <w:rsid w:val="00B8175A"/>
    <w:rsid w:val="00B818E9"/>
    <w:rsid w:val="00B81A86"/>
    <w:rsid w:val="00B82350"/>
    <w:rsid w:val="00B83ACB"/>
    <w:rsid w:val="00B84377"/>
    <w:rsid w:val="00B84518"/>
    <w:rsid w:val="00B85627"/>
    <w:rsid w:val="00B85CC9"/>
    <w:rsid w:val="00B8617A"/>
    <w:rsid w:val="00B87554"/>
    <w:rsid w:val="00B87643"/>
    <w:rsid w:val="00B90BAF"/>
    <w:rsid w:val="00B90D14"/>
    <w:rsid w:val="00B92585"/>
    <w:rsid w:val="00B926DC"/>
    <w:rsid w:val="00B93032"/>
    <w:rsid w:val="00B9322F"/>
    <w:rsid w:val="00B935B9"/>
    <w:rsid w:val="00B93718"/>
    <w:rsid w:val="00B959EE"/>
    <w:rsid w:val="00B95F41"/>
    <w:rsid w:val="00B961B9"/>
    <w:rsid w:val="00B9691A"/>
    <w:rsid w:val="00B96CC9"/>
    <w:rsid w:val="00B97DE2"/>
    <w:rsid w:val="00BA0058"/>
    <w:rsid w:val="00BA095C"/>
    <w:rsid w:val="00BA0D26"/>
    <w:rsid w:val="00BA23A1"/>
    <w:rsid w:val="00BA23BE"/>
    <w:rsid w:val="00BA266D"/>
    <w:rsid w:val="00BA3917"/>
    <w:rsid w:val="00BA4674"/>
    <w:rsid w:val="00BA4DF9"/>
    <w:rsid w:val="00BA576A"/>
    <w:rsid w:val="00BA62C5"/>
    <w:rsid w:val="00BA7A8B"/>
    <w:rsid w:val="00BA7E8A"/>
    <w:rsid w:val="00BB0826"/>
    <w:rsid w:val="00BB0FDB"/>
    <w:rsid w:val="00BB1700"/>
    <w:rsid w:val="00BB2A6D"/>
    <w:rsid w:val="00BB3376"/>
    <w:rsid w:val="00BB34F9"/>
    <w:rsid w:val="00BB38D1"/>
    <w:rsid w:val="00BB3EB4"/>
    <w:rsid w:val="00BB4FFF"/>
    <w:rsid w:val="00BB5820"/>
    <w:rsid w:val="00BB5CCE"/>
    <w:rsid w:val="00BB5D61"/>
    <w:rsid w:val="00BB6215"/>
    <w:rsid w:val="00BB6638"/>
    <w:rsid w:val="00BB6CAB"/>
    <w:rsid w:val="00BB7934"/>
    <w:rsid w:val="00BC1538"/>
    <w:rsid w:val="00BC1912"/>
    <w:rsid w:val="00BC1EAC"/>
    <w:rsid w:val="00BC254D"/>
    <w:rsid w:val="00BC3175"/>
    <w:rsid w:val="00BC3523"/>
    <w:rsid w:val="00BC52CB"/>
    <w:rsid w:val="00BC654B"/>
    <w:rsid w:val="00BC6B43"/>
    <w:rsid w:val="00BC7CB8"/>
    <w:rsid w:val="00BC7DAF"/>
    <w:rsid w:val="00BD0BB9"/>
    <w:rsid w:val="00BD0D0A"/>
    <w:rsid w:val="00BD1890"/>
    <w:rsid w:val="00BD2D25"/>
    <w:rsid w:val="00BD3FC7"/>
    <w:rsid w:val="00BD513C"/>
    <w:rsid w:val="00BD5DC5"/>
    <w:rsid w:val="00BD5F31"/>
    <w:rsid w:val="00BD70AC"/>
    <w:rsid w:val="00BE01E9"/>
    <w:rsid w:val="00BE02B8"/>
    <w:rsid w:val="00BE0AAC"/>
    <w:rsid w:val="00BE373C"/>
    <w:rsid w:val="00BE39DB"/>
    <w:rsid w:val="00BE41B7"/>
    <w:rsid w:val="00BE5441"/>
    <w:rsid w:val="00BE6138"/>
    <w:rsid w:val="00BF02F6"/>
    <w:rsid w:val="00BF084F"/>
    <w:rsid w:val="00BF0EA0"/>
    <w:rsid w:val="00BF11C9"/>
    <w:rsid w:val="00BF1472"/>
    <w:rsid w:val="00BF1B75"/>
    <w:rsid w:val="00BF1C5C"/>
    <w:rsid w:val="00BF2FF9"/>
    <w:rsid w:val="00BF3937"/>
    <w:rsid w:val="00BF42CE"/>
    <w:rsid w:val="00BF56D5"/>
    <w:rsid w:val="00BF5865"/>
    <w:rsid w:val="00BF67C4"/>
    <w:rsid w:val="00BF68A0"/>
    <w:rsid w:val="00BF74BC"/>
    <w:rsid w:val="00BF77A7"/>
    <w:rsid w:val="00BF7F9E"/>
    <w:rsid w:val="00C004C1"/>
    <w:rsid w:val="00C00B5D"/>
    <w:rsid w:val="00C00C20"/>
    <w:rsid w:val="00C00DFC"/>
    <w:rsid w:val="00C01736"/>
    <w:rsid w:val="00C01E27"/>
    <w:rsid w:val="00C02228"/>
    <w:rsid w:val="00C02307"/>
    <w:rsid w:val="00C02DAD"/>
    <w:rsid w:val="00C042DF"/>
    <w:rsid w:val="00C04FFC"/>
    <w:rsid w:val="00C079FE"/>
    <w:rsid w:val="00C10778"/>
    <w:rsid w:val="00C10AD5"/>
    <w:rsid w:val="00C1304F"/>
    <w:rsid w:val="00C13B82"/>
    <w:rsid w:val="00C15A38"/>
    <w:rsid w:val="00C15CCC"/>
    <w:rsid w:val="00C1675A"/>
    <w:rsid w:val="00C1732A"/>
    <w:rsid w:val="00C20029"/>
    <w:rsid w:val="00C2196F"/>
    <w:rsid w:val="00C21EE0"/>
    <w:rsid w:val="00C22F82"/>
    <w:rsid w:val="00C2428B"/>
    <w:rsid w:val="00C258B1"/>
    <w:rsid w:val="00C26B69"/>
    <w:rsid w:val="00C27046"/>
    <w:rsid w:val="00C277A8"/>
    <w:rsid w:val="00C27A54"/>
    <w:rsid w:val="00C32822"/>
    <w:rsid w:val="00C337A0"/>
    <w:rsid w:val="00C341A0"/>
    <w:rsid w:val="00C35900"/>
    <w:rsid w:val="00C3722B"/>
    <w:rsid w:val="00C4065D"/>
    <w:rsid w:val="00C4143B"/>
    <w:rsid w:val="00C46297"/>
    <w:rsid w:val="00C46A93"/>
    <w:rsid w:val="00C470F0"/>
    <w:rsid w:val="00C473EA"/>
    <w:rsid w:val="00C47F11"/>
    <w:rsid w:val="00C50260"/>
    <w:rsid w:val="00C509D1"/>
    <w:rsid w:val="00C514A1"/>
    <w:rsid w:val="00C516F8"/>
    <w:rsid w:val="00C528D1"/>
    <w:rsid w:val="00C52A57"/>
    <w:rsid w:val="00C52AE8"/>
    <w:rsid w:val="00C531DF"/>
    <w:rsid w:val="00C53C85"/>
    <w:rsid w:val="00C54BDB"/>
    <w:rsid w:val="00C55F17"/>
    <w:rsid w:val="00C56532"/>
    <w:rsid w:val="00C56ACF"/>
    <w:rsid w:val="00C571BC"/>
    <w:rsid w:val="00C57B8D"/>
    <w:rsid w:val="00C60807"/>
    <w:rsid w:val="00C60A1C"/>
    <w:rsid w:val="00C615DA"/>
    <w:rsid w:val="00C621A0"/>
    <w:rsid w:val="00C62AB8"/>
    <w:rsid w:val="00C6491C"/>
    <w:rsid w:val="00C64D1E"/>
    <w:rsid w:val="00C650F0"/>
    <w:rsid w:val="00C65542"/>
    <w:rsid w:val="00C65FF2"/>
    <w:rsid w:val="00C667F6"/>
    <w:rsid w:val="00C670F1"/>
    <w:rsid w:val="00C67FAC"/>
    <w:rsid w:val="00C70A22"/>
    <w:rsid w:val="00C70E62"/>
    <w:rsid w:val="00C71581"/>
    <w:rsid w:val="00C717C1"/>
    <w:rsid w:val="00C72511"/>
    <w:rsid w:val="00C725EA"/>
    <w:rsid w:val="00C7326D"/>
    <w:rsid w:val="00C738AF"/>
    <w:rsid w:val="00C73B6E"/>
    <w:rsid w:val="00C73D0C"/>
    <w:rsid w:val="00C7425A"/>
    <w:rsid w:val="00C7458A"/>
    <w:rsid w:val="00C74E02"/>
    <w:rsid w:val="00C74FE3"/>
    <w:rsid w:val="00C7506F"/>
    <w:rsid w:val="00C750AB"/>
    <w:rsid w:val="00C75486"/>
    <w:rsid w:val="00C75737"/>
    <w:rsid w:val="00C75EF7"/>
    <w:rsid w:val="00C76181"/>
    <w:rsid w:val="00C764F3"/>
    <w:rsid w:val="00C767F0"/>
    <w:rsid w:val="00C803CF"/>
    <w:rsid w:val="00C818F2"/>
    <w:rsid w:val="00C81C56"/>
    <w:rsid w:val="00C828E4"/>
    <w:rsid w:val="00C82C1A"/>
    <w:rsid w:val="00C840E3"/>
    <w:rsid w:val="00C8480F"/>
    <w:rsid w:val="00C852D6"/>
    <w:rsid w:val="00C8634A"/>
    <w:rsid w:val="00C86886"/>
    <w:rsid w:val="00C874B9"/>
    <w:rsid w:val="00C879B5"/>
    <w:rsid w:val="00C879F5"/>
    <w:rsid w:val="00C87D15"/>
    <w:rsid w:val="00C87F69"/>
    <w:rsid w:val="00C904CA"/>
    <w:rsid w:val="00C90EA0"/>
    <w:rsid w:val="00C91A02"/>
    <w:rsid w:val="00C91A32"/>
    <w:rsid w:val="00C92140"/>
    <w:rsid w:val="00C93A24"/>
    <w:rsid w:val="00C94685"/>
    <w:rsid w:val="00C94737"/>
    <w:rsid w:val="00C95582"/>
    <w:rsid w:val="00C9563C"/>
    <w:rsid w:val="00C957B9"/>
    <w:rsid w:val="00C9648D"/>
    <w:rsid w:val="00C96680"/>
    <w:rsid w:val="00C9723C"/>
    <w:rsid w:val="00CA26EF"/>
    <w:rsid w:val="00CA2B48"/>
    <w:rsid w:val="00CA3E70"/>
    <w:rsid w:val="00CA3FBA"/>
    <w:rsid w:val="00CA42F9"/>
    <w:rsid w:val="00CA55FE"/>
    <w:rsid w:val="00CA647C"/>
    <w:rsid w:val="00CA6F0A"/>
    <w:rsid w:val="00CA720B"/>
    <w:rsid w:val="00CA7485"/>
    <w:rsid w:val="00CA7890"/>
    <w:rsid w:val="00CA7984"/>
    <w:rsid w:val="00CA7C71"/>
    <w:rsid w:val="00CB0A01"/>
    <w:rsid w:val="00CB22B1"/>
    <w:rsid w:val="00CB2D52"/>
    <w:rsid w:val="00CB3159"/>
    <w:rsid w:val="00CB357E"/>
    <w:rsid w:val="00CB3642"/>
    <w:rsid w:val="00CB41A7"/>
    <w:rsid w:val="00CB4B35"/>
    <w:rsid w:val="00CB50BF"/>
    <w:rsid w:val="00CB52C8"/>
    <w:rsid w:val="00CB54A3"/>
    <w:rsid w:val="00CB5AD4"/>
    <w:rsid w:val="00CB70C8"/>
    <w:rsid w:val="00CC058C"/>
    <w:rsid w:val="00CC1169"/>
    <w:rsid w:val="00CC13AB"/>
    <w:rsid w:val="00CC1E7B"/>
    <w:rsid w:val="00CC211A"/>
    <w:rsid w:val="00CC30C9"/>
    <w:rsid w:val="00CC3800"/>
    <w:rsid w:val="00CC3E5A"/>
    <w:rsid w:val="00CC51CE"/>
    <w:rsid w:val="00CC54AC"/>
    <w:rsid w:val="00CC76BF"/>
    <w:rsid w:val="00CC78FD"/>
    <w:rsid w:val="00CD0750"/>
    <w:rsid w:val="00CD1B64"/>
    <w:rsid w:val="00CD2DA7"/>
    <w:rsid w:val="00CD43AB"/>
    <w:rsid w:val="00CD4AD6"/>
    <w:rsid w:val="00CD4B93"/>
    <w:rsid w:val="00CD50E8"/>
    <w:rsid w:val="00CD5180"/>
    <w:rsid w:val="00CD5E33"/>
    <w:rsid w:val="00CE009B"/>
    <w:rsid w:val="00CE04EA"/>
    <w:rsid w:val="00CE09AD"/>
    <w:rsid w:val="00CE146B"/>
    <w:rsid w:val="00CE2068"/>
    <w:rsid w:val="00CE36A3"/>
    <w:rsid w:val="00CE49AF"/>
    <w:rsid w:val="00CE5265"/>
    <w:rsid w:val="00CE52C4"/>
    <w:rsid w:val="00CE5377"/>
    <w:rsid w:val="00CE57B3"/>
    <w:rsid w:val="00CE5A7A"/>
    <w:rsid w:val="00CE6DFA"/>
    <w:rsid w:val="00CE6F97"/>
    <w:rsid w:val="00CE7C5E"/>
    <w:rsid w:val="00CF0878"/>
    <w:rsid w:val="00CF1FA3"/>
    <w:rsid w:val="00CF30C0"/>
    <w:rsid w:val="00CF33DC"/>
    <w:rsid w:val="00CF4145"/>
    <w:rsid w:val="00CF5447"/>
    <w:rsid w:val="00CF5619"/>
    <w:rsid w:val="00CF57AE"/>
    <w:rsid w:val="00CF58E7"/>
    <w:rsid w:val="00CF5FB4"/>
    <w:rsid w:val="00CF69DE"/>
    <w:rsid w:val="00CF6BE4"/>
    <w:rsid w:val="00D0077C"/>
    <w:rsid w:val="00D01DB2"/>
    <w:rsid w:val="00D01E01"/>
    <w:rsid w:val="00D02ED7"/>
    <w:rsid w:val="00D044AE"/>
    <w:rsid w:val="00D07613"/>
    <w:rsid w:val="00D10853"/>
    <w:rsid w:val="00D1136B"/>
    <w:rsid w:val="00D11AD5"/>
    <w:rsid w:val="00D11CA6"/>
    <w:rsid w:val="00D12097"/>
    <w:rsid w:val="00D126D2"/>
    <w:rsid w:val="00D12A5D"/>
    <w:rsid w:val="00D12AC8"/>
    <w:rsid w:val="00D13AFE"/>
    <w:rsid w:val="00D143C4"/>
    <w:rsid w:val="00D149DA"/>
    <w:rsid w:val="00D14F94"/>
    <w:rsid w:val="00D15017"/>
    <w:rsid w:val="00D150D6"/>
    <w:rsid w:val="00D152C5"/>
    <w:rsid w:val="00D15B7E"/>
    <w:rsid w:val="00D15E86"/>
    <w:rsid w:val="00D16326"/>
    <w:rsid w:val="00D2068B"/>
    <w:rsid w:val="00D209F3"/>
    <w:rsid w:val="00D20F45"/>
    <w:rsid w:val="00D21257"/>
    <w:rsid w:val="00D2129C"/>
    <w:rsid w:val="00D21BE6"/>
    <w:rsid w:val="00D21CBC"/>
    <w:rsid w:val="00D21FBD"/>
    <w:rsid w:val="00D220C7"/>
    <w:rsid w:val="00D22538"/>
    <w:rsid w:val="00D22A2E"/>
    <w:rsid w:val="00D24048"/>
    <w:rsid w:val="00D24312"/>
    <w:rsid w:val="00D24882"/>
    <w:rsid w:val="00D24FEC"/>
    <w:rsid w:val="00D2603A"/>
    <w:rsid w:val="00D26331"/>
    <w:rsid w:val="00D26EDD"/>
    <w:rsid w:val="00D26FCA"/>
    <w:rsid w:val="00D27C24"/>
    <w:rsid w:val="00D30566"/>
    <w:rsid w:val="00D30B59"/>
    <w:rsid w:val="00D30D38"/>
    <w:rsid w:val="00D327F0"/>
    <w:rsid w:val="00D33046"/>
    <w:rsid w:val="00D337BE"/>
    <w:rsid w:val="00D3390C"/>
    <w:rsid w:val="00D33AA5"/>
    <w:rsid w:val="00D34410"/>
    <w:rsid w:val="00D34ABB"/>
    <w:rsid w:val="00D34EEF"/>
    <w:rsid w:val="00D3558F"/>
    <w:rsid w:val="00D3756D"/>
    <w:rsid w:val="00D40020"/>
    <w:rsid w:val="00D4020E"/>
    <w:rsid w:val="00D408CF"/>
    <w:rsid w:val="00D41961"/>
    <w:rsid w:val="00D45B32"/>
    <w:rsid w:val="00D47116"/>
    <w:rsid w:val="00D47FF3"/>
    <w:rsid w:val="00D508CA"/>
    <w:rsid w:val="00D5097C"/>
    <w:rsid w:val="00D51338"/>
    <w:rsid w:val="00D51A75"/>
    <w:rsid w:val="00D52E56"/>
    <w:rsid w:val="00D52EFB"/>
    <w:rsid w:val="00D55CF0"/>
    <w:rsid w:val="00D56B2C"/>
    <w:rsid w:val="00D56FBA"/>
    <w:rsid w:val="00D57408"/>
    <w:rsid w:val="00D57607"/>
    <w:rsid w:val="00D57EA5"/>
    <w:rsid w:val="00D6095A"/>
    <w:rsid w:val="00D60C00"/>
    <w:rsid w:val="00D62726"/>
    <w:rsid w:val="00D62BA5"/>
    <w:rsid w:val="00D65754"/>
    <w:rsid w:val="00D666CF"/>
    <w:rsid w:val="00D66749"/>
    <w:rsid w:val="00D6692B"/>
    <w:rsid w:val="00D6693A"/>
    <w:rsid w:val="00D66ED7"/>
    <w:rsid w:val="00D70FCE"/>
    <w:rsid w:val="00D7131B"/>
    <w:rsid w:val="00D73AFE"/>
    <w:rsid w:val="00D74F1B"/>
    <w:rsid w:val="00D74F83"/>
    <w:rsid w:val="00D75BA0"/>
    <w:rsid w:val="00D7611D"/>
    <w:rsid w:val="00D7762F"/>
    <w:rsid w:val="00D81003"/>
    <w:rsid w:val="00D81447"/>
    <w:rsid w:val="00D8181D"/>
    <w:rsid w:val="00D82813"/>
    <w:rsid w:val="00D82AC6"/>
    <w:rsid w:val="00D840CB"/>
    <w:rsid w:val="00D84F08"/>
    <w:rsid w:val="00D84F38"/>
    <w:rsid w:val="00D85699"/>
    <w:rsid w:val="00D85B2F"/>
    <w:rsid w:val="00D861A2"/>
    <w:rsid w:val="00D86C94"/>
    <w:rsid w:val="00D90FDA"/>
    <w:rsid w:val="00D917F9"/>
    <w:rsid w:val="00D92564"/>
    <w:rsid w:val="00D926FA"/>
    <w:rsid w:val="00D94457"/>
    <w:rsid w:val="00D95608"/>
    <w:rsid w:val="00D958C0"/>
    <w:rsid w:val="00D9614A"/>
    <w:rsid w:val="00DA0133"/>
    <w:rsid w:val="00DA113B"/>
    <w:rsid w:val="00DA1220"/>
    <w:rsid w:val="00DA16F4"/>
    <w:rsid w:val="00DA223E"/>
    <w:rsid w:val="00DA2278"/>
    <w:rsid w:val="00DA271E"/>
    <w:rsid w:val="00DA2DBF"/>
    <w:rsid w:val="00DA313C"/>
    <w:rsid w:val="00DA46CB"/>
    <w:rsid w:val="00DA5140"/>
    <w:rsid w:val="00DA51FD"/>
    <w:rsid w:val="00DA539E"/>
    <w:rsid w:val="00DA5684"/>
    <w:rsid w:val="00DA5A72"/>
    <w:rsid w:val="00DA5F64"/>
    <w:rsid w:val="00DA6152"/>
    <w:rsid w:val="00DA629C"/>
    <w:rsid w:val="00DA63D1"/>
    <w:rsid w:val="00DA69B9"/>
    <w:rsid w:val="00DB0018"/>
    <w:rsid w:val="00DB02CD"/>
    <w:rsid w:val="00DB0428"/>
    <w:rsid w:val="00DB1B00"/>
    <w:rsid w:val="00DB1D68"/>
    <w:rsid w:val="00DB1EB5"/>
    <w:rsid w:val="00DB2967"/>
    <w:rsid w:val="00DB32C0"/>
    <w:rsid w:val="00DB3352"/>
    <w:rsid w:val="00DB3D02"/>
    <w:rsid w:val="00DB5DB2"/>
    <w:rsid w:val="00DB662A"/>
    <w:rsid w:val="00DB67CE"/>
    <w:rsid w:val="00DB69AF"/>
    <w:rsid w:val="00DB71B9"/>
    <w:rsid w:val="00DB7ED2"/>
    <w:rsid w:val="00DC09BB"/>
    <w:rsid w:val="00DC11C3"/>
    <w:rsid w:val="00DC17A2"/>
    <w:rsid w:val="00DC1D48"/>
    <w:rsid w:val="00DC1FA8"/>
    <w:rsid w:val="00DC2125"/>
    <w:rsid w:val="00DC2DC3"/>
    <w:rsid w:val="00DC5C40"/>
    <w:rsid w:val="00DC6164"/>
    <w:rsid w:val="00DC63C0"/>
    <w:rsid w:val="00DC6A7A"/>
    <w:rsid w:val="00DC6CF6"/>
    <w:rsid w:val="00DC7034"/>
    <w:rsid w:val="00DC75B2"/>
    <w:rsid w:val="00DC76F9"/>
    <w:rsid w:val="00DC7890"/>
    <w:rsid w:val="00DC7A68"/>
    <w:rsid w:val="00DD03CF"/>
    <w:rsid w:val="00DD2495"/>
    <w:rsid w:val="00DD3686"/>
    <w:rsid w:val="00DD378C"/>
    <w:rsid w:val="00DD3E88"/>
    <w:rsid w:val="00DD5114"/>
    <w:rsid w:val="00DD5248"/>
    <w:rsid w:val="00DD5479"/>
    <w:rsid w:val="00DD5F43"/>
    <w:rsid w:val="00DD707F"/>
    <w:rsid w:val="00DD78B2"/>
    <w:rsid w:val="00DD792D"/>
    <w:rsid w:val="00DE015B"/>
    <w:rsid w:val="00DE0C57"/>
    <w:rsid w:val="00DE1410"/>
    <w:rsid w:val="00DE26B7"/>
    <w:rsid w:val="00DE2E7A"/>
    <w:rsid w:val="00DE3492"/>
    <w:rsid w:val="00DE3946"/>
    <w:rsid w:val="00DE3CD1"/>
    <w:rsid w:val="00DE41EA"/>
    <w:rsid w:val="00DE6026"/>
    <w:rsid w:val="00DE6116"/>
    <w:rsid w:val="00DE6821"/>
    <w:rsid w:val="00DE6AF9"/>
    <w:rsid w:val="00DE6E27"/>
    <w:rsid w:val="00DE7739"/>
    <w:rsid w:val="00DF0396"/>
    <w:rsid w:val="00DF0888"/>
    <w:rsid w:val="00DF21D9"/>
    <w:rsid w:val="00DF23EF"/>
    <w:rsid w:val="00DF2C18"/>
    <w:rsid w:val="00DF3D79"/>
    <w:rsid w:val="00DF47EE"/>
    <w:rsid w:val="00DF502B"/>
    <w:rsid w:val="00DF54BB"/>
    <w:rsid w:val="00DF62E0"/>
    <w:rsid w:val="00DF7435"/>
    <w:rsid w:val="00DF7D77"/>
    <w:rsid w:val="00E00060"/>
    <w:rsid w:val="00E00431"/>
    <w:rsid w:val="00E00CC8"/>
    <w:rsid w:val="00E00E12"/>
    <w:rsid w:val="00E0376B"/>
    <w:rsid w:val="00E04254"/>
    <w:rsid w:val="00E0594F"/>
    <w:rsid w:val="00E06166"/>
    <w:rsid w:val="00E06BE5"/>
    <w:rsid w:val="00E07795"/>
    <w:rsid w:val="00E07A3B"/>
    <w:rsid w:val="00E07FF6"/>
    <w:rsid w:val="00E10DF0"/>
    <w:rsid w:val="00E11F2A"/>
    <w:rsid w:val="00E125FC"/>
    <w:rsid w:val="00E1304B"/>
    <w:rsid w:val="00E147A0"/>
    <w:rsid w:val="00E21BC0"/>
    <w:rsid w:val="00E21C53"/>
    <w:rsid w:val="00E21CFC"/>
    <w:rsid w:val="00E21D16"/>
    <w:rsid w:val="00E227A8"/>
    <w:rsid w:val="00E23508"/>
    <w:rsid w:val="00E23E26"/>
    <w:rsid w:val="00E250D5"/>
    <w:rsid w:val="00E25958"/>
    <w:rsid w:val="00E25EB4"/>
    <w:rsid w:val="00E3048B"/>
    <w:rsid w:val="00E30FFE"/>
    <w:rsid w:val="00E3120A"/>
    <w:rsid w:val="00E319F1"/>
    <w:rsid w:val="00E31B70"/>
    <w:rsid w:val="00E3284A"/>
    <w:rsid w:val="00E32B86"/>
    <w:rsid w:val="00E32F8A"/>
    <w:rsid w:val="00E3450F"/>
    <w:rsid w:val="00E35150"/>
    <w:rsid w:val="00E35603"/>
    <w:rsid w:val="00E36441"/>
    <w:rsid w:val="00E40A55"/>
    <w:rsid w:val="00E40BD9"/>
    <w:rsid w:val="00E41A3C"/>
    <w:rsid w:val="00E427EA"/>
    <w:rsid w:val="00E42915"/>
    <w:rsid w:val="00E43501"/>
    <w:rsid w:val="00E445F3"/>
    <w:rsid w:val="00E45076"/>
    <w:rsid w:val="00E45EC6"/>
    <w:rsid w:val="00E47096"/>
    <w:rsid w:val="00E47297"/>
    <w:rsid w:val="00E47572"/>
    <w:rsid w:val="00E47746"/>
    <w:rsid w:val="00E47C0C"/>
    <w:rsid w:val="00E51017"/>
    <w:rsid w:val="00E512E5"/>
    <w:rsid w:val="00E51C05"/>
    <w:rsid w:val="00E51E7C"/>
    <w:rsid w:val="00E51FF3"/>
    <w:rsid w:val="00E520D4"/>
    <w:rsid w:val="00E52503"/>
    <w:rsid w:val="00E52EDE"/>
    <w:rsid w:val="00E5416C"/>
    <w:rsid w:val="00E54809"/>
    <w:rsid w:val="00E54EAC"/>
    <w:rsid w:val="00E551D1"/>
    <w:rsid w:val="00E56D72"/>
    <w:rsid w:val="00E60486"/>
    <w:rsid w:val="00E60783"/>
    <w:rsid w:val="00E607B4"/>
    <w:rsid w:val="00E619D0"/>
    <w:rsid w:val="00E635C3"/>
    <w:rsid w:val="00E63F62"/>
    <w:rsid w:val="00E64AD6"/>
    <w:rsid w:val="00E6584B"/>
    <w:rsid w:val="00E65BC7"/>
    <w:rsid w:val="00E6626C"/>
    <w:rsid w:val="00E663DA"/>
    <w:rsid w:val="00E663EC"/>
    <w:rsid w:val="00E66BAA"/>
    <w:rsid w:val="00E66E32"/>
    <w:rsid w:val="00E671D9"/>
    <w:rsid w:val="00E6777C"/>
    <w:rsid w:val="00E677BA"/>
    <w:rsid w:val="00E67A03"/>
    <w:rsid w:val="00E723C5"/>
    <w:rsid w:val="00E72584"/>
    <w:rsid w:val="00E72A21"/>
    <w:rsid w:val="00E73116"/>
    <w:rsid w:val="00E73369"/>
    <w:rsid w:val="00E741A2"/>
    <w:rsid w:val="00E7481D"/>
    <w:rsid w:val="00E76096"/>
    <w:rsid w:val="00E77ABA"/>
    <w:rsid w:val="00E77E24"/>
    <w:rsid w:val="00E81029"/>
    <w:rsid w:val="00E814F0"/>
    <w:rsid w:val="00E827B2"/>
    <w:rsid w:val="00E83678"/>
    <w:rsid w:val="00E84A19"/>
    <w:rsid w:val="00E84B9A"/>
    <w:rsid w:val="00E8694E"/>
    <w:rsid w:val="00E907C5"/>
    <w:rsid w:val="00E907EE"/>
    <w:rsid w:val="00E909E3"/>
    <w:rsid w:val="00E90EFD"/>
    <w:rsid w:val="00E911DB"/>
    <w:rsid w:val="00E91206"/>
    <w:rsid w:val="00E91283"/>
    <w:rsid w:val="00E91363"/>
    <w:rsid w:val="00E91FAD"/>
    <w:rsid w:val="00E93425"/>
    <w:rsid w:val="00E934D3"/>
    <w:rsid w:val="00E93A9C"/>
    <w:rsid w:val="00E93D79"/>
    <w:rsid w:val="00E93F6E"/>
    <w:rsid w:val="00E93FFC"/>
    <w:rsid w:val="00E948A2"/>
    <w:rsid w:val="00E95908"/>
    <w:rsid w:val="00E95C23"/>
    <w:rsid w:val="00E96EF4"/>
    <w:rsid w:val="00E970B9"/>
    <w:rsid w:val="00E97543"/>
    <w:rsid w:val="00EA0380"/>
    <w:rsid w:val="00EA0910"/>
    <w:rsid w:val="00EA0B82"/>
    <w:rsid w:val="00EA0C58"/>
    <w:rsid w:val="00EA0CD7"/>
    <w:rsid w:val="00EA1B99"/>
    <w:rsid w:val="00EA1D7E"/>
    <w:rsid w:val="00EA1F5C"/>
    <w:rsid w:val="00EA1FD4"/>
    <w:rsid w:val="00EA2232"/>
    <w:rsid w:val="00EA2B23"/>
    <w:rsid w:val="00EA3514"/>
    <w:rsid w:val="00EA40C7"/>
    <w:rsid w:val="00EA436F"/>
    <w:rsid w:val="00EA51D0"/>
    <w:rsid w:val="00EA521D"/>
    <w:rsid w:val="00EA5559"/>
    <w:rsid w:val="00EA63B2"/>
    <w:rsid w:val="00EB0493"/>
    <w:rsid w:val="00EB17AB"/>
    <w:rsid w:val="00EB1F0B"/>
    <w:rsid w:val="00EB2E69"/>
    <w:rsid w:val="00EB36BE"/>
    <w:rsid w:val="00EB4726"/>
    <w:rsid w:val="00EB536D"/>
    <w:rsid w:val="00EB72A8"/>
    <w:rsid w:val="00EC13FD"/>
    <w:rsid w:val="00EC16DC"/>
    <w:rsid w:val="00EC2624"/>
    <w:rsid w:val="00EC28CB"/>
    <w:rsid w:val="00EC34FE"/>
    <w:rsid w:val="00EC3D97"/>
    <w:rsid w:val="00EC3F1F"/>
    <w:rsid w:val="00EC4022"/>
    <w:rsid w:val="00EC4718"/>
    <w:rsid w:val="00EC5262"/>
    <w:rsid w:val="00EC5974"/>
    <w:rsid w:val="00EC636E"/>
    <w:rsid w:val="00EC6448"/>
    <w:rsid w:val="00EC7751"/>
    <w:rsid w:val="00EC7F4E"/>
    <w:rsid w:val="00ED0231"/>
    <w:rsid w:val="00ED02EF"/>
    <w:rsid w:val="00ED0831"/>
    <w:rsid w:val="00ED1C4A"/>
    <w:rsid w:val="00ED2254"/>
    <w:rsid w:val="00ED2B11"/>
    <w:rsid w:val="00ED2C8D"/>
    <w:rsid w:val="00ED314B"/>
    <w:rsid w:val="00ED37D0"/>
    <w:rsid w:val="00ED439F"/>
    <w:rsid w:val="00ED526A"/>
    <w:rsid w:val="00ED55C0"/>
    <w:rsid w:val="00ED71D5"/>
    <w:rsid w:val="00ED74F5"/>
    <w:rsid w:val="00EE042C"/>
    <w:rsid w:val="00EE0913"/>
    <w:rsid w:val="00EE0A0B"/>
    <w:rsid w:val="00EE25D9"/>
    <w:rsid w:val="00EE2C59"/>
    <w:rsid w:val="00EE2E0D"/>
    <w:rsid w:val="00EE3C92"/>
    <w:rsid w:val="00EE3D95"/>
    <w:rsid w:val="00EE7E4F"/>
    <w:rsid w:val="00EF006C"/>
    <w:rsid w:val="00EF009D"/>
    <w:rsid w:val="00EF083D"/>
    <w:rsid w:val="00EF0962"/>
    <w:rsid w:val="00EF0F18"/>
    <w:rsid w:val="00EF209D"/>
    <w:rsid w:val="00EF233D"/>
    <w:rsid w:val="00EF26EA"/>
    <w:rsid w:val="00EF3590"/>
    <w:rsid w:val="00EF6277"/>
    <w:rsid w:val="00EF6FDB"/>
    <w:rsid w:val="00F00420"/>
    <w:rsid w:val="00F00E39"/>
    <w:rsid w:val="00F0127B"/>
    <w:rsid w:val="00F01B9E"/>
    <w:rsid w:val="00F0229E"/>
    <w:rsid w:val="00F0302D"/>
    <w:rsid w:val="00F03244"/>
    <w:rsid w:val="00F034BC"/>
    <w:rsid w:val="00F03FCD"/>
    <w:rsid w:val="00F05134"/>
    <w:rsid w:val="00F05BD3"/>
    <w:rsid w:val="00F0627D"/>
    <w:rsid w:val="00F06AF5"/>
    <w:rsid w:val="00F07C7C"/>
    <w:rsid w:val="00F07FE2"/>
    <w:rsid w:val="00F10903"/>
    <w:rsid w:val="00F117BC"/>
    <w:rsid w:val="00F11DCF"/>
    <w:rsid w:val="00F1248E"/>
    <w:rsid w:val="00F12BCB"/>
    <w:rsid w:val="00F14E40"/>
    <w:rsid w:val="00F1515F"/>
    <w:rsid w:val="00F15DDB"/>
    <w:rsid w:val="00F16098"/>
    <w:rsid w:val="00F16779"/>
    <w:rsid w:val="00F17131"/>
    <w:rsid w:val="00F17206"/>
    <w:rsid w:val="00F20D61"/>
    <w:rsid w:val="00F21854"/>
    <w:rsid w:val="00F21EAD"/>
    <w:rsid w:val="00F24C39"/>
    <w:rsid w:val="00F24CA5"/>
    <w:rsid w:val="00F279A6"/>
    <w:rsid w:val="00F27B39"/>
    <w:rsid w:val="00F30812"/>
    <w:rsid w:val="00F30FB2"/>
    <w:rsid w:val="00F313CA"/>
    <w:rsid w:val="00F31A9A"/>
    <w:rsid w:val="00F32236"/>
    <w:rsid w:val="00F325C1"/>
    <w:rsid w:val="00F332C3"/>
    <w:rsid w:val="00F34A42"/>
    <w:rsid w:val="00F35074"/>
    <w:rsid w:val="00F35505"/>
    <w:rsid w:val="00F358AF"/>
    <w:rsid w:val="00F35AF8"/>
    <w:rsid w:val="00F35E29"/>
    <w:rsid w:val="00F36479"/>
    <w:rsid w:val="00F36BC3"/>
    <w:rsid w:val="00F36FB1"/>
    <w:rsid w:val="00F3715D"/>
    <w:rsid w:val="00F3729E"/>
    <w:rsid w:val="00F37A57"/>
    <w:rsid w:val="00F40263"/>
    <w:rsid w:val="00F40CAB"/>
    <w:rsid w:val="00F41740"/>
    <w:rsid w:val="00F417D4"/>
    <w:rsid w:val="00F41895"/>
    <w:rsid w:val="00F41AFC"/>
    <w:rsid w:val="00F41CFE"/>
    <w:rsid w:val="00F42D37"/>
    <w:rsid w:val="00F432FB"/>
    <w:rsid w:val="00F44B84"/>
    <w:rsid w:val="00F45144"/>
    <w:rsid w:val="00F45F42"/>
    <w:rsid w:val="00F47FF8"/>
    <w:rsid w:val="00F50A31"/>
    <w:rsid w:val="00F516E8"/>
    <w:rsid w:val="00F51C04"/>
    <w:rsid w:val="00F53111"/>
    <w:rsid w:val="00F53406"/>
    <w:rsid w:val="00F5395D"/>
    <w:rsid w:val="00F53A99"/>
    <w:rsid w:val="00F55983"/>
    <w:rsid w:val="00F55991"/>
    <w:rsid w:val="00F55E2C"/>
    <w:rsid w:val="00F56579"/>
    <w:rsid w:val="00F56887"/>
    <w:rsid w:val="00F620DD"/>
    <w:rsid w:val="00F6277C"/>
    <w:rsid w:val="00F63440"/>
    <w:rsid w:val="00F647F9"/>
    <w:rsid w:val="00F64B62"/>
    <w:rsid w:val="00F64F4B"/>
    <w:rsid w:val="00F661C7"/>
    <w:rsid w:val="00F66588"/>
    <w:rsid w:val="00F67FD8"/>
    <w:rsid w:val="00F70838"/>
    <w:rsid w:val="00F71D5C"/>
    <w:rsid w:val="00F71E7A"/>
    <w:rsid w:val="00F720C1"/>
    <w:rsid w:val="00F727AF"/>
    <w:rsid w:val="00F72B0B"/>
    <w:rsid w:val="00F72C8D"/>
    <w:rsid w:val="00F737F2"/>
    <w:rsid w:val="00F73D97"/>
    <w:rsid w:val="00F74D56"/>
    <w:rsid w:val="00F7593E"/>
    <w:rsid w:val="00F76078"/>
    <w:rsid w:val="00F760EB"/>
    <w:rsid w:val="00F76F9D"/>
    <w:rsid w:val="00F800B9"/>
    <w:rsid w:val="00F8076E"/>
    <w:rsid w:val="00F80B77"/>
    <w:rsid w:val="00F80FBC"/>
    <w:rsid w:val="00F8153F"/>
    <w:rsid w:val="00F8163A"/>
    <w:rsid w:val="00F8208F"/>
    <w:rsid w:val="00F8218E"/>
    <w:rsid w:val="00F82F71"/>
    <w:rsid w:val="00F833DC"/>
    <w:rsid w:val="00F83F8F"/>
    <w:rsid w:val="00F840FB"/>
    <w:rsid w:val="00F862D0"/>
    <w:rsid w:val="00F86B60"/>
    <w:rsid w:val="00F87092"/>
    <w:rsid w:val="00F87A56"/>
    <w:rsid w:val="00F87CD7"/>
    <w:rsid w:val="00F87D5F"/>
    <w:rsid w:val="00F90760"/>
    <w:rsid w:val="00F90DEB"/>
    <w:rsid w:val="00F91869"/>
    <w:rsid w:val="00F91CFE"/>
    <w:rsid w:val="00F923DC"/>
    <w:rsid w:val="00F9374F"/>
    <w:rsid w:val="00F93D8D"/>
    <w:rsid w:val="00F93E96"/>
    <w:rsid w:val="00F9525F"/>
    <w:rsid w:val="00F96269"/>
    <w:rsid w:val="00F968A3"/>
    <w:rsid w:val="00F96A2B"/>
    <w:rsid w:val="00FA0219"/>
    <w:rsid w:val="00FA1A82"/>
    <w:rsid w:val="00FA30A2"/>
    <w:rsid w:val="00FA389D"/>
    <w:rsid w:val="00FA3CCE"/>
    <w:rsid w:val="00FA5273"/>
    <w:rsid w:val="00FA5BFD"/>
    <w:rsid w:val="00FA5E36"/>
    <w:rsid w:val="00FA641D"/>
    <w:rsid w:val="00FA6F79"/>
    <w:rsid w:val="00FA71F0"/>
    <w:rsid w:val="00FB02FF"/>
    <w:rsid w:val="00FB0AF5"/>
    <w:rsid w:val="00FB25C5"/>
    <w:rsid w:val="00FB2C5B"/>
    <w:rsid w:val="00FB2FBC"/>
    <w:rsid w:val="00FB4813"/>
    <w:rsid w:val="00FB4AF7"/>
    <w:rsid w:val="00FB5965"/>
    <w:rsid w:val="00FB71AA"/>
    <w:rsid w:val="00FC01F5"/>
    <w:rsid w:val="00FC0E9A"/>
    <w:rsid w:val="00FC2426"/>
    <w:rsid w:val="00FC2D25"/>
    <w:rsid w:val="00FC30B1"/>
    <w:rsid w:val="00FC3259"/>
    <w:rsid w:val="00FC3DF3"/>
    <w:rsid w:val="00FC4084"/>
    <w:rsid w:val="00FC4453"/>
    <w:rsid w:val="00FC7687"/>
    <w:rsid w:val="00FC76D9"/>
    <w:rsid w:val="00FC7EC6"/>
    <w:rsid w:val="00FD0814"/>
    <w:rsid w:val="00FD248D"/>
    <w:rsid w:val="00FD285D"/>
    <w:rsid w:val="00FD332A"/>
    <w:rsid w:val="00FD33E5"/>
    <w:rsid w:val="00FD3840"/>
    <w:rsid w:val="00FD49DA"/>
    <w:rsid w:val="00FD4B20"/>
    <w:rsid w:val="00FD5589"/>
    <w:rsid w:val="00FD570A"/>
    <w:rsid w:val="00FD5847"/>
    <w:rsid w:val="00FD5E12"/>
    <w:rsid w:val="00FD656E"/>
    <w:rsid w:val="00FD7143"/>
    <w:rsid w:val="00FD7C4B"/>
    <w:rsid w:val="00FE0AF7"/>
    <w:rsid w:val="00FE0ECD"/>
    <w:rsid w:val="00FE1323"/>
    <w:rsid w:val="00FE1DB5"/>
    <w:rsid w:val="00FE1F5E"/>
    <w:rsid w:val="00FE26AD"/>
    <w:rsid w:val="00FE28BE"/>
    <w:rsid w:val="00FE2EF9"/>
    <w:rsid w:val="00FE3142"/>
    <w:rsid w:val="00FE3CB1"/>
    <w:rsid w:val="00FE4342"/>
    <w:rsid w:val="00FE52E2"/>
    <w:rsid w:val="00FE5F99"/>
    <w:rsid w:val="00FE63F3"/>
    <w:rsid w:val="00FE6A9A"/>
    <w:rsid w:val="00FE79C1"/>
    <w:rsid w:val="00FE7B87"/>
    <w:rsid w:val="00FF00E1"/>
    <w:rsid w:val="00FF0587"/>
    <w:rsid w:val="00FF1F49"/>
    <w:rsid w:val="00FF3335"/>
    <w:rsid w:val="00FF3C71"/>
    <w:rsid w:val="00FF3DEC"/>
    <w:rsid w:val="00FF47F6"/>
    <w:rsid w:val="00FF4A83"/>
    <w:rsid w:val="00FF52CF"/>
    <w:rsid w:val="00FF5CC9"/>
    <w:rsid w:val="00FF6D43"/>
    <w:rsid w:val="00FF73E8"/>
    <w:rsid w:val="09D05DEC"/>
    <w:rsid w:val="09F63639"/>
    <w:rsid w:val="290A15CD"/>
    <w:rsid w:val="35B04037"/>
    <w:rsid w:val="60723523"/>
    <w:rsid w:val="72D448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9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1"/>
    <w:next w:val="1"/>
    <w:link w:val="22"/>
    <w:qFormat/>
    <w:uiPriority w:val="9"/>
    <w:pPr>
      <w:widowControl/>
      <w:spacing w:before="100" w:beforeAutospacing="1" w:after="100" w:afterAutospacing="1"/>
      <w:jc w:val="left"/>
      <w:outlineLvl w:val="1"/>
    </w:pPr>
    <w:rPr>
      <w:rFonts w:ascii="宋体" w:hAnsi="宋体" w:cs="宋体"/>
      <w:kern w:val="0"/>
      <w:sz w:val="36"/>
      <w:szCs w:val="36"/>
    </w:rPr>
  </w:style>
  <w:style w:type="paragraph" w:styleId="3">
    <w:name w:val="heading 4"/>
    <w:basedOn w:val="1"/>
    <w:next w:val="1"/>
    <w:link w:val="23"/>
    <w:qFormat/>
    <w:uiPriority w:val="9"/>
    <w:pPr>
      <w:widowControl/>
      <w:spacing w:before="100" w:beforeAutospacing="1" w:after="100" w:afterAutospacing="1"/>
      <w:jc w:val="left"/>
      <w:outlineLvl w:val="3"/>
    </w:pPr>
    <w:rPr>
      <w:rFonts w:ascii="宋体" w:hAnsi="宋体" w:cs="宋体"/>
      <w:kern w:val="0"/>
      <w:sz w:val="24"/>
      <w:szCs w:val="24"/>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Date"/>
    <w:basedOn w:val="1"/>
    <w:next w:val="1"/>
    <w:link w:val="33"/>
    <w:semiHidden/>
    <w:unhideWhenUsed/>
    <w:qFormat/>
    <w:uiPriority w:val="0"/>
    <w:pPr>
      <w:ind w:left="100" w:leftChars="2500"/>
    </w:pPr>
  </w:style>
  <w:style w:type="paragraph" w:styleId="5">
    <w:name w:val="Balloon Text"/>
    <w:basedOn w:val="1"/>
    <w:link w:val="15"/>
    <w:unhideWhenUsed/>
    <w:qFormat/>
    <w:uiPriority w:val="99"/>
    <w:rPr>
      <w:sz w:val="18"/>
      <w:szCs w:val="18"/>
    </w:rPr>
  </w:style>
  <w:style w:type="paragraph" w:styleId="6">
    <w:name w:val="footer"/>
    <w:basedOn w:val="1"/>
    <w:link w:val="17"/>
    <w:unhideWhenUsed/>
    <w:qFormat/>
    <w:uiPriority w:val="99"/>
    <w:pPr>
      <w:tabs>
        <w:tab w:val="center" w:pos="4153"/>
        <w:tab w:val="right" w:pos="8306"/>
      </w:tabs>
      <w:snapToGrid w:val="0"/>
      <w:jc w:val="left"/>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0">
    <w:name w:val="Table Grid"/>
    <w:basedOn w:val="9"/>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2">
    <w:name w:val="Strong"/>
    <w:basedOn w:val="11"/>
    <w:qFormat/>
    <w:uiPriority w:val="22"/>
    <w:rPr>
      <w:b/>
      <w:bCs/>
    </w:rPr>
  </w:style>
  <w:style w:type="character" w:styleId="13">
    <w:name w:val="Emphasis"/>
    <w:basedOn w:val="11"/>
    <w:qFormat/>
    <w:uiPriority w:val="20"/>
    <w:rPr>
      <w:i/>
      <w:iCs/>
    </w:rPr>
  </w:style>
  <w:style w:type="character" w:styleId="14">
    <w:name w:val="Hyperlink"/>
    <w:basedOn w:val="11"/>
    <w:unhideWhenUsed/>
    <w:qFormat/>
    <w:uiPriority w:val="99"/>
    <w:rPr>
      <w:color w:val="0000FF"/>
      <w:u w:val="single"/>
    </w:rPr>
  </w:style>
  <w:style w:type="character" w:customStyle="1" w:styleId="15">
    <w:name w:val="批注框文本 Char"/>
    <w:basedOn w:val="11"/>
    <w:link w:val="5"/>
    <w:semiHidden/>
    <w:qFormat/>
    <w:uiPriority w:val="99"/>
    <w:rPr>
      <w:sz w:val="18"/>
      <w:szCs w:val="18"/>
    </w:rPr>
  </w:style>
  <w:style w:type="character" w:customStyle="1" w:styleId="16">
    <w:name w:val="页眉 Char"/>
    <w:basedOn w:val="11"/>
    <w:link w:val="7"/>
    <w:semiHidden/>
    <w:qFormat/>
    <w:uiPriority w:val="99"/>
    <w:rPr>
      <w:sz w:val="18"/>
      <w:szCs w:val="18"/>
    </w:rPr>
  </w:style>
  <w:style w:type="character" w:customStyle="1" w:styleId="17">
    <w:name w:val="页脚 Char"/>
    <w:basedOn w:val="11"/>
    <w:link w:val="6"/>
    <w:qFormat/>
    <w:uiPriority w:val="99"/>
    <w:rPr>
      <w:sz w:val="18"/>
      <w:szCs w:val="18"/>
    </w:rPr>
  </w:style>
  <w:style w:type="paragraph" w:styleId="18">
    <w:name w:val="No Spacing"/>
    <w:link w:val="19"/>
    <w:qFormat/>
    <w:uiPriority w:val="1"/>
    <w:rPr>
      <w:rFonts w:asciiTheme="minorHAnsi" w:hAnsiTheme="minorHAnsi" w:eastAsiaTheme="minorEastAsia" w:cstheme="minorBidi"/>
      <w:sz w:val="22"/>
      <w:szCs w:val="22"/>
      <w:lang w:val="en-US" w:eastAsia="zh-CN" w:bidi="ar-SA"/>
    </w:rPr>
  </w:style>
  <w:style w:type="character" w:customStyle="1" w:styleId="19">
    <w:name w:val="无间隔 Char"/>
    <w:basedOn w:val="11"/>
    <w:link w:val="18"/>
    <w:qFormat/>
    <w:uiPriority w:val="1"/>
    <w:rPr>
      <w:rFonts w:asciiTheme="minorHAnsi" w:hAnsiTheme="minorHAnsi" w:eastAsiaTheme="minorEastAsia" w:cstheme="minorBidi"/>
      <w:sz w:val="22"/>
      <w:szCs w:val="22"/>
    </w:rPr>
  </w:style>
  <w:style w:type="paragraph" w:styleId="20">
    <w:name w:val="List Paragraph"/>
    <w:basedOn w:val="1"/>
    <w:unhideWhenUsed/>
    <w:qFormat/>
    <w:uiPriority w:val="34"/>
    <w:pPr>
      <w:ind w:firstLine="420" w:firstLineChars="200"/>
    </w:pPr>
  </w:style>
  <w:style w:type="paragraph" w:customStyle="1" w:styleId="21">
    <w:name w:val="cont-summary"/>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2">
    <w:name w:val="标题 2 Char"/>
    <w:basedOn w:val="11"/>
    <w:link w:val="2"/>
    <w:qFormat/>
    <w:uiPriority w:val="9"/>
    <w:rPr>
      <w:rFonts w:ascii="宋体" w:hAnsi="宋体" w:cs="宋体"/>
      <w:sz w:val="36"/>
      <w:szCs w:val="36"/>
    </w:rPr>
  </w:style>
  <w:style w:type="character" w:customStyle="1" w:styleId="23">
    <w:name w:val="标题 4 Char"/>
    <w:basedOn w:val="11"/>
    <w:link w:val="3"/>
    <w:qFormat/>
    <w:uiPriority w:val="9"/>
    <w:rPr>
      <w:rFonts w:ascii="宋体" w:hAnsi="宋体" w:cs="宋体"/>
      <w:sz w:val="24"/>
      <w:szCs w:val="24"/>
    </w:rPr>
  </w:style>
  <w:style w:type="paragraph" w:customStyle="1" w:styleId="24">
    <w:name w:val="summary"/>
    <w:basedOn w:val="1"/>
    <w:qFormat/>
    <w:uiPriority w:val="0"/>
    <w:pPr>
      <w:widowControl/>
      <w:spacing w:before="100" w:beforeAutospacing="1" w:after="480" w:line="375" w:lineRule="atLeast"/>
      <w:jc w:val="left"/>
    </w:pPr>
    <w:rPr>
      <w:rFonts w:ascii="宋体" w:hAnsi="宋体" w:cs="宋体"/>
      <w:kern w:val="0"/>
      <w:sz w:val="24"/>
      <w:szCs w:val="24"/>
    </w:rPr>
  </w:style>
  <w:style w:type="character" w:customStyle="1" w:styleId="25">
    <w:name w:val="articlel"/>
    <w:basedOn w:val="11"/>
    <w:qFormat/>
    <w:uiPriority w:val="0"/>
  </w:style>
  <w:style w:type="character" w:customStyle="1" w:styleId="26">
    <w:name w:val="articler"/>
    <w:basedOn w:val="11"/>
    <w:qFormat/>
    <w:uiPriority w:val="0"/>
  </w:style>
  <w:style w:type="paragraph" w:customStyle="1" w:styleId="27">
    <w:name w:val="profile_meta"/>
    <w:basedOn w:val="1"/>
    <w:qFormat/>
    <w:uiPriority w:val="0"/>
    <w:pPr>
      <w:widowControl/>
      <w:spacing w:before="75" w:after="100" w:afterAutospacing="1"/>
      <w:jc w:val="left"/>
    </w:pPr>
    <w:rPr>
      <w:rFonts w:ascii="宋体" w:hAnsi="宋体" w:cs="宋体"/>
      <w:kern w:val="0"/>
      <w:sz w:val="24"/>
      <w:szCs w:val="24"/>
    </w:rPr>
  </w:style>
  <w:style w:type="character" w:customStyle="1" w:styleId="28">
    <w:name w:val="rich_media_meta1"/>
    <w:basedOn w:val="11"/>
    <w:qFormat/>
    <w:uiPriority w:val="0"/>
    <w:rPr>
      <w:sz w:val="24"/>
      <w:szCs w:val="24"/>
    </w:rPr>
  </w:style>
  <w:style w:type="character" w:customStyle="1" w:styleId="29">
    <w:name w:val="profile_meta_value1"/>
    <w:basedOn w:val="11"/>
    <w:qFormat/>
    <w:uiPriority w:val="0"/>
    <w:rPr>
      <w:color w:val="ADADAD"/>
    </w:rPr>
  </w:style>
  <w:style w:type="character" w:customStyle="1" w:styleId="30">
    <w:name w:val="apple-converted-space"/>
    <w:basedOn w:val="11"/>
    <w:qFormat/>
    <w:uiPriority w:val="0"/>
  </w:style>
  <w:style w:type="character" w:customStyle="1" w:styleId="31">
    <w:name w:val="rich_media_meta"/>
    <w:basedOn w:val="11"/>
    <w:qFormat/>
    <w:uiPriority w:val="0"/>
  </w:style>
  <w:style w:type="character" w:customStyle="1" w:styleId="32">
    <w:name w:val="blue"/>
    <w:basedOn w:val="11"/>
    <w:qFormat/>
    <w:uiPriority w:val="0"/>
  </w:style>
  <w:style w:type="character" w:customStyle="1" w:styleId="33">
    <w:name w:val="日期 Char"/>
    <w:basedOn w:val="11"/>
    <w:link w:val="4"/>
    <w:semiHidden/>
    <w:qFormat/>
    <w:uiPriority w:val="0"/>
    <w:rPr>
      <w:rFonts w:ascii="Calibri" w:hAnsi="Calibr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ADBB5F-EAA7-4B4F-BFFA-03FE44ABCF0C}">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37</Pages>
  <Words>1687</Words>
  <Characters>9620</Characters>
  <Lines>80</Lines>
  <Paragraphs>22</Paragraphs>
  <TotalTime>269</TotalTime>
  <ScaleCrop>false</ScaleCrop>
  <LinksUpToDate>false</LinksUpToDate>
  <CharactersWithSpaces>11285</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2020-05-26T01:03:00Z</dcterms:created>
  <dc:creator>FtpDown</dc:creator>
  <cp:lastModifiedBy>王麒懿</cp:lastModifiedBy>
  <cp:lastPrinted>2018-09-29T05:55:00Z</cp:lastPrinted>
  <dcterms:modified xsi:type="dcterms:W3CDTF">2020-09-08T03:30:00Z</dcterms:modified>
  <dc:subject>2015年7月29日</dc:subject>
  <dc:title>2015年第一期</dc:title>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