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id w:val="11921172"/>
        <w:docPartObj>
          <w:docPartGallery w:val="autotext"/>
        </w:docPartObj>
      </w:sdtPr>
      <w:sdtContent>
        <w:p>
          <w:r>
            <w:drawing>
              <wp:anchor distT="0" distB="0" distL="114300" distR="114300" simplePos="0" relativeHeight="251666432" behindDoc="1" locked="0" layoutInCell="1" allowOverlap="1">
                <wp:simplePos x="0" y="0"/>
                <wp:positionH relativeFrom="column">
                  <wp:posOffset>-1188720</wp:posOffset>
                </wp:positionH>
                <wp:positionV relativeFrom="paragraph">
                  <wp:posOffset>-914400</wp:posOffset>
                </wp:positionV>
                <wp:extent cx="7686675" cy="10873105"/>
                <wp:effectExtent l="0" t="0" r="0" b="0"/>
                <wp:wrapNone/>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a:xfrm>
                          <a:off x="0" y="0"/>
                          <a:ext cx="7686674" cy="10872925"/>
                        </a:xfrm>
                        <a:prstGeom prst="rect">
                          <a:avLst/>
                        </a:prstGeom>
                        <a:noFill/>
                        <a:ln w="9525">
                          <a:noFill/>
                          <a:miter lim="800000"/>
                          <a:headEnd/>
                          <a:tailEnd/>
                        </a:ln>
                      </pic:spPr>
                    </pic:pic>
                  </a:graphicData>
                </a:graphic>
              </wp:anchor>
            </w:drawing>
          </w:r>
        </w:p>
        <w:p/>
        <w:tbl>
          <w:tblPr>
            <w:tblStyle w:val="9"/>
            <w:tblpPr w:leftFromText="187" w:rightFromText="187" w:horzAnchor="margin" w:tblpXSpec="center" w:tblpYSpec="bottom"/>
            <w:tblW w:w="4000" w:type="pct"/>
            <w:tblInd w:w="0" w:type="dxa"/>
            <w:tblLayout w:type="autofit"/>
            <w:tblCellMar>
              <w:top w:w="0" w:type="dxa"/>
              <w:left w:w="108" w:type="dxa"/>
              <w:bottom w:w="0" w:type="dxa"/>
              <w:right w:w="108" w:type="dxa"/>
            </w:tblCellMar>
          </w:tblPr>
          <w:tblGrid>
            <w:gridCol w:w="6834"/>
          </w:tblGrid>
          <w:tr>
            <w:tblPrEx>
              <w:tblCellMar>
                <w:top w:w="0" w:type="dxa"/>
                <w:left w:w="108" w:type="dxa"/>
                <w:bottom w:w="0" w:type="dxa"/>
                <w:right w:w="108" w:type="dxa"/>
              </w:tblCellMar>
            </w:tblPrEx>
            <w:tc>
              <w:tcPr>
                <w:tcW w:w="7672" w:type="dxa"/>
                <w:tcMar>
                  <w:top w:w="216" w:type="dxa"/>
                  <w:left w:w="115" w:type="dxa"/>
                  <w:bottom w:w="216" w:type="dxa"/>
                  <w:right w:w="115" w:type="dxa"/>
                </w:tcMar>
              </w:tcPr>
              <w:p>
                <w:pPr>
                  <w:pStyle w:val="18"/>
                  <w:rPr>
                    <w:color w:val="4F81BD" w:themeColor="accent1"/>
                  </w:rPr>
                </w:pPr>
              </w:p>
              <w:p>
                <w:pPr>
                  <w:pStyle w:val="18"/>
                  <w:rPr>
                    <w:color w:val="4F81BD" w:themeColor="accent1"/>
                  </w:rPr>
                </w:pPr>
              </w:p>
              <w:p>
                <w:pPr>
                  <w:pStyle w:val="18"/>
                  <w:rPr>
                    <w:color w:val="4F81BD" w:themeColor="accent1"/>
                  </w:rPr>
                </w:pPr>
              </w:p>
              <w:p>
                <w:pPr>
                  <w:pStyle w:val="18"/>
                  <w:rPr>
                    <w:color w:val="4F81BD" w:themeColor="accent1"/>
                  </w:rPr>
                </w:pPr>
              </w:p>
            </w:tc>
          </w:tr>
        </w:tbl>
        <w:p/>
        <w:p/>
        <w:p/>
        <w:p/>
        <w:p>
          <w:r>
            <w:rPr>
              <w:rFonts w:hint="eastAsia"/>
            </w:rPr>
            <w:t xml:space="preserve">   </w:t>
          </w:r>
        </w:p>
        <w:p/>
        <w:p/>
        <w:p/>
        <w:p/>
        <w:p/>
        <w:p/>
        <w:p/>
        <w:p/>
        <w:p>
          <w:pPr>
            <w:tabs>
              <w:tab w:val="left" w:pos="7050"/>
            </w:tabs>
          </w:pPr>
          <w:r>
            <w:tab/>
          </w:r>
        </w:p>
        <w:p/>
        <w:p/>
        <w:p/>
        <w:p/>
        <w:p>
          <w:pPr>
            <w:jc w:val="center"/>
            <w:rPr>
              <w:rFonts w:ascii="Heiti SC Light" w:eastAsia="Heiti SC Light"/>
              <w:color w:val="FFFFFF"/>
              <w:sz w:val="32"/>
              <w:szCs w:val="32"/>
            </w:rPr>
          </w:pPr>
          <w:r>
            <w:rPr>
              <w:rFonts w:hint="eastAsia" w:ascii="Heiti SC Light" w:eastAsia="Heiti SC Light"/>
              <w:color w:val="FFFFFF"/>
              <w:sz w:val="32"/>
              <w:szCs w:val="32"/>
            </w:rPr>
            <w:t>（2021年第1期） 2021年1月25日</w:t>
          </w:r>
        </w:p>
        <w:p/>
        <w:p/>
        <w:p/>
        <w:p/>
        <w:p/>
        <w:p>
          <w:r>
            <w:rPr>
              <w:rFonts w:hint="eastAsia"/>
            </w:rPr>
            <w:t xml:space="preserve"> </w:t>
          </w:r>
        </w:p>
        <w:p/>
        <w:p/>
        <w:p/>
        <w:p/>
        <w:p/>
        <w:p/>
        <w:p/>
        <w:p/>
        <w:p/>
        <w:p/>
        <w:p/>
        <w:p/>
        <w:p>
          <w:pPr>
            <w:tabs>
              <w:tab w:val="left" w:pos="5245"/>
            </w:tabs>
          </w:pPr>
        </w:p>
        <w:p>
          <w:pPr>
            <w:tabs>
              <w:tab w:val="left" w:pos="5245"/>
            </w:tabs>
          </w:pPr>
        </w:p>
        <w:p>
          <w:pPr>
            <w:widowControl/>
            <w:tabs>
              <w:tab w:val="left" w:pos="5245"/>
            </w:tabs>
            <w:jc w:val="left"/>
          </w:pPr>
        </w:p>
        <w:p>
          <w:pPr>
            <w:widowControl/>
            <w:tabs>
              <w:tab w:val="left" w:pos="5245"/>
            </w:tabs>
            <w:jc w:val="left"/>
          </w:pPr>
        </w:p>
        <w:p>
          <w:pPr>
            <w:widowControl/>
            <w:tabs>
              <w:tab w:val="left" w:pos="5245"/>
            </w:tabs>
            <w:jc w:val="left"/>
          </w:pPr>
        </w:p>
        <w:p>
          <w:pPr>
            <w:widowControl/>
            <w:tabs>
              <w:tab w:val="left" w:pos="5245"/>
            </w:tabs>
            <w:jc w:val="left"/>
          </w:pPr>
        </w:p>
        <w:p>
          <w:pPr>
            <w:widowControl/>
            <w:tabs>
              <w:tab w:val="left" w:pos="5245"/>
            </w:tabs>
            <w:jc w:val="left"/>
          </w:pPr>
        </w:p>
        <w:p>
          <w:pPr>
            <w:widowControl/>
            <w:tabs>
              <w:tab w:val="left" w:pos="5245"/>
            </w:tabs>
            <w:jc w:val="left"/>
          </w:pPr>
        </w:p>
        <w:p>
          <w:pPr>
            <w:widowControl/>
            <w:tabs>
              <w:tab w:val="left" w:pos="5245"/>
            </w:tabs>
            <w:jc w:val="left"/>
          </w:pPr>
        </w:p>
        <w:p>
          <w:pPr>
            <w:widowControl/>
            <w:tabs>
              <w:tab w:val="left" w:pos="5245"/>
            </w:tabs>
            <w:jc w:val="left"/>
          </w:pPr>
        </w:p>
        <w:p>
          <w:pPr>
            <w:widowControl/>
            <w:tabs>
              <w:tab w:val="left" w:pos="5245"/>
            </w:tabs>
            <w:jc w:val="left"/>
          </w:pPr>
        </w:p>
        <w:p>
          <w:pPr>
            <w:widowControl/>
            <w:tabs>
              <w:tab w:val="left" w:pos="5245"/>
            </w:tabs>
            <w:jc w:val="left"/>
          </w:pPr>
        </w:p>
      </w:sdtContent>
    </w:sdt>
    <w:p>
      <w:pPr>
        <w:tabs>
          <w:tab w:val="left" w:pos="5245"/>
        </w:tabs>
      </w:pPr>
      <w:r>
        <w:pict>
          <v:shape id="Straight Connector 2" o:spid="_x0000_s1026" o:spt="32" type="#_x0000_t32" style="position:absolute;left:0pt;margin-left:-67.5pt;margin-top:0.75pt;height:0.05pt;width:539.25pt;z-index:251658240;mso-width-relative:page;mso-height-relative:page;" filled="f" stroked="t" coordsize="21600,21600" o:gfxdata="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m8Y+ltYAAAAIAQAADwAAAAAAAAABACAAAAAiAAAAZHJzL2Rv&#10;d25yZXYueG1sUEsBAhQAFAAAAAgAh07iQAI+bt7KAQAAngMAAA4AAAAAAAAAAQAgAAAAJQEAAGRy&#10;cy9lMm9Eb2MueG1sUEsFBgAAAAAGAAYAWQEAAGEFAAAAAA==&#10;">
            <v:path arrowok="t"/>
            <v:fill on="f" focussize="0,0"/>
            <v:stroke weight="3pt" color="#548DD4"/>
            <v:imagedata o:title=""/>
            <o:lock v:ext="edit"/>
          </v:shape>
        </w:pict>
      </w:r>
      <w:r>
        <w:pict>
          <v:shape id="Straight Connector 3" o:spid="_x0000_s1033" o:spt="32" type="#_x0000_t32" style="position:absolute;left:0pt;margin-left:102pt;margin-top:0.8pt;height:692.95pt;width:0.05pt;z-index:251659264;mso-width-relative:page;mso-height-relative:page;" filled="f" stroked="t" coordsize="21600,21600" o:gfxdata="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&#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OupmvDZAAAACgEAAA8AAAAAAAAAAQAgAAAAIgAAAGRy&#10;cy9kb3ducmV2LnhtbFBLAQIUABQAAAAIAIdO4kAZl0HqywEAAJ4DAAAOAAAAAAAAAAEAIAAAACgB&#10;AABkcnMvZTJvRG9jLnhtbFBLBQYAAAAABgAGAFkBAABlBQAAAAA=&#10;">
            <v:path arrowok="t"/>
            <v:fill on="f" focussize="0,0"/>
            <v:stroke weight="2.5pt" color="#548DD4"/>
            <v:imagedata o:title=""/>
            <o:lock v:ext="edit"/>
          </v:shape>
        </w:pict>
      </w:r>
      <w:r>
        <w:rPr>
          <w:rFonts w:hint="eastAsia"/>
        </w:rPr>
        <w:t xml:space="preserve"> </w:t>
      </w:r>
    </w:p>
    <w:p>
      <w:pPr>
        <w:tabs>
          <w:tab w:val="center" w:pos="4156"/>
        </w:tabs>
      </w:pPr>
      <w:r>
        <w:pict>
          <v:shape id="文本框 14" o:spid="_x0000_s1032" o:spt="202" type="#_x0000_t202" style="position:absolute;left:0pt;margin-left:122.4pt;margin-top:8.4pt;height:660.6pt;width:331.5pt;z-index:25167052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">
            <v:path/>
            <v:fill on="f" focussize="0,0"/>
            <v:stroke on="f" weight="1.25pt" joinstyle="miter"/>
            <v:imagedata o:title=""/>
            <o:lock v:ext="edit"/>
            <v:textbox>
              <w:txbxContent>
                <w:p>
                  <w:pPr>
                    <w:widowControl/>
                    <w:shd w:val="clear" w:color="auto" w:fill="FFFFFF"/>
                    <w:spacing w:after="169"/>
                    <w:jc w:val="left"/>
                    <w:outlineLvl w:val="1"/>
                    <w:rPr>
                      <w:b/>
                      <w:sz w:val="36"/>
                      <w:szCs w:val="36"/>
                    </w:rPr>
                  </w:pPr>
                </w:p>
                <w:p>
                  <w:pPr>
                    <w:widowControl/>
                    <w:shd w:val="clear" w:color="auto" w:fill="FFFFFF"/>
                    <w:spacing w:after="169"/>
                    <w:jc w:val="left"/>
                    <w:outlineLvl w:val="1"/>
                    <w:rPr>
                      <w:rFonts w:ascii="微软雅黑" w:hAnsi="微软雅黑" w:eastAsia="微软雅黑" w:cs="宋体"/>
                      <w:b/>
                      <w:bCs/>
                      <w:color w:val="333333"/>
                      <w:spacing w:val="7"/>
                      <w:kern w:val="0"/>
                      <w:sz w:val="27"/>
                      <w:szCs w:val="27"/>
                    </w:rPr>
                  </w:pPr>
                  <w:r>
                    <w:rPr>
                      <w:rFonts w:hint="eastAsia"/>
                      <w:b/>
                      <w:sz w:val="36"/>
                      <w:szCs w:val="36"/>
                    </w:rPr>
                    <w:t>1.</w:t>
                  </w:r>
                  <w:r>
                    <w:rPr>
                      <w:b/>
                      <w:sz w:val="36"/>
                      <w:szCs w:val="36"/>
                    </w:rPr>
                    <w:t xml:space="preserve"> </w:t>
                  </w:r>
                  <w:r>
                    <w:rPr>
                      <w:rFonts w:hint="eastAsia"/>
                      <w:b/>
                      <w:sz w:val="36"/>
                      <w:szCs w:val="36"/>
                    </w:rPr>
                    <w:t>2020零售药店报告</w:t>
                  </w:r>
                </w:p>
                <w:p>
                  <w:pPr>
                    <w:rPr>
                      <w:b/>
                      <w:sz w:val="36"/>
                      <w:szCs w:val="36"/>
                    </w:rPr>
                  </w:pPr>
                </w:p>
                <w:p>
                  <w:pPr>
                    <w:rPr>
                      <w:b/>
                      <w:sz w:val="36"/>
                      <w:szCs w:val="36"/>
                    </w:rPr>
                  </w:pPr>
                </w:p>
                <w:p>
                  <w:pPr>
                    <w:rPr>
                      <w:b/>
                      <w:sz w:val="36"/>
                      <w:szCs w:val="36"/>
                    </w:rPr>
                  </w:pPr>
                  <w:r>
                    <w:rPr>
                      <w:rFonts w:hint="eastAsia"/>
                      <w:b/>
                      <w:sz w:val="36"/>
                      <w:szCs w:val="36"/>
                    </w:rPr>
                    <w:t>2. 第四批国采正式启动，最新竞争格局速览！</w:t>
                  </w:r>
                </w:p>
                <w:p>
                  <w:pPr>
                    <w:rPr>
                      <w:b/>
                      <w:sz w:val="36"/>
                      <w:szCs w:val="36"/>
                    </w:rPr>
                  </w:pPr>
                </w:p>
                <w:p>
                  <w:pPr>
                    <w:rPr>
                      <w:b/>
                      <w:sz w:val="36"/>
                      <w:szCs w:val="36"/>
                    </w:rPr>
                  </w:pPr>
                </w:p>
                <w:p>
                  <w:pPr>
                    <w:widowControl/>
                    <w:shd w:val="clear" w:color="auto" w:fill="FFFFFF"/>
                    <w:spacing w:before="102" w:line="582" w:lineRule="atLeast"/>
                    <w:jc w:val="left"/>
                    <w:outlineLvl w:val="1"/>
                    <w:rPr>
                      <w:rFonts w:ascii="Arial" w:hAnsi="Arial" w:cs="Arial"/>
                      <w:color w:val="ED6D00"/>
                      <w:kern w:val="0"/>
                      <w:sz w:val="41"/>
                      <w:szCs w:val="41"/>
                    </w:rPr>
                  </w:pPr>
                  <w:r>
                    <w:rPr>
                      <w:rFonts w:hint="eastAsia"/>
                      <w:b/>
                      <w:sz w:val="36"/>
                      <w:szCs w:val="36"/>
                    </w:rPr>
                    <w:t>3. 下月起，39万医保药店迎来最严监管！中小连锁更难了？</w:t>
                  </w:r>
                </w:p>
                <w:p>
                  <w:pPr>
                    <w:rPr>
                      <w:b/>
                      <w:sz w:val="36"/>
                      <w:szCs w:val="36"/>
                    </w:rPr>
                  </w:pPr>
                </w:p>
                <w:p>
                  <w:pPr>
                    <w:rPr>
                      <w:b/>
                      <w:sz w:val="36"/>
                      <w:szCs w:val="36"/>
                    </w:rPr>
                  </w:pPr>
                </w:p>
                <w:p>
                  <w:pPr>
                    <w:rPr>
                      <w:b/>
                      <w:sz w:val="44"/>
                      <w:szCs w:val="44"/>
                    </w:rPr>
                  </w:pPr>
                  <w:r>
                    <w:rPr>
                      <w:rFonts w:hint="eastAsia"/>
                      <w:b/>
                      <w:sz w:val="36"/>
                      <w:szCs w:val="36"/>
                    </w:rPr>
                    <w:t>4. 戳进来！透视下沉市场</w:t>
                  </w:r>
                </w:p>
                <w:p>
                  <w:pPr>
                    <w:rPr>
                      <w:b/>
                      <w:sz w:val="44"/>
                      <w:szCs w:val="44"/>
                    </w:rPr>
                  </w:pPr>
                </w:p>
                <w:p>
                  <w:pPr>
                    <w:rPr>
                      <w:b/>
                      <w:sz w:val="44"/>
                      <w:szCs w:val="44"/>
                    </w:rPr>
                  </w:pPr>
                </w:p>
                <w:p>
                  <w:pPr>
                    <w:widowControl/>
                    <w:spacing w:after="210"/>
                    <w:jc w:val="left"/>
                    <w:outlineLvl w:val="1"/>
                    <w:rPr>
                      <w:rFonts w:ascii="宋体" w:hAnsi="宋体" w:cs="宋体"/>
                      <w:b/>
                      <w:bCs/>
                      <w:kern w:val="0"/>
                      <w:sz w:val="33"/>
                      <w:szCs w:val="33"/>
                    </w:rPr>
                  </w:pPr>
                  <w:r>
                    <w:rPr>
                      <w:rFonts w:hint="eastAsia"/>
                      <w:b/>
                      <w:sz w:val="36"/>
                      <w:szCs w:val="36"/>
                    </w:rPr>
                    <w:t>5. 市场可期！破解慢病管理“落地难”的方法有了</w:t>
                  </w:r>
                </w:p>
              </w:txbxContent>
            </v:textbox>
          </v:shape>
        </w:pict>
      </w:r>
      <w:r>
        <w:pict>
          <v:shape id="文本框 11" o:spid="_x0000_s1027" o:spt="202" type="#_x0000_t202" style="position:absolute;left:0pt;margin-left:-62.1pt;margin-top:3.15pt;height:251.25pt;width:156.1pt;z-index:25166745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">
            <v:path/>
            <v:fill on="f" focussize="0,0"/>
            <v:stroke on="f" weight="1.25pt" joinstyle="miter"/>
            <v:imagedata o:title=""/>
            <o:lock v:ext="edit"/>
            <v:textbox>
              <w:txbxContent>
                <w:p/>
                <w:p/>
                <w:p/>
                <w:p>
                  <w:pPr>
                    <w:jc w:val="center"/>
                    <w:rPr>
                      <w:b/>
                      <w:sz w:val="44"/>
                      <w:szCs w:val="44"/>
                    </w:rPr>
                  </w:pPr>
                  <w:r>
                    <w:rPr>
                      <w:rFonts w:hint="eastAsia"/>
                      <w:b/>
                      <w:sz w:val="44"/>
                      <w:szCs w:val="44"/>
                    </w:rPr>
                    <w:t>目录</w:t>
                  </w:r>
                </w:p>
                <w:p>
                  <w:pPr>
                    <w:jc w:val="center"/>
                    <w:rPr>
                      <w:b/>
                      <w:sz w:val="44"/>
                      <w:szCs w:val="44"/>
                    </w:rPr>
                  </w:pPr>
                </w:p>
                <w:p>
                  <w:pPr>
                    <w:jc w:val="center"/>
                    <w:rPr>
                      <w:b/>
                      <w:sz w:val="44"/>
                      <w:szCs w:val="44"/>
                    </w:rPr>
                  </w:pPr>
                </w:p>
                <w:p>
                  <w:pPr>
                    <w:jc w:val="center"/>
                    <w:rPr>
                      <w:b/>
                      <w:sz w:val="44"/>
                      <w:szCs w:val="44"/>
                    </w:rPr>
                  </w:pPr>
                </w:p>
                <w:p>
                  <w:pPr>
                    <w:jc w:val="center"/>
                    <w:rPr>
                      <w:b/>
                      <w:sz w:val="36"/>
                      <w:szCs w:val="36"/>
                    </w:rPr>
                  </w:pPr>
                  <w:r>
                    <w:rPr>
                      <w:rFonts w:hint="eastAsia"/>
                      <w:b/>
                      <w:sz w:val="36"/>
                      <w:szCs w:val="36"/>
                    </w:rPr>
                    <w:t>（1月第1期）</w:t>
                  </w:r>
                </w:p>
              </w:txbxContent>
            </v:textbox>
          </v:shape>
        </w:pict>
      </w:r>
    </w:p>
    <w:p>
      <w:pPr>
        <w:tabs>
          <w:tab w:val="left" w:pos="5245"/>
        </w:tabs>
      </w:pPr>
      <w:r>
        <w:rPr>
          <w:rFonts w:hint="eastAsia"/>
        </w:rPr>
        <w:t xml:space="preserve">    </w:t>
      </w:r>
    </w:p>
    <w:p>
      <w:pPr>
        <w:tabs>
          <w:tab w:val="left" w:pos="5245"/>
        </w:tabs>
      </w:pPr>
      <w:r>
        <w:rPr>
          <w:rFonts w:hint="eastAsia"/>
        </w:rPr>
        <w:t xml:space="preserve"> </w:t>
      </w: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r>
        <w:pict>
          <v:shape id="Straight Connector 5" o:spid="_x0000_s1031" o:spt="32" type="#_x0000_t32" style="position:absolute;left:0pt;margin-left:-67.5pt;margin-top:9.45pt;height:0.05pt;width:168.75pt;z-index:251661312;mso-width-relative:page;mso-height-relative:page;" filled="f" stroked="t" coordsize="21600,21600" o:gfxdata="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iHt0tgAAAAKAQAADwAAAAAAAAABACAAAAAiAAAAZHJz&#10;L2Rvd25yZXYueG1sUEsBAhQAFAAAAAgAh07iQLyefE7LAQAAngMAAA4AAAAAAAAAAQAgAAAAJwEA&#10;AGRycy9lMm9Eb2MueG1sUEsFBgAAAAAGAAYAWQEAAGQFAAAAAA==&#10;">
            <v:path arrowok="t"/>
            <v:fill on="f" focussize="0,0"/>
            <v:stroke weight="2.75pt" color="#548DD4"/>
            <v:imagedata o:title=""/>
            <o:lock v:ext="edit"/>
          </v:shape>
        </w:pict>
      </w:r>
    </w:p>
    <w:p>
      <w:pPr>
        <w:tabs>
          <w:tab w:val="left" w:pos="5245"/>
        </w:tabs>
      </w:pPr>
    </w:p>
    <w:p>
      <w:pPr>
        <w:tabs>
          <w:tab w:val="left" w:pos="5245"/>
        </w:tabs>
      </w:pPr>
    </w:p>
    <w:p>
      <w:pPr>
        <w:tabs>
          <w:tab w:val="left" w:pos="5245"/>
        </w:tabs>
      </w:pPr>
    </w:p>
    <w:p>
      <w:pPr>
        <w:tabs>
          <w:tab w:val="left" w:pos="5245"/>
        </w:tabs>
      </w:pPr>
      <w:r>
        <w:pict>
          <v:shape id="文本框 12" o:spid="_x0000_s1028" o:spt="202" type="#_x0000_t202" style="position:absolute;left:0pt;margin-left:-53.1pt;margin-top:10.65pt;height:60pt;width:140.25pt;z-index:25166848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">
            <v:path/>
            <v:fill on="f" focussize="0,0"/>
            <v:stroke on="f" weight="1.25pt" joinstyle="miter"/>
            <v:imagedata o:title=""/>
            <o:lock v:ext="edit"/>
            <v:textbox>
              <w:txbxContent>
                <w:p>
                  <w:pPr>
                    <w:jc w:val="center"/>
                    <w:rPr>
                      <w:sz w:val="44"/>
                      <w:szCs w:val="44"/>
                    </w:rPr>
                  </w:pPr>
                  <w:r>
                    <w:rPr>
                      <w:rFonts w:hint="eastAsia"/>
                      <w:sz w:val="44"/>
                      <w:szCs w:val="44"/>
                    </w:rPr>
                    <w:t>2021.1.25</w:t>
                  </w:r>
                </w:p>
              </w:txbxContent>
            </v:textbox>
          </v:shape>
        </w:pict>
      </w: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r>
        <w:pict>
          <v:shape id="文本框 13" o:spid="_x0000_s1029" o:spt="202" type="#_x0000_t202" style="position:absolute;left:0pt;margin-left:-46.2pt;margin-top:12pt;height:201.75pt;width:133.5pt;z-index:25166950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">
            <v:path/>
            <v:fill on="f" focussize="0,0"/>
            <v:stroke on="f" weight="1.25pt" joinstyle="miter"/>
            <v:imagedata o:title=""/>
            <o:lock v:ext="edit"/>
            <v:textbox>
              <w:txbxContent>
                <w:p/>
                <w:p/>
                <w:p/>
                <w:p>
                  <w:pPr>
                    <w:rPr>
                      <w:b/>
                      <w:sz w:val="32"/>
                      <w:szCs w:val="32"/>
                    </w:rPr>
                  </w:pPr>
                  <w:r>
                    <w:rPr>
                      <w:rFonts w:hint="eastAsia"/>
                      <w:b/>
                      <w:sz w:val="32"/>
                      <w:szCs w:val="32"/>
                    </w:rPr>
                    <w:t>总  编  朱卫东副总编  李厚佳  责任编辑车成刚</w:t>
                  </w:r>
                </w:p>
              </w:txbxContent>
            </v:textbox>
          </v:shape>
        </w:pict>
      </w: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r>
        <w:pict>
          <v:shape id="Straight Connector 4" o:spid="_x0000_s1030" o:spt="32" type="#_x0000_t32" style="position:absolute;left:0pt;margin-left:-67.5pt;margin-top:38.5pt;height:0.05pt;width:534pt;z-index:251660288;mso-width-relative:page;mso-height-relative:page;" filled="f" stroked="t" coordsize="21600,21600" o:gfxdata="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hstRc2AAAAAoBAAAPAAAAAAAAAAEAIAAAACIAAABkcnMv&#10;ZG93bnJldi54bWxQSwECFAAUAAAACACHTuJAVWy6vcoBAACeAwAADgAAAAAAAAABACAAAAAnAQAA&#10;ZHJzL2Uyb0RvYy54bWxQSwUGAAAAAAYABgBZAQAAYwUAAAAA&#10;">
            <v:path arrowok="t"/>
            <v:fill on="f" focussize="0,0"/>
            <v:stroke weight="3pt" color="#548DD4"/>
            <v:imagedata o:title=""/>
            <o:lock v:ext="edit"/>
          </v:shape>
        </w:pict>
      </w:r>
      <w:r>
        <w:rPr>
          <w:rFonts w:hint="eastAsia"/>
        </w:rPr>
        <w:t xml:space="preserve">                               </w:t>
      </w:r>
    </w:p>
    <w:tbl>
      <w:tblPr>
        <w:tblStyle w:val="10"/>
        <w:tblW w:w="9073" w:type="dxa"/>
        <w:tblInd w:w="-1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96"/>
        <w:gridCol w:w="2341"/>
        <w:gridCol w:w="2049"/>
        <w:gridCol w:w="24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1" w:hRule="atLeast"/>
        </w:trPr>
        <w:tc>
          <w:tcPr>
            <w:tcW w:w="2127" w:type="dxa"/>
            <w:vAlign w:val="center"/>
          </w:tcPr>
          <w:p>
            <w:pPr>
              <w:tabs>
                <w:tab w:val="left" w:pos="7088"/>
              </w:tabs>
              <w:jc w:val="center"/>
              <w:rPr>
                <w:b/>
                <w:sz w:val="30"/>
                <w:szCs w:val="30"/>
              </w:rPr>
            </w:pPr>
            <w:r>
              <w:rPr>
                <w:rFonts w:hint="eastAsia"/>
                <w:b/>
                <w:sz w:val="30"/>
                <w:szCs w:val="30"/>
              </w:rPr>
              <w:t>信息01</w:t>
            </w:r>
          </w:p>
        </w:tc>
        <w:tc>
          <w:tcPr>
            <w:tcW w:w="6662" w:type="dxa"/>
            <w:gridSpan w:val="3"/>
            <w:vAlign w:val="center"/>
          </w:tcPr>
          <w:p>
            <w:pPr>
              <w:rPr>
                <w:rFonts w:cs="宋体" w:asciiTheme="minorEastAsia" w:hAnsiTheme="minorEastAsia" w:eastAsiaTheme="minorEastAsia"/>
                <w:b/>
                <w:color w:val="000000"/>
                <w:kern w:val="0"/>
                <w:sz w:val="32"/>
                <w:szCs w:val="32"/>
              </w:rPr>
            </w:pPr>
            <w:r>
              <w:rPr>
                <w:rFonts w:hint="eastAsia"/>
                <w:b/>
                <w:sz w:val="32"/>
                <w:szCs w:val="32"/>
              </w:rPr>
              <w:t>2020零售药店报告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7" w:hRule="atLeast"/>
        </w:trPr>
        <w:tc>
          <w:tcPr>
            <w:tcW w:w="2127" w:type="dxa"/>
            <w:vAlign w:val="center"/>
          </w:tcPr>
          <w:p>
            <w:pPr>
              <w:tabs>
                <w:tab w:val="left" w:pos="7088"/>
              </w:tabs>
              <w:jc w:val="center"/>
            </w:pPr>
            <w:r>
              <w:rPr>
                <w:rFonts w:hint="eastAsia"/>
                <w:b/>
                <w:sz w:val="30"/>
                <w:szCs w:val="30"/>
              </w:rPr>
              <w:t>发布</w:t>
            </w:r>
            <w:r>
              <w:rPr>
                <w:b/>
                <w:sz w:val="30"/>
                <w:szCs w:val="30"/>
              </w:rPr>
              <w:t>时间</w:t>
            </w:r>
          </w:p>
        </w:tc>
        <w:tc>
          <w:tcPr>
            <w:tcW w:w="2268" w:type="dxa"/>
            <w:vAlign w:val="center"/>
          </w:tcPr>
          <w:p>
            <w:pPr>
              <w:tabs>
                <w:tab w:val="left" w:pos="7088"/>
              </w:tabs>
              <w:ind w:firstLine="280" w:firstLineChars="100"/>
              <w:rPr>
                <w:rFonts w:asciiTheme="minorEastAsia" w:hAnsiTheme="minorEastAsia" w:eastAsiaTheme="minorEastAsia"/>
                <w:sz w:val="28"/>
                <w:szCs w:val="28"/>
              </w:rPr>
            </w:pPr>
            <w:r>
              <w:rPr>
                <w:rFonts w:hint="eastAsia" w:asciiTheme="minorEastAsia" w:hAnsiTheme="minorEastAsia" w:eastAsiaTheme="minorEastAsia"/>
                <w:sz w:val="28"/>
                <w:szCs w:val="28"/>
              </w:rPr>
              <w:t>2021-1-08</w:t>
            </w:r>
          </w:p>
        </w:tc>
        <w:tc>
          <w:tcPr>
            <w:tcW w:w="1985" w:type="dxa"/>
            <w:vAlign w:val="center"/>
          </w:tcPr>
          <w:p>
            <w:pPr>
              <w:tabs>
                <w:tab w:val="left" w:pos="7088"/>
              </w:tabs>
              <w:jc w:val="center"/>
              <w:rPr>
                <w:b/>
                <w:sz w:val="28"/>
                <w:szCs w:val="28"/>
              </w:rPr>
            </w:pPr>
            <w:r>
              <w:rPr>
                <w:rFonts w:hint="eastAsia"/>
                <w:b/>
                <w:sz w:val="30"/>
                <w:szCs w:val="30"/>
              </w:rPr>
              <w:t>信息来源</w:t>
            </w:r>
          </w:p>
        </w:tc>
        <w:tc>
          <w:tcPr>
            <w:tcW w:w="2409" w:type="dxa"/>
            <w:vAlign w:val="center"/>
          </w:tcPr>
          <w:p>
            <w:pPr>
              <w:tabs>
                <w:tab w:val="left" w:pos="7088"/>
              </w:tabs>
              <w:jc w:val="center"/>
              <w:rPr>
                <w:rFonts w:asciiTheme="minorEastAsia" w:hAnsiTheme="minorEastAsia" w:eastAsiaTheme="minorEastAsia"/>
                <w:sz w:val="28"/>
                <w:szCs w:val="28"/>
              </w:rPr>
            </w:pPr>
            <w:r>
              <w:rPr>
                <w:rFonts w:hint="eastAsia"/>
                <w:sz w:val="28"/>
                <w:szCs w:val="28"/>
              </w:rPr>
              <w:t>谷丰观点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0" w:hRule="atLeast"/>
        </w:trPr>
        <w:tc>
          <w:tcPr>
            <w:tcW w:w="2127" w:type="dxa"/>
          </w:tcPr>
          <w:p>
            <w:pPr>
              <w:tabs>
                <w:tab w:val="left" w:pos="7088"/>
              </w:tabs>
              <w:jc w:val="center"/>
              <w:rPr>
                <w:b/>
                <w:sz w:val="30"/>
                <w:szCs w:val="30"/>
              </w:rPr>
            </w:pPr>
            <w:r>
              <w:rPr>
                <w:rFonts w:hint="eastAsia"/>
                <w:b/>
                <w:sz w:val="30"/>
                <w:szCs w:val="30"/>
              </w:rPr>
              <w:t>信息</w:t>
            </w:r>
            <w:r>
              <w:rPr>
                <w:b/>
                <w:sz w:val="30"/>
                <w:szCs w:val="30"/>
              </w:rPr>
              <w:t>提供</w:t>
            </w:r>
          </w:p>
        </w:tc>
        <w:tc>
          <w:tcPr>
            <w:tcW w:w="2268" w:type="dxa"/>
            <w:vAlign w:val="center"/>
          </w:tcPr>
          <w:p>
            <w:pPr>
              <w:tabs>
                <w:tab w:val="left" w:pos="7088"/>
              </w:tabs>
              <w:jc w:val="center"/>
              <w:rPr>
                <w:sz w:val="28"/>
                <w:szCs w:val="28"/>
              </w:rPr>
            </w:pPr>
            <w:r>
              <w:rPr>
                <w:rFonts w:hint="eastAsia"/>
                <w:sz w:val="28"/>
                <w:szCs w:val="28"/>
              </w:rPr>
              <w:t>运营管理部</w:t>
            </w:r>
          </w:p>
        </w:tc>
        <w:tc>
          <w:tcPr>
            <w:tcW w:w="1985" w:type="dxa"/>
          </w:tcPr>
          <w:p>
            <w:pPr>
              <w:tabs>
                <w:tab w:val="left" w:pos="7088"/>
              </w:tabs>
              <w:jc w:val="center"/>
              <w:rPr>
                <w:b/>
                <w:sz w:val="28"/>
                <w:szCs w:val="28"/>
              </w:rPr>
            </w:pPr>
            <w:r>
              <w:rPr>
                <w:rFonts w:hint="eastAsia"/>
                <w:b/>
                <w:sz w:val="30"/>
                <w:szCs w:val="30"/>
              </w:rPr>
              <w:t>信息确认</w:t>
            </w:r>
          </w:p>
        </w:tc>
        <w:tc>
          <w:tcPr>
            <w:tcW w:w="2409" w:type="dxa"/>
          </w:tcPr>
          <w:p>
            <w:pPr>
              <w:tabs>
                <w:tab w:val="left" w:pos="7088"/>
              </w:tabs>
              <w:jc w:val="center"/>
              <w:rPr>
                <w:sz w:val="28"/>
                <w:szCs w:val="28"/>
              </w:rPr>
            </w:pPr>
            <w:r>
              <w:rPr>
                <w:rFonts w:hint="eastAsia"/>
                <w:sz w:val="28"/>
                <w:szCs w:val="28"/>
              </w:rPr>
              <w:t>车成刚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0" w:hRule="atLeast"/>
        </w:trPr>
        <w:tc>
          <w:tcPr>
            <w:tcW w:w="2127" w:type="dxa"/>
            <w:tcBorders>
              <w:bottom w:val="single" w:color="auto" w:sz="4" w:space="0"/>
            </w:tcBorders>
            <w:vAlign w:val="center"/>
          </w:tcPr>
          <w:p>
            <w:pPr>
              <w:tabs>
                <w:tab w:val="left" w:pos="7088"/>
              </w:tabs>
              <w:ind w:firstLine="301" w:firstLineChars="100"/>
              <w:rPr>
                <w:b/>
                <w:sz w:val="30"/>
                <w:szCs w:val="30"/>
              </w:rPr>
            </w:pPr>
            <w:r>
              <w:rPr>
                <w:rFonts w:hint="eastAsia"/>
                <w:b/>
                <w:sz w:val="30"/>
                <w:szCs w:val="30"/>
              </w:rPr>
              <w:t>确认</w:t>
            </w:r>
            <w:r>
              <w:rPr>
                <w:b/>
                <w:sz w:val="30"/>
                <w:szCs w:val="30"/>
              </w:rPr>
              <w:t>结果</w:t>
            </w:r>
          </w:p>
        </w:tc>
        <w:tc>
          <w:tcPr>
            <w:tcW w:w="6662" w:type="dxa"/>
            <w:gridSpan w:val="3"/>
            <w:tcBorders>
              <w:bottom w:val="single" w:color="auto" w:sz="4" w:space="0"/>
            </w:tcBorders>
            <w:vAlign w:val="center"/>
          </w:tcPr>
          <w:p>
            <w:pPr>
              <w:tabs>
                <w:tab w:val="left" w:pos="7088"/>
              </w:tabs>
              <w:jc w:val="left"/>
              <w:rPr>
                <w:sz w:val="28"/>
                <w:szCs w:val="28"/>
              </w:rPr>
            </w:pPr>
            <w:r>
              <w:rPr>
                <w:rFonts w:hint="eastAsia" w:asciiTheme="minorEastAsia" w:hAnsiTheme="minorEastAsia" w:eastAsiaTheme="minorEastAsia"/>
                <w:sz w:val="28"/>
                <w:szCs w:val="28"/>
              </w:rPr>
              <w:t>来源：</w:t>
            </w:r>
            <w:r>
              <w:rPr>
                <w:rFonts w:hint="eastAsia"/>
                <w:sz w:val="28"/>
                <w:szCs w:val="28"/>
              </w:rPr>
              <w:t>谷丰观点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27" w:hRule="atLeast"/>
        </w:trPr>
        <w:tc>
          <w:tcPr>
            <w:tcW w:w="2127" w:type="dxa"/>
            <w:tcBorders>
              <w:top w:val="single" w:color="auto" w:sz="4" w:space="0"/>
            </w:tcBorders>
            <w:vAlign w:val="center"/>
          </w:tcPr>
          <w:p>
            <w:pPr>
              <w:tabs>
                <w:tab w:val="left" w:pos="7088"/>
              </w:tabs>
              <w:jc w:val="center"/>
              <w:rPr>
                <w:b/>
                <w:sz w:val="30"/>
                <w:szCs w:val="30"/>
              </w:rPr>
            </w:pPr>
            <w:r>
              <w:rPr>
                <w:rFonts w:hint="eastAsia"/>
                <w:b/>
                <w:sz w:val="30"/>
                <w:szCs w:val="30"/>
              </w:rPr>
              <w:t>关键词</w:t>
            </w:r>
          </w:p>
        </w:tc>
        <w:tc>
          <w:tcPr>
            <w:tcW w:w="6662" w:type="dxa"/>
            <w:gridSpan w:val="3"/>
            <w:tcBorders>
              <w:top w:val="single" w:color="auto" w:sz="4" w:space="0"/>
            </w:tcBorders>
            <w:vAlign w:val="center"/>
          </w:tcPr>
          <w:p>
            <w:pPr>
              <w:tabs>
                <w:tab w:val="left" w:pos="7088"/>
              </w:tabs>
              <w:jc w:val="left"/>
              <w:rPr>
                <w:rFonts w:cs="宋体" w:asciiTheme="minorEastAsia" w:hAnsiTheme="minorEastAsia" w:eastAsiaTheme="minorEastAsia"/>
                <w:kern w:val="0"/>
                <w:sz w:val="28"/>
                <w:szCs w:val="28"/>
              </w:rPr>
            </w:pPr>
            <w:r>
              <w:rPr>
                <w:rFonts w:hint="eastAsia" w:asciiTheme="minorEastAsia" w:hAnsiTheme="minorEastAsia" w:eastAsiaTheme="minorEastAsia"/>
                <w:sz w:val="28"/>
                <w:szCs w:val="28"/>
              </w:rPr>
              <w:t>零售药店，复苏，业绩。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76" w:hRule="atLeast"/>
        </w:trPr>
        <w:tc>
          <w:tcPr>
            <w:tcW w:w="2127" w:type="dxa"/>
            <w:vAlign w:val="center"/>
          </w:tcPr>
          <w:p>
            <w:pPr>
              <w:tabs>
                <w:tab w:val="left" w:pos="7088"/>
              </w:tabs>
              <w:jc w:val="center"/>
              <w:rPr>
                <w:b/>
                <w:sz w:val="30"/>
                <w:szCs w:val="30"/>
              </w:rPr>
            </w:pPr>
            <w:r>
              <w:rPr>
                <w:b/>
                <w:sz w:val="30"/>
                <w:szCs w:val="30"/>
              </w:rPr>
              <w:t>内容概要</w:t>
            </w:r>
          </w:p>
        </w:tc>
        <w:tc>
          <w:tcPr>
            <w:tcW w:w="6662" w:type="dxa"/>
            <w:gridSpan w:val="3"/>
            <w:vAlign w:val="center"/>
          </w:tcPr>
          <w:p>
            <w:pPr>
              <w:ind w:firstLine="280" w:firstLineChars="100"/>
              <w:rPr>
                <w:rFonts w:asciiTheme="minorEastAsia" w:hAnsiTheme="minorEastAsia" w:eastAsiaTheme="minorEastAsia"/>
                <w:sz w:val="28"/>
                <w:szCs w:val="28"/>
              </w:rPr>
            </w:pPr>
          </w:p>
          <w:p>
            <w:pPr>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天时回暖酿阳光，药店渠道有望率先复苏。</w:t>
            </w:r>
          </w:p>
          <w:p>
            <w:pPr>
              <w:pStyle w:val="20"/>
              <w:numPr>
                <w:ilvl w:val="0"/>
                <w:numId w:val="1"/>
              </w:numPr>
              <w:ind w:firstLineChars="0"/>
              <w:rPr>
                <w:rFonts w:asciiTheme="minorEastAsia" w:hAnsiTheme="minorEastAsia" w:eastAsiaTheme="minorEastAsia"/>
                <w:sz w:val="28"/>
                <w:szCs w:val="28"/>
              </w:rPr>
            </w:pPr>
            <w:r>
              <w:rPr>
                <w:rFonts w:hint="eastAsia" w:asciiTheme="minorEastAsia" w:hAnsiTheme="minorEastAsia" w:eastAsiaTheme="minorEastAsia"/>
                <w:sz w:val="28"/>
                <w:szCs w:val="28"/>
              </w:rPr>
              <w:t>药店在疫情中展现零售端韧性，有望率先复苏；</w:t>
            </w:r>
          </w:p>
          <w:p>
            <w:pPr>
              <w:pStyle w:val="20"/>
              <w:numPr>
                <w:ilvl w:val="0"/>
                <w:numId w:val="1"/>
              </w:numPr>
              <w:ind w:firstLineChars="0"/>
              <w:rPr>
                <w:rFonts w:asciiTheme="minorEastAsia" w:hAnsiTheme="minorEastAsia" w:eastAsiaTheme="minorEastAsia"/>
                <w:sz w:val="28"/>
                <w:szCs w:val="28"/>
              </w:rPr>
            </w:pPr>
            <w:r>
              <w:rPr>
                <w:rFonts w:hint="eastAsia" w:asciiTheme="minorEastAsia" w:hAnsiTheme="minorEastAsia" w:eastAsiaTheme="minorEastAsia"/>
                <w:sz w:val="28"/>
                <w:szCs w:val="28"/>
              </w:rPr>
              <w:t>相关上市公司业绩表现；</w:t>
            </w:r>
          </w:p>
          <w:p>
            <w:pPr>
              <w:pStyle w:val="20"/>
              <w:numPr>
                <w:ilvl w:val="0"/>
                <w:numId w:val="1"/>
              </w:numPr>
              <w:ind w:firstLineChars="0"/>
              <w:rPr>
                <w:rFonts w:asciiTheme="minorEastAsia" w:hAnsiTheme="minorEastAsia" w:eastAsiaTheme="minorEastAsia"/>
                <w:sz w:val="28"/>
                <w:szCs w:val="28"/>
              </w:rPr>
            </w:pPr>
            <w:r>
              <w:rPr>
                <w:rFonts w:hint="eastAsia" w:asciiTheme="minorEastAsia" w:hAnsiTheme="minorEastAsia" w:eastAsiaTheme="minorEastAsia"/>
                <w:sz w:val="28"/>
                <w:szCs w:val="28"/>
              </w:rPr>
              <w:t>行业近期政策与上市并购动态。</w:t>
            </w:r>
          </w:p>
          <w:p>
            <w:pPr>
              <w:pStyle w:val="20"/>
              <w:ind w:left="1280" w:firstLine="0" w:firstLineChars="0"/>
              <w:rPr>
                <w:rFonts w:asciiTheme="minorEastAsia" w:hAnsiTheme="minorEastAsia" w:eastAsiaTheme="minorEastAsia"/>
                <w:sz w:val="28"/>
                <w:szCs w:val="28"/>
              </w:rPr>
            </w:pPr>
          </w:p>
          <w:p>
            <w:pPr>
              <w:ind w:firstLine="280" w:firstLineChars="100"/>
              <w:rPr>
                <w:rFonts w:asciiTheme="minorEastAsia" w:hAnsiTheme="minorEastAsia" w:eastAsiaTheme="minorEastAsia"/>
                <w:sz w:val="28"/>
                <w:szCs w:val="28"/>
              </w:rPr>
            </w:pPr>
          </w:p>
          <w:p>
            <w:pPr>
              <w:ind w:firstLine="280" w:firstLineChars="100"/>
              <w:rPr>
                <w:rFonts w:asciiTheme="minorEastAsia" w:hAnsiTheme="minorEastAsia" w:eastAsiaTheme="minorEastAsia"/>
                <w:sz w:val="28"/>
                <w:szCs w:val="28"/>
              </w:rPr>
            </w:pPr>
          </w:p>
          <w:p>
            <w:pPr>
              <w:ind w:firstLine="280" w:firstLineChars="100"/>
              <w:rPr>
                <w:rFonts w:asciiTheme="minorEastAsia" w:hAnsiTheme="minorEastAsia" w:eastAsiaTheme="minorEastAsia"/>
                <w:sz w:val="28"/>
                <w:szCs w:val="28"/>
              </w:rPr>
            </w:pPr>
          </w:p>
          <w:p>
            <w:pPr>
              <w:ind w:firstLine="280" w:firstLineChars="100"/>
              <w:rPr>
                <w:rFonts w:asciiTheme="minorEastAsia" w:hAnsiTheme="minorEastAsia" w:eastAsiaTheme="minorEastAsia"/>
                <w:sz w:val="28"/>
                <w:szCs w:val="28"/>
              </w:rPr>
            </w:pPr>
          </w:p>
          <w:p>
            <w:pPr>
              <w:rPr>
                <w:rFonts w:asciiTheme="minorEastAsia" w:hAnsiTheme="minorEastAsia" w:eastAsiaTheme="minorEastAsia"/>
                <w:sz w:val="28"/>
                <w:szCs w:val="28"/>
              </w:rPr>
            </w:pPr>
          </w:p>
          <w:p>
            <w:pPr>
              <w:rPr>
                <w:rFonts w:asciiTheme="minorEastAsia" w:hAnsiTheme="minorEastAsia" w:eastAsiaTheme="minorEastAsia"/>
                <w:sz w:val="28"/>
                <w:szCs w:val="28"/>
              </w:rPr>
            </w:pPr>
          </w:p>
          <w:p>
            <w:pPr>
              <w:rPr>
                <w:rFonts w:asciiTheme="minorEastAsia" w:hAnsiTheme="minorEastAsia" w:eastAsiaTheme="minorEastAsia"/>
                <w:sz w:val="28"/>
                <w:szCs w:val="28"/>
              </w:rPr>
            </w:pPr>
          </w:p>
          <w:p>
            <w:pPr>
              <w:widowControl/>
              <w:shd w:val="clear" w:color="auto" w:fill="FFFFFF"/>
              <w:spacing w:after="190"/>
              <w:jc w:val="left"/>
              <w:outlineLvl w:val="1"/>
              <w:rPr>
                <w:rFonts w:asciiTheme="minorEastAsia" w:hAnsiTheme="minorEastAsia" w:eastAsiaTheme="minorEastAsia"/>
                <w:sz w:val="28"/>
                <w:szCs w:val="28"/>
              </w:rPr>
            </w:pPr>
            <w:r>
              <w:rPr>
                <w:rFonts w:hint="eastAsia"/>
              </w:rPr>
              <w:t>附件1: 2020零售药店报告</w:t>
            </w:r>
          </w:p>
        </w:tc>
      </w:tr>
    </w:tbl>
    <w:p>
      <w:pPr>
        <w:tabs>
          <w:tab w:val="left" w:pos="5245"/>
        </w:tabs>
      </w:pPr>
    </w:p>
    <w:p>
      <w:pPr>
        <w:tabs>
          <w:tab w:val="left" w:pos="5245"/>
        </w:tabs>
      </w:pPr>
    </w:p>
    <w:p>
      <w:pPr>
        <w:tabs>
          <w:tab w:val="left" w:pos="5245"/>
        </w:tabs>
      </w:pPr>
    </w:p>
    <w:tbl>
      <w:tblPr>
        <w:tblStyle w:val="10"/>
        <w:tblW w:w="9073" w:type="dxa"/>
        <w:tblInd w:w="-1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27"/>
        <w:gridCol w:w="2268"/>
        <w:gridCol w:w="142"/>
        <w:gridCol w:w="1843"/>
        <w:gridCol w:w="2409"/>
        <w:gridCol w:w="2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8" w:hRule="atLeast"/>
        </w:trPr>
        <w:tc>
          <w:tcPr>
            <w:tcW w:w="2127" w:type="dxa"/>
            <w:vAlign w:val="center"/>
          </w:tcPr>
          <w:p>
            <w:pPr>
              <w:tabs>
                <w:tab w:val="left" w:pos="5245"/>
              </w:tabs>
              <w:jc w:val="center"/>
              <w:rPr>
                <w:b/>
                <w:sz w:val="30"/>
                <w:szCs w:val="30"/>
              </w:rPr>
            </w:pPr>
            <w:r>
              <w:rPr>
                <w:rFonts w:hint="eastAsia"/>
                <w:b/>
                <w:sz w:val="30"/>
                <w:szCs w:val="30"/>
              </w:rPr>
              <w:t>信息02</w:t>
            </w:r>
          </w:p>
        </w:tc>
        <w:tc>
          <w:tcPr>
            <w:tcW w:w="6946" w:type="dxa"/>
            <w:gridSpan w:val="5"/>
            <w:vAlign w:val="center"/>
          </w:tcPr>
          <w:p>
            <w:pPr>
              <w:rPr>
                <w:rFonts w:asciiTheme="minorEastAsia" w:hAnsiTheme="minorEastAsia" w:eastAsiaTheme="minorEastAsia"/>
                <w:b/>
                <w:sz w:val="32"/>
                <w:szCs w:val="32"/>
              </w:rPr>
            </w:pPr>
            <w:r>
              <w:rPr>
                <w:rFonts w:hint="eastAsia"/>
                <w:b/>
                <w:sz w:val="32"/>
                <w:szCs w:val="32"/>
              </w:rPr>
              <w:t>第四批国采正式启动，最新竞争格局速览！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8" w:hRule="atLeast"/>
        </w:trPr>
        <w:tc>
          <w:tcPr>
            <w:tcW w:w="2127" w:type="dxa"/>
            <w:vAlign w:val="center"/>
          </w:tcPr>
          <w:p>
            <w:pPr>
              <w:tabs>
                <w:tab w:val="left" w:pos="5245"/>
              </w:tabs>
              <w:jc w:val="center"/>
            </w:pPr>
            <w:r>
              <w:rPr>
                <w:rFonts w:hint="eastAsia"/>
                <w:b/>
                <w:sz w:val="30"/>
                <w:szCs w:val="30"/>
              </w:rPr>
              <w:t>发布</w:t>
            </w:r>
            <w:r>
              <w:rPr>
                <w:b/>
                <w:sz w:val="30"/>
                <w:szCs w:val="30"/>
              </w:rPr>
              <w:t>时间</w:t>
            </w:r>
          </w:p>
        </w:tc>
        <w:tc>
          <w:tcPr>
            <w:tcW w:w="2410" w:type="dxa"/>
            <w:gridSpan w:val="2"/>
            <w:vAlign w:val="center"/>
          </w:tcPr>
          <w:p>
            <w:pPr>
              <w:widowControl/>
              <w:spacing w:line="300" w:lineRule="atLeast"/>
              <w:ind w:firstLine="280" w:firstLineChars="100"/>
              <w:jc w:val="left"/>
              <w:rPr>
                <w:rFonts w:asciiTheme="minorEastAsia" w:hAnsiTheme="minorEastAsia" w:eastAsiaTheme="minorEastAsia"/>
                <w:sz w:val="28"/>
                <w:szCs w:val="28"/>
              </w:rPr>
            </w:pPr>
            <w:r>
              <w:rPr>
                <w:rFonts w:hint="eastAsia" w:cs="Helvetica" w:asciiTheme="minorEastAsia" w:hAnsiTheme="minorEastAsia" w:eastAsiaTheme="minorEastAsia"/>
                <w:kern w:val="0"/>
                <w:sz w:val="28"/>
                <w:szCs w:val="28"/>
              </w:rPr>
              <w:t>2021-1-19</w:t>
            </w:r>
          </w:p>
        </w:tc>
        <w:tc>
          <w:tcPr>
            <w:tcW w:w="1843" w:type="dxa"/>
            <w:vAlign w:val="center"/>
          </w:tcPr>
          <w:p>
            <w:pPr>
              <w:jc w:val="center"/>
              <w:rPr>
                <w:b/>
                <w:sz w:val="30"/>
                <w:szCs w:val="30"/>
              </w:rPr>
            </w:pPr>
            <w:r>
              <w:rPr>
                <w:rFonts w:hint="eastAsia"/>
                <w:b/>
                <w:sz w:val="30"/>
                <w:szCs w:val="30"/>
              </w:rPr>
              <w:t>信息来源</w:t>
            </w:r>
          </w:p>
        </w:tc>
        <w:tc>
          <w:tcPr>
            <w:tcW w:w="2693" w:type="dxa"/>
            <w:gridSpan w:val="2"/>
            <w:vAlign w:val="center"/>
          </w:tcPr>
          <w:p>
            <w:pPr>
              <w:jc w:val="center"/>
              <w:rPr>
                <w:sz w:val="28"/>
                <w:szCs w:val="28"/>
              </w:rPr>
            </w:pPr>
            <w:r>
              <w:rPr>
                <w:rFonts w:hint="eastAsia"/>
                <w:sz w:val="28"/>
                <w:szCs w:val="28"/>
              </w:rPr>
              <w:t>谷丰观点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trPr>
        <w:tc>
          <w:tcPr>
            <w:tcW w:w="2127" w:type="dxa"/>
            <w:vAlign w:val="center"/>
          </w:tcPr>
          <w:p>
            <w:pPr>
              <w:tabs>
                <w:tab w:val="left" w:pos="5245"/>
              </w:tabs>
              <w:jc w:val="center"/>
              <w:rPr>
                <w:b/>
                <w:sz w:val="30"/>
                <w:szCs w:val="30"/>
              </w:rPr>
            </w:pPr>
            <w:r>
              <w:rPr>
                <w:rFonts w:hint="eastAsia"/>
                <w:b/>
                <w:sz w:val="30"/>
                <w:szCs w:val="30"/>
              </w:rPr>
              <w:t>信息</w:t>
            </w:r>
            <w:r>
              <w:rPr>
                <w:b/>
                <w:sz w:val="30"/>
                <w:szCs w:val="30"/>
              </w:rPr>
              <w:t>提供</w:t>
            </w:r>
          </w:p>
        </w:tc>
        <w:tc>
          <w:tcPr>
            <w:tcW w:w="2410" w:type="dxa"/>
            <w:gridSpan w:val="2"/>
            <w:vAlign w:val="center"/>
          </w:tcPr>
          <w:p>
            <w:pPr>
              <w:jc w:val="center"/>
              <w:rPr>
                <w:sz w:val="28"/>
                <w:szCs w:val="28"/>
              </w:rPr>
            </w:pPr>
            <w:r>
              <w:rPr>
                <w:rFonts w:hint="eastAsia"/>
                <w:sz w:val="28"/>
                <w:szCs w:val="28"/>
              </w:rPr>
              <w:t>运营管理部</w:t>
            </w:r>
          </w:p>
        </w:tc>
        <w:tc>
          <w:tcPr>
            <w:tcW w:w="1843" w:type="dxa"/>
            <w:vAlign w:val="center"/>
          </w:tcPr>
          <w:p>
            <w:pPr>
              <w:jc w:val="center"/>
              <w:rPr>
                <w:b/>
                <w:sz w:val="28"/>
                <w:szCs w:val="28"/>
              </w:rPr>
            </w:pPr>
            <w:r>
              <w:rPr>
                <w:rFonts w:hint="eastAsia"/>
                <w:b/>
                <w:sz w:val="30"/>
                <w:szCs w:val="30"/>
              </w:rPr>
              <w:t>信息确认</w:t>
            </w:r>
          </w:p>
        </w:tc>
        <w:tc>
          <w:tcPr>
            <w:tcW w:w="2693" w:type="dxa"/>
            <w:gridSpan w:val="2"/>
            <w:vAlign w:val="center"/>
          </w:tcPr>
          <w:p>
            <w:pPr>
              <w:jc w:val="center"/>
              <w:rPr>
                <w:sz w:val="28"/>
                <w:szCs w:val="28"/>
              </w:rPr>
            </w:pPr>
            <w:r>
              <w:rPr>
                <w:rFonts w:hint="eastAsia"/>
                <w:sz w:val="28"/>
                <w:szCs w:val="28"/>
              </w:rPr>
              <w:t>车成刚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9" w:hRule="atLeast"/>
        </w:trPr>
        <w:tc>
          <w:tcPr>
            <w:tcW w:w="2127" w:type="dxa"/>
            <w:vAlign w:val="center"/>
          </w:tcPr>
          <w:p>
            <w:pPr>
              <w:tabs>
                <w:tab w:val="left" w:pos="5245"/>
              </w:tabs>
              <w:jc w:val="center"/>
              <w:rPr>
                <w:b/>
                <w:sz w:val="30"/>
                <w:szCs w:val="30"/>
              </w:rPr>
            </w:pPr>
            <w:r>
              <w:rPr>
                <w:rFonts w:hint="eastAsia"/>
                <w:b/>
                <w:sz w:val="30"/>
                <w:szCs w:val="30"/>
              </w:rPr>
              <w:t>确认</w:t>
            </w:r>
            <w:r>
              <w:rPr>
                <w:b/>
                <w:sz w:val="30"/>
                <w:szCs w:val="30"/>
              </w:rPr>
              <w:t>结果</w:t>
            </w:r>
          </w:p>
        </w:tc>
        <w:tc>
          <w:tcPr>
            <w:tcW w:w="6946" w:type="dxa"/>
            <w:gridSpan w:val="5"/>
            <w:vAlign w:val="center"/>
          </w:tcPr>
          <w:p>
            <w:pPr>
              <w:rPr>
                <w:rFonts w:cs="Helvetica" w:asciiTheme="minorEastAsia" w:hAnsiTheme="minorEastAsia" w:eastAsiaTheme="minorEastAsia"/>
                <w:kern w:val="0"/>
                <w:sz w:val="32"/>
                <w:szCs w:val="32"/>
              </w:rPr>
            </w:pPr>
            <w:r>
              <w:rPr>
                <w:rFonts w:asciiTheme="minorEastAsia" w:hAnsiTheme="minorEastAsia" w:eastAsiaTheme="minorEastAsia"/>
                <w:sz w:val="28"/>
                <w:szCs w:val="28"/>
              </w:rPr>
              <w:t>来源：</w:t>
            </w:r>
            <w:r>
              <w:rPr>
                <w:rFonts w:cs="Helvetica" w:asciiTheme="minorEastAsia" w:hAnsiTheme="minorEastAsia" w:eastAsiaTheme="minorEastAsia"/>
                <w:kern w:val="0"/>
                <w:sz w:val="32"/>
                <w:szCs w:val="32"/>
              </w:rPr>
              <w:t xml:space="preserve"> </w:t>
            </w:r>
            <w:r>
              <w:rPr>
                <w:rFonts w:hint="eastAsia"/>
                <w:sz w:val="28"/>
                <w:szCs w:val="28"/>
              </w:rPr>
              <w:t>谷丰观点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8" w:hRule="atLeast"/>
        </w:trPr>
        <w:tc>
          <w:tcPr>
            <w:tcW w:w="2127" w:type="dxa"/>
            <w:vAlign w:val="center"/>
          </w:tcPr>
          <w:p>
            <w:pPr>
              <w:tabs>
                <w:tab w:val="left" w:pos="5245"/>
              </w:tabs>
              <w:jc w:val="center"/>
              <w:rPr>
                <w:b/>
                <w:sz w:val="30"/>
                <w:szCs w:val="30"/>
              </w:rPr>
            </w:pPr>
            <w:r>
              <w:rPr>
                <w:rFonts w:hint="eastAsia"/>
                <w:b/>
                <w:sz w:val="30"/>
                <w:szCs w:val="30"/>
              </w:rPr>
              <w:t>关键词</w:t>
            </w:r>
          </w:p>
        </w:tc>
        <w:tc>
          <w:tcPr>
            <w:tcW w:w="6946" w:type="dxa"/>
            <w:gridSpan w:val="5"/>
            <w:vAlign w:val="center"/>
          </w:tcPr>
          <w:p>
            <w:pPr>
              <w:jc w:val="left"/>
              <w:rPr>
                <w:sz w:val="28"/>
                <w:szCs w:val="28"/>
              </w:rPr>
            </w:pPr>
            <w:r>
              <w:rPr>
                <w:rFonts w:hint="eastAsia"/>
                <w:sz w:val="28"/>
                <w:szCs w:val="28"/>
              </w:rPr>
              <w:t>第四批，带量采购。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37" w:hRule="atLeast"/>
        </w:trPr>
        <w:tc>
          <w:tcPr>
            <w:tcW w:w="2127" w:type="dxa"/>
            <w:vAlign w:val="center"/>
          </w:tcPr>
          <w:p>
            <w:pPr>
              <w:tabs>
                <w:tab w:val="left" w:pos="5245"/>
              </w:tabs>
              <w:jc w:val="center"/>
              <w:rPr>
                <w:b/>
                <w:sz w:val="30"/>
                <w:szCs w:val="30"/>
              </w:rPr>
            </w:pPr>
            <w:r>
              <w:rPr>
                <w:rFonts w:hint="eastAsia"/>
                <w:b/>
                <w:sz w:val="30"/>
                <w:szCs w:val="30"/>
              </w:rPr>
              <w:t>内容概要</w:t>
            </w:r>
          </w:p>
        </w:tc>
        <w:tc>
          <w:tcPr>
            <w:tcW w:w="6946" w:type="dxa"/>
            <w:gridSpan w:val="5"/>
            <w:vAlign w:val="center"/>
          </w:tcPr>
          <w:p>
            <w:pPr>
              <w:widowControl/>
              <w:spacing w:line="420" w:lineRule="atLeast"/>
              <w:ind w:firstLine="280" w:firstLineChars="100"/>
              <w:jc w:val="left"/>
              <w:rPr>
                <w:rFonts w:asciiTheme="minorEastAsia" w:hAnsiTheme="minorEastAsia" w:eastAsiaTheme="minorEastAsia"/>
                <w:sz w:val="28"/>
                <w:szCs w:val="28"/>
              </w:rPr>
            </w:pPr>
          </w:p>
          <w:p>
            <w:pPr>
              <w:widowControl/>
              <w:spacing w:line="420" w:lineRule="atLeast"/>
              <w:ind w:firstLine="560" w:firstLineChars="200"/>
              <w:jc w:val="left"/>
              <w:rPr>
                <w:rFonts w:asciiTheme="minorEastAsia" w:hAnsiTheme="minorEastAsia" w:eastAsiaTheme="minorEastAsia"/>
                <w:sz w:val="28"/>
                <w:szCs w:val="28"/>
              </w:rPr>
            </w:pPr>
            <w:r>
              <w:rPr>
                <w:rFonts w:hint="eastAsia" w:asciiTheme="minorEastAsia" w:hAnsiTheme="minorEastAsia" w:eastAsiaTheme="minorEastAsia"/>
                <w:sz w:val="28"/>
                <w:szCs w:val="28"/>
              </w:rPr>
              <w:t>万众瞩目的第四批国家带量采购文件在上海阳光采购网发布。</w:t>
            </w:r>
          </w:p>
          <w:p>
            <w:pPr>
              <w:widowControl/>
              <w:spacing w:line="420" w:lineRule="atLeast"/>
              <w:jc w:val="left"/>
              <w:rPr>
                <w:rFonts w:asciiTheme="minorEastAsia" w:hAnsiTheme="minorEastAsia" w:eastAsiaTheme="minorEastAsia"/>
              </w:rPr>
            </w:pPr>
            <w:r>
              <w:rPr>
                <w:rFonts w:hint="eastAsia" w:asciiTheme="minorEastAsia" w:hAnsiTheme="minorEastAsia" w:eastAsiaTheme="minorEastAsia"/>
                <w:sz w:val="28"/>
                <w:szCs w:val="28"/>
              </w:rPr>
              <w:t>1、采购品种；</w:t>
            </w:r>
          </w:p>
          <w:p>
            <w:pPr>
              <w:widowControl/>
              <w:spacing w:line="420" w:lineRule="atLeast"/>
              <w:jc w:val="left"/>
              <w:rPr>
                <w:rFonts w:asciiTheme="minorEastAsia" w:hAnsiTheme="minorEastAsia" w:eastAsiaTheme="minorEastAsia"/>
                <w:sz w:val="28"/>
                <w:szCs w:val="28"/>
              </w:rPr>
            </w:pPr>
            <w:r>
              <w:rPr>
                <w:rFonts w:hint="eastAsia" w:asciiTheme="minorEastAsia" w:hAnsiTheme="minorEastAsia" w:eastAsiaTheme="minorEastAsia"/>
                <w:sz w:val="28"/>
                <w:szCs w:val="28"/>
              </w:rPr>
              <w:t>2、申报要求；</w:t>
            </w:r>
          </w:p>
          <w:p>
            <w:pPr>
              <w:widowControl/>
              <w:spacing w:line="420" w:lineRule="atLeast"/>
              <w:jc w:val="left"/>
              <w:rPr>
                <w:rFonts w:asciiTheme="minorEastAsia" w:hAnsiTheme="minorEastAsia" w:eastAsiaTheme="minorEastAsia"/>
                <w:sz w:val="28"/>
                <w:szCs w:val="28"/>
              </w:rPr>
            </w:pPr>
            <w:r>
              <w:rPr>
                <w:rFonts w:hint="eastAsia" w:asciiTheme="minorEastAsia" w:hAnsiTheme="minorEastAsia" w:eastAsiaTheme="minorEastAsia"/>
                <w:sz w:val="28"/>
                <w:szCs w:val="28"/>
              </w:rPr>
              <w:t>3、拟中选规则；</w:t>
            </w:r>
          </w:p>
          <w:p>
            <w:pPr>
              <w:widowControl/>
              <w:spacing w:line="420" w:lineRule="atLeast"/>
              <w:jc w:val="left"/>
              <w:rPr>
                <w:rFonts w:asciiTheme="minorEastAsia" w:hAnsiTheme="minorEastAsia" w:eastAsiaTheme="minorEastAsia"/>
                <w:sz w:val="28"/>
                <w:szCs w:val="28"/>
              </w:rPr>
            </w:pPr>
            <w:r>
              <w:rPr>
                <w:rFonts w:hint="eastAsia" w:asciiTheme="minorEastAsia" w:hAnsiTheme="minorEastAsia" w:eastAsiaTheme="minorEastAsia"/>
                <w:sz w:val="28"/>
                <w:szCs w:val="28"/>
              </w:rPr>
              <w:t>4、采购量及采购周期。</w:t>
            </w:r>
          </w:p>
          <w:p>
            <w:pPr>
              <w:widowControl/>
              <w:spacing w:line="420" w:lineRule="atLeast"/>
              <w:jc w:val="left"/>
              <w:rPr>
                <w:rFonts w:asciiTheme="minorEastAsia" w:hAnsiTheme="minorEastAsia" w:eastAsiaTheme="minorEastAsia"/>
              </w:rPr>
            </w:pPr>
          </w:p>
          <w:p>
            <w:pPr>
              <w:widowControl/>
              <w:spacing w:line="420" w:lineRule="atLeast"/>
              <w:jc w:val="left"/>
              <w:rPr>
                <w:rFonts w:asciiTheme="minorEastAsia" w:hAnsiTheme="minorEastAsia" w:eastAsiaTheme="minorEastAsia"/>
              </w:rPr>
            </w:pPr>
          </w:p>
          <w:p>
            <w:pPr>
              <w:widowControl/>
              <w:spacing w:line="420" w:lineRule="atLeast"/>
              <w:jc w:val="left"/>
              <w:rPr>
                <w:rFonts w:asciiTheme="minorEastAsia" w:hAnsiTheme="minorEastAsia" w:eastAsiaTheme="minorEastAsia"/>
              </w:rPr>
            </w:pPr>
          </w:p>
          <w:p>
            <w:pPr>
              <w:widowControl/>
              <w:spacing w:line="420" w:lineRule="atLeast"/>
              <w:jc w:val="left"/>
              <w:rPr>
                <w:rFonts w:asciiTheme="minorEastAsia" w:hAnsiTheme="minorEastAsia" w:eastAsiaTheme="minorEastAsia"/>
              </w:rPr>
            </w:pPr>
          </w:p>
          <w:p>
            <w:pPr>
              <w:widowControl/>
              <w:spacing w:line="420" w:lineRule="atLeast"/>
              <w:jc w:val="left"/>
              <w:rPr>
                <w:rFonts w:asciiTheme="minorEastAsia" w:hAnsiTheme="minorEastAsia" w:eastAsiaTheme="minorEastAsia"/>
              </w:rPr>
            </w:pPr>
          </w:p>
          <w:p>
            <w:pPr>
              <w:widowControl/>
              <w:spacing w:line="420" w:lineRule="atLeast"/>
              <w:jc w:val="left"/>
              <w:rPr>
                <w:rFonts w:asciiTheme="minorEastAsia" w:hAnsiTheme="minorEastAsia" w:eastAsiaTheme="minorEastAsia"/>
              </w:rPr>
            </w:pPr>
          </w:p>
          <w:p>
            <w:pPr>
              <w:widowControl/>
              <w:spacing w:line="420" w:lineRule="atLeast"/>
              <w:jc w:val="left"/>
              <w:rPr>
                <w:rFonts w:asciiTheme="minorEastAsia" w:hAnsiTheme="minorEastAsia" w:eastAsiaTheme="minorEastAsia"/>
              </w:rPr>
            </w:pPr>
          </w:p>
          <w:p>
            <w:pPr>
              <w:widowControl/>
              <w:spacing w:line="420" w:lineRule="atLeast"/>
              <w:jc w:val="left"/>
              <w:rPr>
                <w:rFonts w:asciiTheme="minorEastAsia" w:hAnsiTheme="minorEastAsia" w:eastAsiaTheme="minorEastAsia"/>
              </w:rPr>
            </w:pPr>
          </w:p>
          <w:p>
            <w:pPr>
              <w:widowControl/>
              <w:spacing w:line="420" w:lineRule="atLeast"/>
              <w:jc w:val="left"/>
              <w:rPr>
                <w:rFonts w:asciiTheme="minorEastAsia" w:hAnsiTheme="minorEastAsia" w:eastAsiaTheme="minorEastAsia"/>
              </w:rPr>
            </w:pPr>
          </w:p>
          <w:p>
            <w:pPr>
              <w:widowControl/>
              <w:spacing w:line="420" w:lineRule="atLeast"/>
              <w:jc w:val="left"/>
              <w:rPr>
                <w:rFonts w:asciiTheme="minorEastAsia" w:hAnsiTheme="minorEastAsia" w:eastAsiaTheme="minorEastAsia"/>
              </w:rPr>
            </w:pPr>
          </w:p>
          <w:p>
            <w:pPr>
              <w:widowControl/>
              <w:spacing w:line="420" w:lineRule="atLeast"/>
              <w:jc w:val="left"/>
              <w:rPr>
                <w:rFonts w:asciiTheme="minorEastAsia" w:hAnsiTheme="minorEastAsia" w:eastAsiaTheme="minorEastAsia"/>
              </w:rPr>
            </w:pPr>
          </w:p>
          <w:p>
            <w:pPr>
              <w:widowControl/>
              <w:spacing w:line="420" w:lineRule="atLeast"/>
              <w:jc w:val="left"/>
              <w:rPr>
                <w:rFonts w:asciiTheme="minorEastAsia" w:hAnsiTheme="minorEastAsia" w:eastAsiaTheme="minorEastAsia"/>
              </w:rPr>
            </w:pPr>
          </w:p>
          <w:p>
            <w:r>
              <w:rPr>
                <w:rFonts w:hint="eastAsia" w:asciiTheme="minorEastAsia" w:hAnsiTheme="minorEastAsia" w:eastAsiaTheme="minorEastAsia"/>
                <w:szCs w:val="21"/>
              </w:rPr>
              <w:t>附件2：</w:t>
            </w:r>
            <w:r>
              <w:rPr>
                <w:rFonts w:hint="eastAsia"/>
              </w:rPr>
              <w:t>第四批国采正式启动，最新竞争格局速览！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1" w:hRule="atLeast"/>
        </w:trPr>
        <w:tc>
          <w:tcPr>
            <w:tcW w:w="2127" w:type="dxa"/>
            <w:vAlign w:val="center"/>
          </w:tcPr>
          <w:p>
            <w:pPr>
              <w:jc w:val="center"/>
              <w:rPr>
                <w:b/>
                <w:sz w:val="30"/>
                <w:szCs w:val="30"/>
              </w:rPr>
            </w:pPr>
            <w:r>
              <w:rPr>
                <w:rFonts w:hint="eastAsia"/>
                <w:b/>
                <w:sz w:val="30"/>
                <w:szCs w:val="30"/>
              </w:rPr>
              <w:t>信息03</w:t>
            </w:r>
          </w:p>
        </w:tc>
        <w:tc>
          <w:tcPr>
            <w:tcW w:w="6946" w:type="dxa"/>
            <w:gridSpan w:val="5"/>
            <w:vAlign w:val="center"/>
          </w:tcPr>
          <w:p>
            <w:pPr>
              <w:rPr>
                <w:rFonts w:asciiTheme="minorEastAsia" w:hAnsiTheme="minorEastAsia" w:eastAsiaTheme="minorEastAsia"/>
                <w:b/>
                <w:sz w:val="32"/>
                <w:szCs w:val="32"/>
              </w:rPr>
            </w:pPr>
            <w:r>
              <w:rPr>
                <w:rFonts w:hint="eastAsia"/>
                <w:b/>
                <w:sz w:val="32"/>
                <w:szCs w:val="32"/>
              </w:rPr>
              <w:t>下月起，39万医保药店迎来最严监管！中小连锁更难了？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9" w:hRule="atLeast"/>
        </w:trPr>
        <w:tc>
          <w:tcPr>
            <w:tcW w:w="2127" w:type="dxa"/>
            <w:tcBorders>
              <w:bottom w:val="single" w:color="auto" w:sz="4" w:space="0"/>
            </w:tcBorders>
            <w:vAlign w:val="center"/>
          </w:tcPr>
          <w:p>
            <w:pPr>
              <w:tabs>
                <w:tab w:val="left" w:pos="5245"/>
              </w:tabs>
              <w:jc w:val="center"/>
            </w:pPr>
            <w:r>
              <w:rPr>
                <w:rFonts w:hint="eastAsia"/>
                <w:b/>
                <w:sz w:val="30"/>
                <w:szCs w:val="30"/>
              </w:rPr>
              <w:t>发布</w:t>
            </w:r>
            <w:r>
              <w:rPr>
                <w:b/>
                <w:sz w:val="30"/>
                <w:szCs w:val="30"/>
              </w:rPr>
              <w:t>时间</w:t>
            </w:r>
          </w:p>
        </w:tc>
        <w:tc>
          <w:tcPr>
            <w:tcW w:w="2268" w:type="dxa"/>
            <w:tcBorders>
              <w:bottom w:val="single" w:color="auto" w:sz="4" w:space="0"/>
            </w:tcBorders>
            <w:vAlign w:val="center"/>
          </w:tcPr>
          <w:p>
            <w:pPr>
              <w:widowControl/>
              <w:spacing w:line="300" w:lineRule="atLeast"/>
              <w:ind w:firstLine="280" w:firstLineChars="100"/>
              <w:jc w:val="left"/>
              <w:rPr>
                <w:rFonts w:asciiTheme="minorEastAsia" w:hAnsiTheme="minorEastAsia" w:eastAsiaTheme="minorEastAsia"/>
                <w:sz w:val="28"/>
                <w:szCs w:val="28"/>
              </w:rPr>
            </w:pPr>
            <w:r>
              <w:rPr>
                <w:rFonts w:hint="eastAsia" w:cs="Helvetica" w:asciiTheme="minorEastAsia" w:hAnsiTheme="minorEastAsia" w:eastAsiaTheme="minorEastAsia"/>
                <w:kern w:val="0"/>
                <w:sz w:val="28"/>
                <w:szCs w:val="28"/>
              </w:rPr>
              <w:t>2021-1-12</w:t>
            </w:r>
          </w:p>
        </w:tc>
        <w:tc>
          <w:tcPr>
            <w:tcW w:w="1985" w:type="dxa"/>
            <w:gridSpan w:val="2"/>
            <w:tcBorders>
              <w:bottom w:val="single" w:color="auto" w:sz="4" w:space="0"/>
            </w:tcBorders>
            <w:vAlign w:val="center"/>
          </w:tcPr>
          <w:p>
            <w:pPr>
              <w:jc w:val="center"/>
              <w:rPr>
                <w:b/>
                <w:sz w:val="30"/>
                <w:szCs w:val="30"/>
              </w:rPr>
            </w:pPr>
            <w:r>
              <w:rPr>
                <w:rFonts w:hint="eastAsia"/>
                <w:b/>
                <w:sz w:val="30"/>
                <w:szCs w:val="30"/>
              </w:rPr>
              <w:t>信息来源</w:t>
            </w:r>
          </w:p>
        </w:tc>
        <w:tc>
          <w:tcPr>
            <w:tcW w:w="2693" w:type="dxa"/>
            <w:gridSpan w:val="2"/>
            <w:tcBorders>
              <w:bottom w:val="single" w:color="auto" w:sz="4" w:space="0"/>
            </w:tcBorders>
            <w:vAlign w:val="center"/>
          </w:tcPr>
          <w:p>
            <w:pPr>
              <w:jc w:val="center"/>
              <w:rPr>
                <w:sz w:val="28"/>
                <w:szCs w:val="28"/>
              </w:rPr>
            </w:pPr>
            <w:r>
              <w:rPr>
                <w:rFonts w:hint="eastAsia"/>
                <w:sz w:val="28"/>
                <w:szCs w:val="28"/>
              </w:rPr>
              <w:t>21世纪药店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trPr>
        <w:tc>
          <w:tcPr>
            <w:tcW w:w="2127" w:type="dxa"/>
            <w:tcBorders>
              <w:top w:val="single" w:color="auto" w:sz="4" w:space="0"/>
            </w:tcBorders>
            <w:vAlign w:val="center"/>
          </w:tcPr>
          <w:p>
            <w:pPr>
              <w:tabs>
                <w:tab w:val="left" w:pos="5245"/>
              </w:tabs>
              <w:jc w:val="center"/>
              <w:rPr>
                <w:b/>
                <w:sz w:val="30"/>
                <w:szCs w:val="30"/>
              </w:rPr>
            </w:pPr>
            <w:r>
              <w:rPr>
                <w:rFonts w:hint="eastAsia"/>
                <w:b/>
                <w:sz w:val="30"/>
                <w:szCs w:val="30"/>
              </w:rPr>
              <w:t>信息</w:t>
            </w:r>
            <w:r>
              <w:rPr>
                <w:b/>
                <w:sz w:val="30"/>
                <w:szCs w:val="30"/>
              </w:rPr>
              <w:t>提供</w:t>
            </w:r>
          </w:p>
        </w:tc>
        <w:tc>
          <w:tcPr>
            <w:tcW w:w="2268" w:type="dxa"/>
            <w:tcBorders>
              <w:top w:val="single" w:color="auto" w:sz="4" w:space="0"/>
            </w:tcBorders>
            <w:vAlign w:val="center"/>
          </w:tcPr>
          <w:p>
            <w:pPr>
              <w:jc w:val="center"/>
              <w:rPr>
                <w:sz w:val="28"/>
                <w:szCs w:val="28"/>
              </w:rPr>
            </w:pPr>
            <w:r>
              <w:rPr>
                <w:rFonts w:hint="eastAsia"/>
                <w:sz w:val="28"/>
                <w:szCs w:val="28"/>
              </w:rPr>
              <w:t>运营管理部</w:t>
            </w:r>
          </w:p>
        </w:tc>
        <w:tc>
          <w:tcPr>
            <w:tcW w:w="1985" w:type="dxa"/>
            <w:gridSpan w:val="2"/>
            <w:tcBorders>
              <w:top w:val="single" w:color="auto" w:sz="4" w:space="0"/>
            </w:tcBorders>
            <w:vAlign w:val="center"/>
          </w:tcPr>
          <w:p>
            <w:pPr>
              <w:jc w:val="center"/>
              <w:rPr>
                <w:b/>
                <w:sz w:val="28"/>
                <w:szCs w:val="28"/>
              </w:rPr>
            </w:pPr>
            <w:r>
              <w:rPr>
                <w:rFonts w:hint="eastAsia"/>
                <w:b/>
                <w:sz w:val="30"/>
                <w:szCs w:val="30"/>
              </w:rPr>
              <w:t>信息确认</w:t>
            </w:r>
          </w:p>
        </w:tc>
        <w:tc>
          <w:tcPr>
            <w:tcW w:w="2693" w:type="dxa"/>
            <w:gridSpan w:val="2"/>
            <w:tcBorders>
              <w:top w:val="single" w:color="auto" w:sz="4" w:space="0"/>
            </w:tcBorders>
            <w:vAlign w:val="center"/>
          </w:tcPr>
          <w:p>
            <w:pPr>
              <w:jc w:val="center"/>
              <w:rPr>
                <w:sz w:val="28"/>
                <w:szCs w:val="28"/>
              </w:rPr>
            </w:pPr>
            <w:r>
              <w:rPr>
                <w:rFonts w:hint="eastAsia"/>
                <w:sz w:val="28"/>
                <w:szCs w:val="28"/>
              </w:rPr>
              <w:t>车成刚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4" w:hRule="atLeast"/>
        </w:trPr>
        <w:tc>
          <w:tcPr>
            <w:tcW w:w="2127" w:type="dxa"/>
            <w:vAlign w:val="center"/>
          </w:tcPr>
          <w:p>
            <w:pPr>
              <w:tabs>
                <w:tab w:val="left" w:pos="5245"/>
              </w:tabs>
              <w:jc w:val="center"/>
              <w:rPr>
                <w:b/>
                <w:sz w:val="30"/>
                <w:szCs w:val="30"/>
              </w:rPr>
            </w:pPr>
            <w:r>
              <w:rPr>
                <w:rFonts w:hint="eastAsia"/>
                <w:b/>
                <w:sz w:val="30"/>
                <w:szCs w:val="30"/>
              </w:rPr>
              <w:t>确认</w:t>
            </w:r>
            <w:r>
              <w:rPr>
                <w:b/>
                <w:sz w:val="30"/>
                <w:szCs w:val="30"/>
              </w:rPr>
              <w:t>结果</w:t>
            </w:r>
          </w:p>
        </w:tc>
        <w:tc>
          <w:tcPr>
            <w:tcW w:w="6946" w:type="dxa"/>
            <w:gridSpan w:val="5"/>
            <w:vAlign w:val="center"/>
          </w:tcPr>
          <w:p>
            <w:pPr>
              <w:widowControl/>
              <w:spacing w:line="300" w:lineRule="atLeast"/>
              <w:jc w:val="left"/>
              <w:rPr>
                <w:rFonts w:ascii="Helvetica" w:hAnsi="Helvetica" w:cs="Helvetica"/>
                <w:color w:val="000000" w:themeColor="text1"/>
                <w:kern w:val="0"/>
                <w:sz w:val="28"/>
                <w:szCs w:val="28"/>
              </w:rPr>
            </w:pPr>
            <w:r>
              <w:rPr>
                <w:rFonts w:hint="eastAsia" w:cs="Helvetica" w:asciiTheme="minorEastAsia" w:hAnsiTheme="minorEastAsia" w:eastAsiaTheme="minorEastAsia"/>
                <w:color w:val="000000" w:themeColor="text1"/>
                <w:kern w:val="0"/>
                <w:sz w:val="28"/>
                <w:szCs w:val="28"/>
              </w:rPr>
              <w:t>来源：</w:t>
            </w:r>
            <w:r>
              <w:rPr>
                <w:rFonts w:hint="eastAsia"/>
                <w:sz w:val="28"/>
                <w:szCs w:val="28"/>
              </w:rPr>
              <w:t>21世纪药店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2127" w:type="dxa"/>
            <w:vAlign w:val="center"/>
          </w:tcPr>
          <w:p>
            <w:pPr>
              <w:jc w:val="center"/>
              <w:rPr>
                <w:b/>
                <w:sz w:val="30"/>
                <w:szCs w:val="30"/>
              </w:rPr>
            </w:pPr>
            <w:r>
              <w:rPr>
                <w:rFonts w:hint="eastAsia"/>
                <w:b/>
                <w:sz w:val="30"/>
                <w:szCs w:val="30"/>
              </w:rPr>
              <w:t>关键词</w:t>
            </w:r>
          </w:p>
        </w:tc>
        <w:tc>
          <w:tcPr>
            <w:tcW w:w="6946" w:type="dxa"/>
            <w:gridSpan w:val="5"/>
            <w:vAlign w:val="center"/>
          </w:tcPr>
          <w:p>
            <w:pPr>
              <w:jc w:val="left"/>
              <w:rPr>
                <w:rFonts w:asciiTheme="minorEastAsia" w:hAnsiTheme="minorEastAsia" w:eastAsiaTheme="minorEastAsia"/>
                <w:color w:val="000000" w:themeColor="text1"/>
                <w:sz w:val="28"/>
                <w:szCs w:val="28"/>
              </w:rPr>
            </w:pPr>
            <w:r>
              <w:rPr>
                <w:rFonts w:hint="eastAsia" w:asciiTheme="minorEastAsia" w:hAnsiTheme="minorEastAsia" w:eastAsiaTheme="minorEastAsia"/>
                <w:sz w:val="28"/>
                <w:szCs w:val="28"/>
              </w:rPr>
              <w:t>医保局，《暂行办法》。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27" w:hRule="atLeast"/>
        </w:trPr>
        <w:tc>
          <w:tcPr>
            <w:tcW w:w="2127" w:type="dxa"/>
            <w:vAlign w:val="center"/>
          </w:tcPr>
          <w:p>
            <w:pPr>
              <w:tabs>
                <w:tab w:val="left" w:pos="7088"/>
              </w:tabs>
              <w:spacing w:line="380" w:lineRule="exact"/>
              <w:jc w:val="center"/>
              <w:rPr>
                <w:b/>
                <w:sz w:val="30"/>
                <w:szCs w:val="30"/>
              </w:rPr>
            </w:pPr>
            <w:r>
              <w:rPr>
                <w:rFonts w:hint="eastAsia"/>
                <w:b/>
                <w:sz w:val="30"/>
                <w:szCs w:val="30"/>
              </w:rPr>
              <w:t>内容概要</w:t>
            </w:r>
          </w:p>
        </w:tc>
        <w:tc>
          <w:tcPr>
            <w:tcW w:w="6946" w:type="dxa"/>
            <w:gridSpan w:val="5"/>
            <w:vAlign w:val="center"/>
          </w:tcPr>
          <w:p>
            <w:pPr>
              <w:ind w:firstLine="420" w:firstLineChars="150"/>
              <w:rPr>
                <w:rFonts w:asciiTheme="minorEastAsia" w:hAnsiTheme="minorEastAsia" w:eastAsiaTheme="minorEastAsia"/>
                <w:sz w:val="28"/>
                <w:szCs w:val="28"/>
              </w:rPr>
            </w:pPr>
          </w:p>
          <w:p>
            <w:pPr>
              <w:ind w:firstLine="420" w:firstLineChars="150"/>
              <w:rPr>
                <w:rFonts w:asciiTheme="minorEastAsia" w:hAnsiTheme="minorEastAsia" w:eastAsiaTheme="minorEastAsia"/>
                <w:sz w:val="28"/>
                <w:szCs w:val="28"/>
              </w:rPr>
            </w:pPr>
            <w:r>
              <w:rPr>
                <w:rFonts w:hint="eastAsia" w:asciiTheme="minorEastAsia" w:hAnsiTheme="minorEastAsia" w:eastAsiaTheme="minorEastAsia"/>
                <w:sz w:val="28"/>
                <w:szCs w:val="28"/>
              </w:rPr>
              <w:t>国家医保局正式出台《零售药店医疗保障定点管理暂行办法》(医保局令3号)，将于2月1日起施行。</w:t>
            </w:r>
          </w:p>
          <w:p>
            <w:pPr>
              <w:pStyle w:val="20"/>
              <w:numPr>
                <w:ilvl w:val="0"/>
                <w:numId w:val="2"/>
              </w:numPr>
              <w:ind w:firstLineChars="0"/>
              <w:rPr>
                <w:rFonts w:asciiTheme="minorEastAsia" w:hAnsiTheme="minorEastAsia" w:eastAsiaTheme="minorEastAsia"/>
                <w:sz w:val="28"/>
                <w:szCs w:val="28"/>
              </w:rPr>
            </w:pPr>
            <w:r>
              <w:rPr>
                <w:rFonts w:hint="eastAsia" w:asciiTheme="minorEastAsia" w:hAnsiTheme="minorEastAsia" w:eastAsiaTheme="minorEastAsia"/>
                <w:sz w:val="28"/>
                <w:szCs w:val="28"/>
              </w:rPr>
              <w:t>明确了“连坐”的适用条件；</w:t>
            </w:r>
          </w:p>
          <w:p>
            <w:pPr>
              <w:pStyle w:val="20"/>
              <w:numPr>
                <w:ilvl w:val="0"/>
                <w:numId w:val="2"/>
              </w:numPr>
              <w:ind w:firstLineChars="0"/>
              <w:rPr>
                <w:rFonts w:asciiTheme="minorEastAsia" w:hAnsiTheme="minorEastAsia" w:eastAsiaTheme="minorEastAsia"/>
                <w:sz w:val="28"/>
                <w:szCs w:val="28"/>
              </w:rPr>
            </w:pPr>
            <w:r>
              <w:rPr>
                <w:rFonts w:hint="eastAsia" w:asciiTheme="minorEastAsia" w:hAnsiTheme="minorEastAsia" w:eastAsiaTheme="minorEastAsia"/>
                <w:sz w:val="28"/>
                <w:szCs w:val="28"/>
              </w:rPr>
              <w:t>符合规定的处方可以流转到实体药店取药或由实体药店配送的模式；</w:t>
            </w:r>
          </w:p>
          <w:p>
            <w:pPr>
              <w:pStyle w:val="20"/>
              <w:numPr>
                <w:ilvl w:val="0"/>
                <w:numId w:val="2"/>
              </w:numPr>
              <w:ind w:firstLineChars="0"/>
              <w:rPr>
                <w:rFonts w:asciiTheme="minorEastAsia" w:hAnsiTheme="minorEastAsia" w:eastAsiaTheme="minorEastAsia"/>
                <w:sz w:val="28"/>
                <w:szCs w:val="28"/>
              </w:rPr>
            </w:pPr>
            <w:r>
              <w:rPr>
                <w:rFonts w:hint="eastAsia" w:asciiTheme="minorEastAsia" w:hAnsiTheme="minorEastAsia" w:eastAsiaTheme="minorEastAsia"/>
                <w:sz w:val="28"/>
                <w:szCs w:val="28"/>
              </w:rPr>
              <w:t>执业药师的配备；</w:t>
            </w:r>
          </w:p>
          <w:p>
            <w:pPr>
              <w:pStyle w:val="20"/>
              <w:numPr>
                <w:ilvl w:val="0"/>
                <w:numId w:val="2"/>
              </w:numPr>
              <w:ind w:firstLineChars="0"/>
              <w:rPr>
                <w:rFonts w:asciiTheme="minorEastAsia" w:hAnsiTheme="minorEastAsia" w:eastAsiaTheme="minorEastAsia"/>
                <w:sz w:val="28"/>
                <w:szCs w:val="28"/>
              </w:rPr>
            </w:pPr>
            <w:r>
              <w:rPr>
                <w:rFonts w:hint="eastAsia" w:asciiTheme="minorEastAsia" w:hAnsiTheme="minorEastAsia" w:eastAsiaTheme="minorEastAsia"/>
                <w:sz w:val="28"/>
                <w:szCs w:val="28"/>
              </w:rPr>
              <w:t>《零售药店医疗保障定点管理暂行办法》全文。</w:t>
            </w:r>
          </w:p>
          <w:p>
            <w:pPr>
              <w:rPr>
                <w:rFonts w:asciiTheme="minorEastAsia" w:hAnsiTheme="minorEastAsia" w:eastAsiaTheme="minorEastAsia"/>
                <w:color w:val="000000" w:themeColor="text1"/>
                <w:szCs w:val="21"/>
              </w:rPr>
            </w:pPr>
          </w:p>
          <w:p>
            <w:pPr>
              <w:rPr>
                <w:rFonts w:asciiTheme="minorEastAsia" w:hAnsiTheme="minorEastAsia" w:eastAsiaTheme="minorEastAsia"/>
                <w:color w:val="000000" w:themeColor="text1"/>
                <w:szCs w:val="21"/>
              </w:rPr>
            </w:pPr>
          </w:p>
          <w:p>
            <w:pPr>
              <w:rPr>
                <w:rFonts w:asciiTheme="minorEastAsia" w:hAnsiTheme="minorEastAsia" w:eastAsiaTheme="minorEastAsia"/>
                <w:color w:val="000000" w:themeColor="text1"/>
                <w:szCs w:val="21"/>
              </w:rPr>
            </w:pPr>
          </w:p>
          <w:p>
            <w:pPr>
              <w:rPr>
                <w:rFonts w:asciiTheme="minorEastAsia" w:hAnsiTheme="minorEastAsia" w:eastAsiaTheme="minorEastAsia"/>
                <w:color w:val="000000" w:themeColor="text1"/>
                <w:szCs w:val="21"/>
              </w:rPr>
            </w:pPr>
          </w:p>
          <w:p>
            <w:pPr>
              <w:rPr>
                <w:rFonts w:asciiTheme="minorEastAsia" w:hAnsiTheme="minorEastAsia" w:eastAsiaTheme="minorEastAsia"/>
                <w:color w:val="000000" w:themeColor="text1"/>
                <w:szCs w:val="21"/>
              </w:rPr>
            </w:pPr>
          </w:p>
          <w:p>
            <w:pPr>
              <w:rPr>
                <w:rFonts w:asciiTheme="minorEastAsia" w:hAnsiTheme="minorEastAsia" w:eastAsiaTheme="minorEastAsia"/>
                <w:color w:val="000000" w:themeColor="text1"/>
                <w:szCs w:val="21"/>
              </w:rPr>
            </w:pPr>
          </w:p>
          <w:p>
            <w:pPr>
              <w:rPr>
                <w:rFonts w:asciiTheme="minorEastAsia" w:hAnsiTheme="minorEastAsia" w:eastAsiaTheme="minorEastAsia"/>
                <w:color w:val="000000" w:themeColor="text1"/>
                <w:szCs w:val="21"/>
              </w:rPr>
            </w:pPr>
          </w:p>
          <w:p>
            <w:pPr>
              <w:rPr>
                <w:rFonts w:asciiTheme="minorEastAsia" w:hAnsiTheme="minorEastAsia" w:eastAsiaTheme="minorEastAsia"/>
                <w:color w:val="000000" w:themeColor="text1"/>
                <w:szCs w:val="21"/>
              </w:rPr>
            </w:pPr>
          </w:p>
          <w:p>
            <w:pPr>
              <w:rPr>
                <w:rFonts w:asciiTheme="minorEastAsia" w:hAnsiTheme="minorEastAsia" w:eastAsiaTheme="minorEastAsia"/>
                <w:color w:val="000000" w:themeColor="text1"/>
                <w:szCs w:val="21"/>
              </w:rPr>
            </w:pPr>
          </w:p>
          <w:p>
            <w:pPr>
              <w:rPr>
                <w:rFonts w:asciiTheme="minorEastAsia" w:hAnsiTheme="minorEastAsia" w:eastAsiaTheme="minorEastAsia"/>
                <w:color w:val="000000" w:themeColor="text1"/>
                <w:szCs w:val="21"/>
              </w:rPr>
            </w:pPr>
          </w:p>
          <w:p>
            <w:pPr>
              <w:rPr>
                <w:rFonts w:asciiTheme="minorEastAsia" w:hAnsiTheme="minorEastAsia" w:eastAsiaTheme="minorEastAsia"/>
                <w:color w:val="000000" w:themeColor="text1"/>
                <w:szCs w:val="21"/>
              </w:rPr>
            </w:pPr>
          </w:p>
          <w:p>
            <w:pPr>
              <w:rPr>
                <w:rFonts w:cs="Helvetica" w:asciiTheme="minorEastAsia" w:hAnsiTheme="minorEastAsia" w:eastAsiaTheme="minorEastAsia"/>
                <w:color w:val="000000" w:themeColor="text1"/>
                <w:kern w:val="0"/>
                <w:szCs w:val="21"/>
              </w:rPr>
            </w:pPr>
            <w:r>
              <w:rPr>
                <w:rFonts w:hint="eastAsia" w:asciiTheme="minorEastAsia" w:hAnsiTheme="minorEastAsia" w:eastAsiaTheme="minorEastAsia"/>
                <w:color w:val="000000" w:themeColor="text1"/>
                <w:szCs w:val="21"/>
              </w:rPr>
              <w:t>附件3：</w:t>
            </w:r>
            <w:r>
              <w:rPr>
                <w:rFonts w:hint="eastAsia"/>
                <w:szCs w:val="21"/>
              </w:rPr>
              <w:t>下月起，39万医保药店迎来最严监管！中小连锁更难了？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84" w:type="dxa"/>
          <w:trHeight w:val="1090" w:hRule="atLeast"/>
        </w:trPr>
        <w:tc>
          <w:tcPr>
            <w:tcW w:w="2127" w:type="dxa"/>
            <w:tcBorders>
              <w:right w:val="outset" w:color="auto" w:sz="6" w:space="0"/>
            </w:tcBorders>
            <w:vAlign w:val="center"/>
          </w:tcPr>
          <w:p>
            <w:pPr>
              <w:tabs>
                <w:tab w:val="left" w:pos="7088"/>
              </w:tabs>
              <w:jc w:val="center"/>
              <w:rPr>
                <w:b/>
                <w:sz w:val="30"/>
                <w:szCs w:val="30"/>
              </w:rPr>
            </w:pPr>
            <w:r>
              <w:rPr>
                <w:rFonts w:hint="eastAsia"/>
                <w:b/>
                <w:sz w:val="30"/>
                <w:szCs w:val="30"/>
              </w:rPr>
              <w:t>信息04</w:t>
            </w:r>
          </w:p>
        </w:tc>
        <w:tc>
          <w:tcPr>
            <w:tcW w:w="6662" w:type="dxa"/>
            <w:gridSpan w:val="4"/>
            <w:tcBorders>
              <w:top w:val="outset" w:color="auto" w:sz="6" w:space="0"/>
              <w:left w:val="outset" w:color="auto" w:sz="6" w:space="0"/>
              <w:bottom w:val="inset" w:color="auto" w:sz="6" w:space="0"/>
              <w:right w:val="inset" w:color="auto" w:sz="6" w:space="0"/>
            </w:tcBorders>
            <w:vAlign w:val="center"/>
          </w:tcPr>
          <w:p>
            <w:pPr>
              <w:rPr>
                <w:rFonts w:cs="Helvetica" w:asciiTheme="minorEastAsia" w:hAnsiTheme="minorEastAsia" w:eastAsiaTheme="minorEastAsia"/>
                <w:b/>
                <w:color w:val="000000"/>
                <w:kern w:val="0"/>
                <w:sz w:val="32"/>
                <w:szCs w:val="32"/>
              </w:rPr>
            </w:pPr>
            <w:r>
              <w:rPr>
                <w:rFonts w:hint="eastAsia"/>
                <w:b/>
                <w:sz w:val="32"/>
                <w:szCs w:val="32"/>
              </w:rPr>
              <w:t>戳进来！透视下沉市场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84" w:type="dxa"/>
          <w:trHeight w:val="838" w:hRule="atLeast"/>
        </w:trPr>
        <w:tc>
          <w:tcPr>
            <w:tcW w:w="2127" w:type="dxa"/>
            <w:vAlign w:val="center"/>
          </w:tcPr>
          <w:p>
            <w:pPr>
              <w:tabs>
                <w:tab w:val="left" w:pos="7088"/>
              </w:tabs>
              <w:jc w:val="center"/>
            </w:pPr>
            <w:r>
              <w:rPr>
                <w:rFonts w:hint="eastAsia"/>
                <w:b/>
                <w:sz w:val="30"/>
                <w:szCs w:val="30"/>
              </w:rPr>
              <w:t>发布</w:t>
            </w:r>
            <w:r>
              <w:rPr>
                <w:b/>
                <w:sz w:val="30"/>
                <w:szCs w:val="30"/>
              </w:rPr>
              <w:t>时间</w:t>
            </w:r>
          </w:p>
        </w:tc>
        <w:tc>
          <w:tcPr>
            <w:tcW w:w="2268" w:type="dxa"/>
            <w:tcBorders>
              <w:top w:val="inset" w:color="auto" w:sz="6" w:space="0"/>
            </w:tcBorders>
            <w:vAlign w:val="center"/>
          </w:tcPr>
          <w:p>
            <w:pPr>
              <w:tabs>
                <w:tab w:val="left" w:pos="7088"/>
              </w:tabs>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2021-1-15</w:t>
            </w:r>
          </w:p>
        </w:tc>
        <w:tc>
          <w:tcPr>
            <w:tcW w:w="1985" w:type="dxa"/>
            <w:gridSpan w:val="2"/>
            <w:tcBorders>
              <w:top w:val="inset" w:color="auto" w:sz="6" w:space="0"/>
            </w:tcBorders>
            <w:vAlign w:val="center"/>
          </w:tcPr>
          <w:p>
            <w:pPr>
              <w:tabs>
                <w:tab w:val="left" w:pos="7088"/>
              </w:tabs>
              <w:jc w:val="center"/>
              <w:rPr>
                <w:b/>
                <w:sz w:val="30"/>
                <w:szCs w:val="30"/>
              </w:rPr>
            </w:pPr>
            <w:r>
              <w:rPr>
                <w:rFonts w:hint="eastAsia"/>
                <w:b/>
                <w:sz w:val="30"/>
                <w:szCs w:val="30"/>
              </w:rPr>
              <w:t>信息来源</w:t>
            </w:r>
          </w:p>
        </w:tc>
        <w:tc>
          <w:tcPr>
            <w:tcW w:w="2409" w:type="dxa"/>
            <w:tcBorders>
              <w:top w:val="inset" w:color="auto" w:sz="6" w:space="0"/>
            </w:tcBorders>
            <w:vAlign w:val="center"/>
          </w:tcPr>
          <w:p>
            <w:pPr>
              <w:tabs>
                <w:tab w:val="left" w:pos="7088"/>
              </w:tabs>
              <w:jc w:val="center"/>
              <w:rPr>
                <w:rFonts w:asciiTheme="minorEastAsia" w:hAnsiTheme="minorEastAsia" w:eastAsiaTheme="minorEastAsia"/>
                <w:sz w:val="28"/>
                <w:szCs w:val="28"/>
              </w:rPr>
            </w:pPr>
            <w:r>
              <w:rPr>
                <w:rFonts w:hint="eastAsia"/>
                <w:sz w:val="28"/>
                <w:szCs w:val="28"/>
              </w:rPr>
              <w:t>第一药店财智</w:t>
            </w:r>
            <w:r>
              <w:rPr>
                <w:rFonts w:asciiTheme="minorEastAsia" w:hAnsiTheme="minorEastAsia" w:eastAsiaTheme="minorEastAsia"/>
                <w:sz w:val="28"/>
                <w:szCs w:val="2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84" w:type="dxa"/>
          <w:trHeight w:val="856" w:hRule="atLeast"/>
        </w:trPr>
        <w:tc>
          <w:tcPr>
            <w:tcW w:w="2127" w:type="dxa"/>
            <w:vAlign w:val="center"/>
          </w:tcPr>
          <w:p>
            <w:pPr>
              <w:tabs>
                <w:tab w:val="left" w:pos="7088"/>
              </w:tabs>
              <w:jc w:val="center"/>
              <w:rPr>
                <w:b/>
                <w:sz w:val="30"/>
                <w:szCs w:val="30"/>
              </w:rPr>
            </w:pPr>
            <w:r>
              <w:rPr>
                <w:rFonts w:hint="eastAsia"/>
                <w:b/>
                <w:sz w:val="30"/>
                <w:szCs w:val="30"/>
              </w:rPr>
              <w:t>信息</w:t>
            </w:r>
            <w:r>
              <w:rPr>
                <w:b/>
                <w:sz w:val="30"/>
                <w:szCs w:val="30"/>
              </w:rPr>
              <w:t>提供</w:t>
            </w:r>
          </w:p>
        </w:tc>
        <w:tc>
          <w:tcPr>
            <w:tcW w:w="2268" w:type="dxa"/>
            <w:vAlign w:val="center"/>
          </w:tcPr>
          <w:p>
            <w:pPr>
              <w:tabs>
                <w:tab w:val="left" w:pos="7088"/>
              </w:tabs>
              <w:jc w:val="center"/>
              <w:rPr>
                <w:sz w:val="28"/>
                <w:szCs w:val="28"/>
              </w:rPr>
            </w:pPr>
            <w:r>
              <w:rPr>
                <w:rFonts w:hint="eastAsia"/>
                <w:sz w:val="28"/>
                <w:szCs w:val="28"/>
              </w:rPr>
              <w:t>运营管理部</w:t>
            </w:r>
          </w:p>
        </w:tc>
        <w:tc>
          <w:tcPr>
            <w:tcW w:w="1985" w:type="dxa"/>
            <w:gridSpan w:val="2"/>
            <w:vAlign w:val="center"/>
          </w:tcPr>
          <w:p>
            <w:pPr>
              <w:tabs>
                <w:tab w:val="left" w:pos="7088"/>
              </w:tabs>
              <w:jc w:val="center"/>
              <w:rPr>
                <w:b/>
                <w:sz w:val="30"/>
                <w:szCs w:val="30"/>
              </w:rPr>
            </w:pPr>
            <w:r>
              <w:rPr>
                <w:rFonts w:hint="eastAsia"/>
                <w:b/>
                <w:sz w:val="30"/>
                <w:szCs w:val="30"/>
              </w:rPr>
              <w:t>信息确认</w:t>
            </w:r>
          </w:p>
        </w:tc>
        <w:tc>
          <w:tcPr>
            <w:tcW w:w="2409" w:type="dxa"/>
            <w:vAlign w:val="center"/>
          </w:tcPr>
          <w:p>
            <w:pPr>
              <w:tabs>
                <w:tab w:val="left" w:pos="7088"/>
              </w:tabs>
              <w:jc w:val="center"/>
              <w:rPr>
                <w:sz w:val="28"/>
                <w:szCs w:val="28"/>
              </w:rPr>
            </w:pPr>
            <w:r>
              <w:rPr>
                <w:rFonts w:hint="eastAsia"/>
                <w:sz w:val="28"/>
                <w:szCs w:val="28"/>
              </w:rPr>
              <w:t>车成刚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84" w:type="dxa"/>
          <w:trHeight w:val="878" w:hRule="atLeast"/>
        </w:trPr>
        <w:tc>
          <w:tcPr>
            <w:tcW w:w="2127" w:type="dxa"/>
            <w:tcBorders>
              <w:bottom w:val="single" w:color="auto" w:sz="4" w:space="0"/>
            </w:tcBorders>
            <w:vAlign w:val="center"/>
          </w:tcPr>
          <w:p>
            <w:pPr>
              <w:tabs>
                <w:tab w:val="left" w:pos="7088"/>
              </w:tabs>
              <w:jc w:val="center"/>
              <w:rPr>
                <w:b/>
                <w:sz w:val="30"/>
                <w:szCs w:val="30"/>
              </w:rPr>
            </w:pPr>
            <w:r>
              <w:rPr>
                <w:rFonts w:hint="eastAsia"/>
                <w:b/>
                <w:sz w:val="30"/>
                <w:szCs w:val="30"/>
              </w:rPr>
              <w:t>确认</w:t>
            </w:r>
            <w:r>
              <w:rPr>
                <w:b/>
                <w:sz w:val="30"/>
                <w:szCs w:val="30"/>
              </w:rPr>
              <w:t>结果</w:t>
            </w:r>
          </w:p>
        </w:tc>
        <w:tc>
          <w:tcPr>
            <w:tcW w:w="6662" w:type="dxa"/>
            <w:gridSpan w:val="4"/>
            <w:tcBorders>
              <w:bottom w:val="single" w:color="auto" w:sz="4" w:space="0"/>
            </w:tcBorders>
            <w:vAlign w:val="center"/>
          </w:tcPr>
          <w:p>
            <w:pPr>
              <w:tabs>
                <w:tab w:val="left" w:pos="7088"/>
              </w:tabs>
              <w:jc w:val="left"/>
              <w:rPr>
                <w:rFonts w:asciiTheme="minorEastAsia" w:hAnsiTheme="minorEastAsia" w:eastAsiaTheme="minorEastAsia"/>
                <w:sz w:val="28"/>
                <w:szCs w:val="28"/>
              </w:rPr>
            </w:pPr>
            <w:r>
              <w:rPr>
                <w:rFonts w:hint="eastAsia" w:asciiTheme="minorEastAsia" w:hAnsiTheme="minorEastAsia" w:eastAsiaTheme="minorEastAsia"/>
                <w:sz w:val="28"/>
                <w:szCs w:val="28"/>
              </w:rPr>
              <w:t>来源：</w:t>
            </w:r>
            <w:r>
              <w:rPr>
                <w:rFonts w:hint="eastAsia"/>
                <w:sz w:val="28"/>
                <w:szCs w:val="28"/>
              </w:rPr>
              <w:t>第一药店财智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84" w:type="dxa"/>
          <w:trHeight w:val="958" w:hRule="atLeast"/>
        </w:trPr>
        <w:tc>
          <w:tcPr>
            <w:tcW w:w="2127" w:type="dxa"/>
            <w:tcBorders>
              <w:top w:val="single" w:color="auto" w:sz="4" w:space="0"/>
            </w:tcBorders>
            <w:vAlign w:val="center"/>
          </w:tcPr>
          <w:p>
            <w:pPr>
              <w:tabs>
                <w:tab w:val="left" w:pos="7088"/>
              </w:tabs>
              <w:jc w:val="center"/>
              <w:rPr>
                <w:b/>
                <w:sz w:val="30"/>
                <w:szCs w:val="30"/>
              </w:rPr>
            </w:pPr>
            <w:r>
              <w:rPr>
                <w:rFonts w:hint="eastAsia"/>
                <w:b/>
                <w:sz w:val="30"/>
                <w:szCs w:val="30"/>
              </w:rPr>
              <w:t xml:space="preserve">   关键词</w:t>
            </w:r>
            <w:r>
              <w:rPr>
                <w:rFonts w:hint="eastAsia"/>
                <w:b/>
                <w:sz w:val="30"/>
                <w:szCs w:val="30"/>
              </w:rPr>
              <w:tab/>
            </w:r>
            <w:r>
              <w:rPr>
                <w:rFonts w:hint="eastAsia"/>
                <w:b/>
                <w:sz w:val="30"/>
                <w:szCs w:val="30"/>
              </w:rPr>
              <w:t>药政重点 二票制</w:t>
            </w:r>
          </w:p>
        </w:tc>
        <w:tc>
          <w:tcPr>
            <w:tcW w:w="6662" w:type="dxa"/>
            <w:gridSpan w:val="4"/>
            <w:tcBorders>
              <w:top w:val="single" w:color="auto" w:sz="4" w:space="0"/>
            </w:tcBorders>
            <w:vAlign w:val="center"/>
          </w:tcPr>
          <w:p>
            <w:pPr>
              <w:tabs>
                <w:tab w:val="left" w:pos="7088"/>
              </w:tabs>
              <w:jc w:val="left"/>
              <w:rPr>
                <w:rFonts w:asciiTheme="minorEastAsia" w:hAnsiTheme="minorEastAsia" w:eastAsiaTheme="minorEastAsia"/>
                <w:sz w:val="28"/>
                <w:szCs w:val="28"/>
              </w:rPr>
            </w:pPr>
            <w:r>
              <w:rPr>
                <w:rFonts w:hint="eastAsia" w:asciiTheme="minorEastAsia" w:hAnsiTheme="minorEastAsia" w:eastAsiaTheme="minorEastAsia"/>
                <w:sz w:val="28"/>
                <w:szCs w:val="28"/>
              </w:rPr>
              <w:t>下沉市场，</w:t>
            </w:r>
            <w:r>
              <w:rPr>
                <w:rFonts w:asciiTheme="minorEastAsia" w:hAnsiTheme="minorEastAsia" w:eastAsiaTheme="minorEastAsia"/>
                <w:sz w:val="28"/>
                <w:szCs w:val="28"/>
              </w:rPr>
              <w:t>TOP20</w:t>
            </w:r>
            <w:r>
              <w:rPr>
                <w:rFonts w:hint="eastAsia" w:asciiTheme="minorEastAsia" w:hAnsiTheme="minorEastAsia" w:eastAsiaTheme="minorEastAsia"/>
                <w:sz w:val="28"/>
                <w:szCs w:val="2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84" w:type="dxa"/>
          <w:trHeight w:val="879" w:hRule="atLeast"/>
        </w:trPr>
        <w:tc>
          <w:tcPr>
            <w:tcW w:w="2127" w:type="dxa"/>
            <w:vAlign w:val="center"/>
          </w:tcPr>
          <w:p>
            <w:pPr>
              <w:tabs>
                <w:tab w:val="left" w:pos="7088"/>
              </w:tabs>
              <w:jc w:val="center"/>
              <w:rPr>
                <w:b/>
                <w:color w:val="000000" w:themeColor="text1"/>
                <w:sz w:val="30"/>
                <w:szCs w:val="30"/>
              </w:rPr>
            </w:pPr>
            <w:r>
              <w:rPr>
                <w:b/>
                <w:color w:val="000000" w:themeColor="text1"/>
                <w:sz w:val="30"/>
                <w:szCs w:val="30"/>
              </w:rPr>
              <w:t>内容概要</w:t>
            </w:r>
          </w:p>
        </w:tc>
        <w:tc>
          <w:tcPr>
            <w:tcW w:w="6662" w:type="dxa"/>
            <w:gridSpan w:val="4"/>
            <w:vAlign w:val="center"/>
          </w:tcPr>
          <w:p>
            <w:pPr>
              <w:ind w:firstLine="280" w:firstLineChars="100"/>
              <w:rPr>
                <w:rFonts w:cs="宋体" w:asciiTheme="minorEastAsia" w:hAnsiTheme="minorEastAsia" w:eastAsiaTheme="minorEastAsia"/>
                <w:kern w:val="0"/>
                <w:sz w:val="28"/>
                <w:szCs w:val="28"/>
              </w:rPr>
            </w:pPr>
            <w:r>
              <w:rPr>
                <w:rFonts w:hint="eastAsia" w:cs="宋体" w:asciiTheme="minorEastAsia" w:hAnsiTheme="minorEastAsia" w:eastAsiaTheme="minorEastAsia"/>
                <w:kern w:val="0"/>
                <w:sz w:val="28"/>
                <w:szCs w:val="28"/>
              </w:rPr>
              <w:t xml:space="preserve">    </w:t>
            </w:r>
          </w:p>
          <w:p>
            <w:pPr>
              <w:ind w:firstLine="420" w:firstLineChars="150"/>
              <w:rPr>
                <w:rFonts w:cs="宋体" w:asciiTheme="minorEastAsia" w:hAnsiTheme="minorEastAsia" w:eastAsiaTheme="minorEastAsia"/>
                <w:kern w:val="0"/>
                <w:sz w:val="28"/>
                <w:szCs w:val="28"/>
              </w:rPr>
            </w:pPr>
            <w:r>
              <w:rPr>
                <w:rFonts w:hint="eastAsia" w:cs="宋体" w:asciiTheme="minorEastAsia" w:hAnsiTheme="minorEastAsia" w:eastAsiaTheme="minorEastAsia"/>
                <w:kern w:val="0"/>
                <w:sz w:val="28"/>
                <w:szCs w:val="28"/>
              </w:rPr>
              <w:t>一秒读懂下沉市场风口，抢占3000亿市场先机：</w:t>
            </w:r>
          </w:p>
          <w:p>
            <w:pPr>
              <w:ind w:firstLine="560" w:firstLineChars="200"/>
              <w:rPr>
                <w:rFonts w:cs="宋体" w:asciiTheme="minorEastAsia" w:hAnsiTheme="minorEastAsia" w:eastAsiaTheme="minorEastAsia"/>
                <w:kern w:val="0"/>
                <w:sz w:val="28"/>
                <w:szCs w:val="28"/>
              </w:rPr>
            </w:pPr>
            <w:r>
              <w:rPr>
                <w:rFonts w:hint="eastAsia" w:cs="宋体" w:asciiTheme="minorEastAsia" w:hAnsiTheme="minorEastAsia" w:eastAsiaTheme="minorEastAsia"/>
                <w:kern w:val="0"/>
                <w:sz w:val="28"/>
                <w:szCs w:val="28"/>
              </w:rPr>
              <w:t>1、下沉市场概况；</w:t>
            </w:r>
          </w:p>
          <w:p>
            <w:pPr>
              <w:ind w:firstLine="560" w:firstLineChars="200"/>
              <w:rPr>
                <w:rFonts w:cs="宋体" w:asciiTheme="minorEastAsia" w:hAnsiTheme="minorEastAsia" w:eastAsiaTheme="minorEastAsia"/>
                <w:kern w:val="0"/>
                <w:sz w:val="28"/>
                <w:szCs w:val="28"/>
              </w:rPr>
            </w:pPr>
            <w:r>
              <w:rPr>
                <w:rFonts w:hint="eastAsia" w:cs="宋体" w:asciiTheme="minorEastAsia" w:hAnsiTheme="minorEastAsia" w:eastAsiaTheme="minorEastAsia"/>
                <w:kern w:val="0"/>
                <w:sz w:val="28"/>
                <w:szCs w:val="28"/>
              </w:rPr>
              <w:t>2、下沉市场规模；</w:t>
            </w:r>
          </w:p>
          <w:p>
            <w:pPr>
              <w:ind w:firstLine="560" w:firstLineChars="200"/>
              <w:rPr>
                <w:rFonts w:cs="宋体" w:asciiTheme="minorEastAsia" w:hAnsiTheme="minorEastAsia" w:eastAsiaTheme="minorEastAsia"/>
                <w:kern w:val="0"/>
                <w:sz w:val="28"/>
                <w:szCs w:val="28"/>
              </w:rPr>
            </w:pPr>
            <w:r>
              <w:rPr>
                <w:rFonts w:hint="eastAsia" w:cs="宋体" w:asciiTheme="minorEastAsia" w:hAnsiTheme="minorEastAsia" w:eastAsiaTheme="minorEastAsia"/>
                <w:kern w:val="0"/>
                <w:sz w:val="28"/>
                <w:szCs w:val="28"/>
              </w:rPr>
              <w:t>3、下沉市场增速；</w:t>
            </w:r>
          </w:p>
          <w:p>
            <w:pPr>
              <w:ind w:firstLine="560" w:firstLineChars="200"/>
              <w:rPr>
                <w:rFonts w:cs="宋体" w:asciiTheme="minorEastAsia" w:hAnsiTheme="minorEastAsia" w:eastAsiaTheme="minorEastAsia"/>
                <w:kern w:val="0"/>
                <w:sz w:val="28"/>
                <w:szCs w:val="28"/>
              </w:rPr>
            </w:pPr>
            <w:r>
              <w:rPr>
                <w:rFonts w:hint="eastAsia" w:cs="宋体" w:asciiTheme="minorEastAsia" w:hAnsiTheme="minorEastAsia" w:eastAsiaTheme="minorEastAsia"/>
                <w:kern w:val="0"/>
                <w:sz w:val="28"/>
                <w:szCs w:val="28"/>
              </w:rPr>
              <w:t>4、下沉市场各板块TOP20。</w:t>
            </w:r>
          </w:p>
          <w:p>
            <w:pPr>
              <w:rPr>
                <w:rFonts w:cs="宋体" w:asciiTheme="minorEastAsia" w:hAnsiTheme="minorEastAsia" w:eastAsiaTheme="minorEastAsia"/>
                <w:kern w:val="0"/>
                <w:sz w:val="28"/>
                <w:szCs w:val="28"/>
              </w:rPr>
            </w:pPr>
          </w:p>
          <w:p>
            <w:pPr>
              <w:rPr>
                <w:rFonts w:ascii="宋体" w:hAnsi="宋体" w:cs="宋体"/>
                <w:kern w:val="0"/>
                <w:szCs w:val="21"/>
              </w:rPr>
            </w:pPr>
          </w:p>
          <w:p>
            <w:pPr>
              <w:rPr>
                <w:rFonts w:ascii="宋体" w:hAnsi="宋体" w:cs="宋体"/>
                <w:kern w:val="0"/>
                <w:szCs w:val="21"/>
              </w:rPr>
            </w:pPr>
          </w:p>
          <w:p>
            <w:pPr>
              <w:rPr>
                <w:rFonts w:ascii="宋体" w:hAnsi="宋体" w:cs="宋体"/>
                <w:kern w:val="0"/>
                <w:szCs w:val="21"/>
              </w:rPr>
            </w:pPr>
          </w:p>
          <w:p>
            <w:pPr>
              <w:rPr>
                <w:rFonts w:ascii="宋体" w:hAnsi="宋体" w:cs="宋体"/>
                <w:kern w:val="0"/>
                <w:szCs w:val="21"/>
              </w:rPr>
            </w:pPr>
          </w:p>
          <w:p>
            <w:pPr>
              <w:rPr>
                <w:rFonts w:ascii="宋体" w:hAnsi="宋体" w:cs="宋体"/>
                <w:kern w:val="0"/>
                <w:szCs w:val="21"/>
              </w:rPr>
            </w:pPr>
          </w:p>
          <w:p>
            <w:pPr>
              <w:rPr>
                <w:rFonts w:ascii="宋体" w:hAnsi="宋体" w:cs="宋体"/>
                <w:kern w:val="0"/>
                <w:szCs w:val="21"/>
              </w:rPr>
            </w:pPr>
          </w:p>
          <w:p>
            <w:pPr>
              <w:rPr>
                <w:rFonts w:ascii="宋体" w:hAnsi="宋体" w:cs="宋体"/>
                <w:kern w:val="0"/>
                <w:szCs w:val="21"/>
              </w:rPr>
            </w:pPr>
          </w:p>
          <w:p>
            <w:pPr>
              <w:rPr>
                <w:rFonts w:ascii="宋体" w:hAnsi="宋体" w:cs="宋体"/>
                <w:kern w:val="0"/>
                <w:szCs w:val="21"/>
              </w:rPr>
            </w:pPr>
          </w:p>
          <w:p>
            <w:pPr>
              <w:rPr>
                <w:rFonts w:ascii="宋体" w:hAnsi="宋体" w:cs="宋体"/>
                <w:kern w:val="0"/>
                <w:szCs w:val="21"/>
              </w:rPr>
            </w:pPr>
          </w:p>
          <w:p>
            <w:pPr>
              <w:rPr>
                <w:rFonts w:ascii="宋体" w:hAnsi="宋体" w:cs="宋体"/>
                <w:kern w:val="0"/>
                <w:szCs w:val="21"/>
              </w:rPr>
            </w:pPr>
          </w:p>
          <w:p>
            <w:pPr>
              <w:rPr>
                <w:rFonts w:ascii="宋体" w:hAnsi="宋体" w:cs="宋体"/>
                <w:kern w:val="0"/>
                <w:szCs w:val="21"/>
              </w:rPr>
            </w:pPr>
          </w:p>
          <w:p>
            <w:pPr>
              <w:rPr>
                <w:rFonts w:ascii="宋体" w:hAnsi="宋体" w:cs="宋体"/>
                <w:kern w:val="0"/>
                <w:szCs w:val="21"/>
              </w:rPr>
            </w:pPr>
          </w:p>
          <w:p>
            <w:pPr>
              <w:rPr>
                <w:rFonts w:ascii="宋体" w:hAnsi="宋体" w:cs="宋体"/>
                <w:kern w:val="0"/>
                <w:szCs w:val="21"/>
              </w:rPr>
            </w:pPr>
          </w:p>
          <w:p>
            <w:pPr>
              <w:rPr>
                <w:rFonts w:ascii="宋体" w:hAnsi="宋体" w:cs="宋体"/>
                <w:kern w:val="0"/>
                <w:szCs w:val="21"/>
              </w:rPr>
            </w:pPr>
          </w:p>
          <w:p>
            <w:pPr>
              <w:rPr>
                <w:rFonts w:ascii="宋体" w:hAnsi="宋体" w:cs="宋体"/>
                <w:kern w:val="0"/>
                <w:szCs w:val="21"/>
              </w:rPr>
            </w:pPr>
          </w:p>
          <w:p>
            <w:pPr>
              <w:rPr>
                <w:rFonts w:ascii="宋体" w:hAnsi="宋体" w:cs="宋体"/>
                <w:kern w:val="0"/>
                <w:szCs w:val="21"/>
              </w:rPr>
            </w:pPr>
          </w:p>
          <w:p>
            <w:pPr>
              <w:rPr>
                <w:szCs w:val="21"/>
              </w:rPr>
            </w:pPr>
            <w:r>
              <w:rPr>
                <w:rFonts w:hint="eastAsia" w:ascii="宋体" w:hAnsi="宋体" w:cs="宋体"/>
                <w:kern w:val="0"/>
                <w:szCs w:val="21"/>
              </w:rPr>
              <w:t>附件4：戳进来！透视下沉市场</w:t>
            </w:r>
          </w:p>
        </w:tc>
      </w:tr>
    </w:tbl>
    <w:tbl>
      <w:tblPr>
        <w:tblStyle w:val="10"/>
        <w:tblpPr w:leftFromText="180" w:rightFromText="180" w:vertAnchor="text" w:horzAnchor="margin" w:tblpXSpec="center" w:tblpY="347"/>
        <w:tblW w:w="907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96"/>
        <w:gridCol w:w="2341"/>
        <w:gridCol w:w="2341"/>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1" w:hRule="atLeast"/>
        </w:trPr>
        <w:tc>
          <w:tcPr>
            <w:tcW w:w="2196" w:type="dxa"/>
            <w:vAlign w:val="center"/>
          </w:tcPr>
          <w:p>
            <w:pPr>
              <w:tabs>
                <w:tab w:val="left" w:pos="7088"/>
              </w:tabs>
              <w:jc w:val="center"/>
              <w:rPr>
                <w:b/>
                <w:sz w:val="30"/>
                <w:szCs w:val="30"/>
              </w:rPr>
            </w:pPr>
            <w:r>
              <w:rPr>
                <w:rFonts w:hint="eastAsia"/>
                <w:b/>
                <w:sz w:val="30"/>
                <w:szCs w:val="30"/>
              </w:rPr>
              <w:t>信息05</w:t>
            </w:r>
          </w:p>
        </w:tc>
        <w:tc>
          <w:tcPr>
            <w:tcW w:w="6877" w:type="dxa"/>
            <w:gridSpan w:val="3"/>
            <w:vAlign w:val="center"/>
          </w:tcPr>
          <w:p>
            <w:pPr>
              <w:rPr>
                <w:rFonts w:asciiTheme="minorEastAsia" w:hAnsiTheme="minorEastAsia" w:eastAsiaTheme="minorEastAsia"/>
                <w:b/>
                <w:sz w:val="32"/>
                <w:szCs w:val="32"/>
              </w:rPr>
            </w:pPr>
            <w:r>
              <w:rPr>
                <w:rFonts w:hint="eastAsia"/>
                <w:b/>
                <w:sz w:val="32"/>
                <w:szCs w:val="32"/>
              </w:rPr>
              <w:t>市场可期！破解慢病管理“落地难”的方法有了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8" w:hRule="atLeast"/>
        </w:trPr>
        <w:tc>
          <w:tcPr>
            <w:tcW w:w="2196" w:type="dxa"/>
            <w:vAlign w:val="center"/>
          </w:tcPr>
          <w:p>
            <w:pPr>
              <w:tabs>
                <w:tab w:val="left" w:pos="7088"/>
              </w:tabs>
              <w:jc w:val="center"/>
            </w:pPr>
            <w:r>
              <w:rPr>
                <w:rFonts w:hint="eastAsia"/>
                <w:b/>
                <w:sz w:val="30"/>
                <w:szCs w:val="30"/>
              </w:rPr>
              <w:t>发布</w:t>
            </w:r>
            <w:r>
              <w:rPr>
                <w:b/>
                <w:sz w:val="30"/>
                <w:szCs w:val="30"/>
              </w:rPr>
              <w:t>时间</w:t>
            </w:r>
          </w:p>
        </w:tc>
        <w:tc>
          <w:tcPr>
            <w:tcW w:w="2341" w:type="dxa"/>
            <w:vAlign w:val="center"/>
          </w:tcPr>
          <w:p>
            <w:pPr>
              <w:tabs>
                <w:tab w:val="left" w:pos="7088"/>
              </w:tabs>
              <w:jc w:val="center"/>
              <w:rPr>
                <w:rFonts w:asciiTheme="minorEastAsia" w:hAnsiTheme="minorEastAsia" w:eastAsiaTheme="minorEastAsia"/>
                <w:sz w:val="30"/>
                <w:szCs w:val="30"/>
              </w:rPr>
            </w:pPr>
            <w:r>
              <w:rPr>
                <w:rFonts w:hint="eastAsia" w:asciiTheme="minorEastAsia" w:hAnsiTheme="minorEastAsia" w:eastAsiaTheme="minorEastAsia"/>
                <w:sz w:val="30"/>
                <w:szCs w:val="30"/>
              </w:rPr>
              <w:t>2021-1-7</w:t>
            </w:r>
          </w:p>
        </w:tc>
        <w:tc>
          <w:tcPr>
            <w:tcW w:w="2341" w:type="dxa"/>
            <w:vAlign w:val="center"/>
          </w:tcPr>
          <w:p>
            <w:pPr>
              <w:tabs>
                <w:tab w:val="left" w:pos="7088"/>
              </w:tabs>
              <w:jc w:val="center"/>
              <w:rPr>
                <w:b/>
                <w:sz w:val="28"/>
                <w:szCs w:val="28"/>
              </w:rPr>
            </w:pPr>
            <w:r>
              <w:rPr>
                <w:rFonts w:hint="eastAsia"/>
                <w:b/>
                <w:sz w:val="30"/>
                <w:szCs w:val="30"/>
              </w:rPr>
              <w:t>信息来源</w:t>
            </w:r>
          </w:p>
        </w:tc>
        <w:tc>
          <w:tcPr>
            <w:tcW w:w="2195" w:type="dxa"/>
            <w:vAlign w:val="center"/>
          </w:tcPr>
          <w:p>
            <w:pPr>
              <w:tabs>
                <w:tab w:val="left" w:pos="7088"/>
              </w:tabs>
              <w:jc w:val="center"/>
              <w:rPr>
                <w:sz w:val="28"/>
                <w:szCs w:val="28"/>
              </w:rPr>
            </w:pPr>
            <w:r>
              <w:rPr>
                <w:rFonts w:hint="eastAsia"/>
                <w:sz w:val="30"/>
                <w:szCs w:val="30"/>
              </w:rPr>
              <w:t>21世纪药店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trPr>
        <w:tc>
          <w:tcPr>
            <w:tcW w:w="2196" w:type="dxa"/>
            <w:vAlign w:val="center"/>
          </w:tcPr>
          <w:p>
            <w:pPr>
              <w:tabs>
                <w:tab w:val="left" w:pos="7088"/>
              </w:tabs>
              <w:jc w:val="center"/>
              <w:rPr>
                <w:b/>
                <w:sz w:val="30"/>
                <w:szCs w:val="30"/>
              </w:rPr>
            </w:pPr>
            <w:r>
              <w:rPr>
                <w:rFonts w:hint="eastAsia"/>
                <w:b/>
                <w:sz w:val="30"/>
                <w:szCs w:val="30"/>
              </w:rPr>
              <w:t>信息</w:t>
            </w:r>
            <w:r>
              <w:rPr>
                <w:b/>
                <w:sz w:val="30"/>
                <w:szCs w:val="30"/>
              </w:rPr>
              <w:t>提供</w:t>
            </w:r>
          </w:p>
        </w:tc>
        <w:tc>
          <w:tcPr>
            <w:tcW w:w="2341" w:type="dxa"/>
            <w:vAlign w:val="center"/>
          </w:tcPr>
          <w:p>
            <w:pPr>
              <w:tabs>
                <w:tab w:val="left" w:pos="7088"/>
              </w:tabs>
              <w:jc w:val="center"/>
              <w:rPr>
                <w:sz w:val="30"/>
                <w:szCs w:val="30"/>
              </w:rPr>
            </w:pPr>
            <w:r>
              <w:rPr>
                <w:rFonts w:hint="eastAsia"/>
                <w:sz w:val="28"/>
                <w:szCs w:val="28"/>
              </w:rPr>
              <w:t>运营管理部</w:t>
            </w:r>
          </w:p>
        </w:tc>
        <w:tc>
          <w:tcPr>
            <w:tcW w:w="2341" w:type="dxa"/>
            <w:vAlign w:val="center"/>
          </w:tcPr>
          <w:p>
            <w:pPr>
              <w:tabs>
                <w:tab w:val="left" w:pos="7088"/>
              </w:tabs>
              <w:jc w:val="center"/>
              <w:rPr>
                <w:b/>
                <w:sz w:val="28"/>
                <w:szCs w:val="28"/>
              </w:rPr>
            </w:pPr>
            <w:r>
              <w:rPr>
                <w:rFonts w:hint="eastAsia"/>
                <w:b/>
                <w:sz w:val="30"/>
                <w:szCs w:val="30"/>
              </w:rPr>
              <w:t>信息确认</w:t>
            </w:r>
          </w:p>
        </w:tc>
        <w:tc>
          <w:tcPr>
            <w:tcW w:w="2195" w:type="dxa"/>
            <w:vAlign w:val="center"/>
          </w:tcPr>
          <w:p>
            <w:pPr>
              <w:tabs>
                <w:tab w:val="left" w:pos="7088"/>
              </w:tabs>
              <w:jc w:val="center"/>
              <w:rPr>
                <w:sz w:val="30"/>
                <w:szCs w:val="30"/>
              </w:rPr>
            </w:pPr>
            <w:r>
              <w:rPr>
                <w:rFonts w:hint="eastAsia"/>
                <w:sz w:val="30"/>
                <w:szCs w:val="30"/>
              </w:rPr>
              <w:t>车成刚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2" w:hRule="atLeast"/>
        </w:trPr>
        <w:tc>
          <w:tcPr>
            <w:tcW w:w="2196" w:type="dxa"/>
            <w:tcBorders>
              <w:bottom w:val="single" w:color="auto" w:sz="4" w:space="0"/>
            </w:tcBorders>
            <w:vAlign w:val="center"/>
          </w:tcPr>
          <w:p>
            <w:pPr>
              <w:tabs>
                <w:tab w:val="left" w:pos="7088"/>
              </w:tabs>
              <w:ind w:firstLine="452" w:firstLineChars="150"/>
              <w:rPr>
                <w:b/>
                <w:sz w:val="30"/>
                <w:szCs w:val="30"/>
              </w:rPr>
            </w:pPr>
            <w:r>
              <w:rPr>
                <w:rFonts w:hint="eastAsia"/>
                <w:b/>
                <w:sz w:val="30"/>
                <w:szCs w:val="30"/>
              </w:rPr>
              <w:t>确认</w:t>
            </w:r>
            <w:r>
              <w:rPr>
                <w:b/>
                <w:sz w:val="30"/>
                <w:szCs w:val="30"/>
              </w:rPr>
              <w:t>结果</w:t>
            </w:r>
          </w:p>
        </w:tc>
        <w:tc>
          <w:tcPr>
            <w:tcW w:w="6877" w:type="dxa"/>
            <w:gridSpan w:val="3"/>
            <w:tcBorders>
              <w:bottom w:val="single" w:color="auto" w:sz="4" w:space="0"/>
            </w:tcBorders>
            <w:vAlign w:val="center"/>
          </w:tcPr>
          <w:p>
            <w:pPr>
              <w:tabs>
                <w:tab w:val="left" w:pos="7088"/>
              </w:tabs>
              <w:jc w:val="left"/>
              <w:rPr>
                <w:sz w:val="30"/>
                <w:szCs w:val="30"/>
              </w:rPr>
            </w:pPr>
            <w:r>
              <w:rPr>
                <w:rFonts w:hint="eastAsia"/>
                <w:sz w:val="30"/>
                <w:szCs w:val="30"/>
              </w:rPr>
              <w:t>来源：21世纪药店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45" w:hRule="atLeast"/>
        </w:trPr>
        <w:tc>
          <w:tcPr>
            <w:tcW w:w="2196" w:type="dxa"/>
            <w:tcBorders>
              <w:top w:val="single" w:color="auto" w:sz="4" w:space="0"/>
            </w:tcBorders>
            <w:vAlign w:val="center"/>
          </w:tcPr>
          <w:p>
            <w:pPr>
              <w:tabs>
                <w:tab w:val="left" w:pos="7088"/>
              </w:tabs>
              <w:jc w:val="center"/>
              <w:rPr>
                <w:b/>
                <w:sz w:val="30"/>
                <w:szCs w:val="30"/>
              </w:rPr>
            </w:pPr>
            <w:r>
              <w:rPr>
                <w:rFonts w:hint="eastAsia"/>
                <w:b/>
                <w:sz w:val="30"/>
                <w:szCs w:val="30"/>
              </w:rPr>
              <w:t>关键词</w:t>
            </w:r>
          </w:p>
        </w:tc>
        <w:tc>
          <w:tcPr>
            <w:tcW w:w="6877" w:type="dxa"/>
            <w:gridSpan w:val="3"/>
            <w:tcBorders>
              <w:top w:val="single" w:color="auto" w:sz="4" w:space="0"/>
            </w:tcBorders>
            <w:vAlign w:val="center"/>
          </w:tcPr>
          <w:p>
            <w:pPr>
              <w:tabs>
                <w:tab w:val="left" w:pos="7088"/>
              </w:tabs>
              <w:jc w:val="left"/>
              <w:rPr>
                <w:rFonts w:cs="宋体" w:asciiTheme="majorEastAsia" w:hAnsiTheme="majorEastAsia" w:eastAsiaTheme="majorEastAsia"/>
                <w:kern w:val="0"/>
                <w:sz w:val="30"/>
                <w:szCs w:val="30"/>
              </w:rPr>
            </w:pPr>
            <w:r>
              <w:rPr>
                <w:rFonts w:hint="eastAsia" w:asciiTheme="minorEastAsia" w:hAnsiTheme="minorEastAsia" w:eastAsiaTheme="minorEastAsia"/>
                <w:sz w:val="28"/>
                <w:szCs w:val="28"/>
              </w:rPr>
              <w:t>慢病管理，发力，关键。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76" w:hRule="atLeast"/>
        </w:trPr>
        <w:tc>
          <w:tcPr>
            <w:tcW w:w="2196" w:type="dxa"/>
            <w:vAlign w:val="center"/>
          </w:tcPr>
          <w:p>
            <w:pPr>
              <w:tabs>
                <w:tab w:val="left" w:pos="7088"/>
              </w:tabs>
              <w:jc w:val="center"/>
              <w:rPr>
                <w:b/>
                <w:sz w:val="30"/>
                <w:szCs w:val="30"/>
              </w:rPr>
            </w:pPr>
            <w:r>
              <w:rPr>
                <w:b/>
                <w:sz w:val="30"/>
                <w:szCs w:val="30"/>
              </w:rPr>
              <w:t>内容概要</w:t>
            </w:r>
          </w:p>
        </w:tc>
        <w:tc>
          <w:tcPr>
            <w:tcW w:w="6877" w:type="dxa"/>
            <w:gridSpan w:val="3"/>
            <w:vAlign w:val="center"/>
          </w:tcPr>
          <w:p>
            <w:pPr>
              <w:ind w:firstLine="560" w:firstLineChars="200"/>
              <w:rPr>
                <w:rFonts w:cs="宋体" w:asciiTheme="minorEastAsia" w:hAnsiTheme="minorEastAsia" w:eastAsiaTheme="minorEastAsia"/>
                <w:kern w:val="0"/>
                <w:sz w:val="28"/>
                <w:szCs w:val="28"/>
              </w:rPr>
            </w:pPr>
          </w:p>
          <w:p>
            <w:pPr>
              <w:ind w:firstLine="560" w:firstLineChars="200"/>
              <w:rPr>
                <w:rFonts w:cs="宋体" w:asciiTheme="minorEastAsia" w:hAnsiTheme="minorEastAsia" w:eastAsiaTheme="minorEastAsia"/>
                <w:kern w:val="0"/>
                <w:sz w:val="28"/>
                <w:szCs w:val="28"/>
              </w:rPr>
            </w:pPr>
            <w:r>
              <w:rPr>
                <w:rFonts w:hint="eastAsia" w:cs="宋体" w:asciiTheme="minorEastAsia" w:hAnsiTheme="minorEastAsia" w:eastAsiaTheme="minorEastAsia"/>
                <w:kern w:val="0"/>
                <w:sz w:val="28"/>
                <w:szCs w:val="28"/>
              </w:rPr>
              <w:t>一系列利好药店慢病管理的新政，使药店慢病管理的重要性显得更加突出！：</w:t>
            </w:r>
          </w:p>
          <w:p>
            <w:pPr>
              <w:ind w:firstLine="560" w:firstLineChars="200"/>
              <w:rPr>
                <w:rFonts w:cs="宋体" w:asciiTheme="minorEastAsia" w:hAnsiTheme="minorEastAsia" w:eastAsiaTheme="minorEastAsia"/>
                <w:kern w:val="0"/>
                <w:sz w:val="28"/>
                <w:szCs w:val="28"/>
              </w:rPr>
            </w:pPr>
            <w:r>
              <w:rPr>
                <w:rFonts w:hint="eastAsia" w:cs="宋体" w:asciiTheme="minorEastAsia" w:hAnsiTheme="minorEastAsia" w:eastAsiaTheme="minorEastAsia"/>
                <w:kern w:val="0"/>
                <w:sz w:val="28"/>
                <w:szCs w:val="28"/>
              </w:rPr>
              <w:t>1、发力慢病管理；</w:t>
            </w:r>
          </w:p>
          <w:p>
            <w:pPr>
              <w:ind w:firstLine="560" w:firstLineChars="200"/>
              <w:rPr>
                <w:rFonts w:cs="宋体" w:asciiTheme="minorEastAsia" w:hAnsiTheme="minorEastAsia" w:eastAsiaTheme="minorEastAsia"/>
                <w:kern w:val="0"/>
                <w:szCs w:val="21"/>
              </w:rPr>
            </w:pPr>
            <w:r>
              <w:rPr>
                <w:rFonts w:hint="eastAsia" w:cs="宋体" w:asciiTheme="minorEastAsia" w:hAnsiTheme="minorEastAsia" w:eastAsiaTheme="minorEastAsia"/>
                <w:kern w:val="0"/>
                <w:sz w:val="28"/>
                <w:szCs w:val="28"/>
              </w:rPr>
              <w:t>2、落地前后讲究多；</w:t>
            </w:r>
          </w:p>
          <w:p>
            <w:pPr>
              <w:ind w:firstLine="560" w:firstLineChars="200"/>
              <w:rPr>
                <w:rFonts w:cs="宋体" w:asciiTheme="minorEastAsia" w:hAnsiTheme="minorEastAsia" w:eastAsiaTheme="minorEastAsia"/>
                <w:kern w:val="0"/>
                <w:szCs w:val="21"/>
              </w:rPr>
            </w:pPr>
            <w:r>
              <w:rPr>
                <w:rFonts w:hint="eastAsia" w:cs="宋体" w:asciiTheme="minorEastAsia" w:hAnsiTheme="minorEastAsia" w:eastAsiaTheme="minorEastAsia"/>
                <w:kern w:val="0"/>
                <w:sz w:val="28"/>
                <w:szCs w:val="28"/>
              </w:rPr>
              <w:t>3、做慢病关键是要“忍”</w:t>
            </w:r>
            <w:r>
              <w:rPr>
                <w:rFonts w:hint="eastAsia" w:cs="宋体" w:asciiTheme="minorEastAsia" w:hAnsiTheme="minorEastAsia" w:eastAsiaTheme="minorEastAsia"/>
                <w:kern w:val="0"/>
                <w:szCs w:val="21"/>
              </w:rPr>
              <w:t>。</w:t>
            </w:r>
          </w:p>
          <w:p>
            <w:pPr>
              <w:rPr>
                <w:rFonts w:cs="宋体" w:asciiTheme="minorEastAsia" w:hAnsiTheme="minorEastAsia" w:eastAsiaTheme="minorEastAsia"/>
                <w:kern w:val="0"/>
                <w:szCs w:val="21"/>
              </w:rPr>
            </w:pPr>
          </w:p>
          <w:p>
            <w:pPr>
              <w:rPr>
                <w:rFonts w:cs="宋体" w:asciiTheme="minorEastAsia" w:hAnsiTheme="minorEastAsia" w:eastAsiaTheme="minorEastAsia"/>
                <w:kern w:val="0"/>
                <w:szCs w:val="21"/>
              </w:rPr>
            </w:pPr>
          </w:p>
          <w:p>
            <w:pPr>
              <w:rPr>
                <w:rFonts w:cs="宋体" w:asciiTheme="minorEastAsia" w:hAnsiTheme="minorEastAsia" w:eastAsiaTheme="minorEastAsia"/>
                <w:kern w:val="0"/>
                <w:szCs w:val="21"/>
              </w:rPr>
            </w:pPr>
          </w:p>
          <w:p>
            <w:pPr>
              <w:rPr>
                <w:rFonts w:cs="宋体" w:asciiTheme="minorEastAsia" w:hAnsiTheme="minorEastAsia" w:eastAsiaTheme="minorEastAsia"/>
                <w:kern w:val="0"/>
                <w:szCs w:val="21"/>
              </w:rPr>
            </w:pPr>
          </w:p>
          <w:p>
            <w:pPr>
              <w:rPr>
                <w:rFonts w:cs="宋体" w:asciiTheme="minorEastAsia" w:hAnsiTheme="minorEastAsia" w:eastAsiaTheme="minorEastAsia"/>
                <w:kern w:val="0"/>
                <w:szCs w:val="21"/>
              </w:rPr>
            </w:pPr>
          </w:p>
          <w:p>
            <w:pPr>
              <w:rPr>
                <w:rFonts w:cs="宋体" w:asciiTheme="minorEastAsia" w:hAnsiTheme="minorEastAsia" w:eastAsiaTheme="minorEastAsia"/>
                <w:kern w:val="0"/>
                <w:szCs w:val="21"/>
              </w:rPr>
            </w:pPr>
          </w:p>
          <w:p>
            <w:pPr>
              <w:rPr>
                <w:rFonts w:cs="宋体" w:asciiTheme="minorEastAsia" w:hAnsiTheme="minorEastAsia" w:eastAsiaTheme="minorEastAsia"/>
                <w:kern w:val="0"/>
                <w:szCs w:val="21"/>
              </w:rPr>
            </w:pPr>
          </w:p>
          <w:p>
            <w:pPr>
              <w:rPr>
                <w:rFonts w:cs="宋体" w:asciiTheme="minorEastAsia" w:hAnsiTheme="minorEastAsia" w:eastAsiaTheme="minorEastAsia"/>
                <w:kern w:val="0"/>
                <w:szCs w:val="21"/>
              </w:rPr>
            </w:pPr>
          </w:p>
          <w:p>
            <w:pPr>
              <w:rPr>
                <w:rFonts w:cs="宋体" w:asciiTheme="minorEastAsia" w:hAnsiTheme="minorEastAsia" w:eastAsiaTheme="minorEastAsia"/>
                <w:kern w:val="0"/>
                <w:szCs w:val="21"/>
              </w:rPr>
            </w:pPr>
          </w:p>
          <w:p>
            <w:pPr>
              <w:rPr>
                <w:rFonts w:cs="宋体" w:asciiTheme="minorEastAsia" w:hAnsiTheme="minorEastAsia" w:eastAsiaTheme="minorEastAsia"/>
                <w:kern w:val="0"/>
                <w:szCs w:val="21"/>
              </w:rPr>
            </w:pPr>
          </w:p>
          <w:p>
            <w:pPr>
              <w:rPr>
                <w:rFonts w:cs="宋体" w:asciiTheme="minorEastAsia" w:hAnsiTheme="minorEastAsia" w:eastAsiaTheme="minorEastAsia"/>
                <w:kern w:val="0"/>
                <w:szCs w:val="21"/>
              </w:rPr>
            </w:pPr>
          </w:p>
          <w:p>
            <w:pPr>
              <w:rPr>
                <w:rFonts w:cs="宋体" w:asciiTheme="minorEastAsia" w:hAnsiTheme="minorEastAsia" w:eastAsiaTheme="minorEastAsia"/>
                <w:kern w:val="0"/>
                <w:szCs w:val="21"/>
              </w:rPr>
            </w:pPr>
          </w:p>
          <w:p>
            <w:pPr>
              <w:rPr>
                <w:rFonts w:cs="宋体" w:asciiTheme="minorEastAsia" w:hAnsiTheme="minorEastAsia" w:eastAsiaTheme="minorEastAsia"/>
                <w:kern w:val="0"/>
                <w:szCs w:val="21"/>
              </w:rPr>
            </w:pPr>
          </w:p>
          <w:p>
            <w:pPr>
              <w:rPr>
                <w:rFonts w:cs="宋体" w:asciiTheme="minorEastAsia" w:hAnsiTheme="minorEastAsia" w:eastAsiaTheme="minorEastAsia"/>
                <w:kern w:val="0"/>
                <w:szCs w:val="21"/>
              </w:rPr>
            </w:pPr>
          </w:p>
          <w:p>
            <w:pPr>
              <w:rPr>
                <w:rFonts w:cs="宋体" w:asciiTheme="minorEastAsia" w:hAnsiTheme="minorEastAsia" w:eastAsiaTheme="minorEastAsia"/>
                <w:kern w:val="0"/>
                <w:szCs w:val="21"/>
              </w:rPr>
            </w:pPr>
          </w:p>
          <w:p>
            <w:pPr>
              <w:rPr>
                <w:rFonts w:cs="宋体" w:asciiTheme="minorEastAsia" w:hAnsiTheme="minorEastAsia" w:eastAsiaTheme="minorEastAsia"/>
                <w:kern w:val="0"/>
                <w:szCs w:val="21"/>
              </w:rPr>
            </w:pPr>
          </w:p>
          <w:p>
            <w:pPr>
              <w:rPr>
                <w:rFonts w:cs="宋体" w:asciiTheme="minorEastAsia" w:hAnsiTheme="minorEastAsia" w:eastAsiaTheme="minorEastAsia"/>
                <w:kern w:val="0"/>
                <w:szCs w:val="21"/>
              </w:rPr>
            </w:pPr>
          </w:p>
          <w:p>
            <w:pPr>
              <w:rPr>
                <w:b/>
                <w:sz w:val="32"/>
                <w:szCs w:val="32"/>
              </w:rPr>
            </w:pPr>
            <w:r>
              <w:rPr>
                <w:rFonts w:hint="eastAsia" w:ascii="宋体" w:hAnsi="宋体" w:cs="宋体"/>
                <w:kern w:val="0"/>
                <w:szCs w:val="21"/>
              </w:rPr>
              <w:t>附件5:</w:t>
            </w:r>
            <w:r>
              <w:rPr>
                <w:b/>
                <w:sz w:val="32"/>
                <w:szCs w:val="32"/>
              </w:rPr>
              <w:t xml:space="preserve"> </w:t>
            </w:r>
            <w:r>
              <w:rPr>
                <w:rFonts w:hint="eastAsia"/>
                <w:szCs w:val="21"/>
              </w:rPr>
              <w:t>市场可期！破解慢病管理“落地难”的方法有了</w:t>
            </w:r>
          </w:p>
        </w:tc>
      </w:tr>
    </w:tbl>
    <w:p>
      <w:pPr>
        <w:widowControl/>
        <w:shd w:val="clear" w:color="auto" w:fill="FFFFFF"/>
        <w:spacing w:after="210"/>
        <w:jc w:val="left"/>
        <w:outlineLvl w:val="1"/>
        <w:rPr>
          <w:rFonts w:ascii="微软雅黑" w:hAnsi="微软雅黑" w:eastAsia="微软雅黑" w:cs="宋体"/>
          <w:b/>
          <w:color w:val="333333"/>
          <w:kern w:val="36"/>
          <w:sz w:val="24"/>
          <w:szCs w:val="24"/>
        </w:rPr>
      </w:pPr>
    </w:p>
    <w:p>
      <w:pPr>
        <w:widowControl/>
        <w:shd w:val="clear" w:color="auto" w:fill="FFFFFF"/>
        <w:spacing w:after="210"/>
        <w:jc w:val="left"/>
        <w:outlineLvl w:val="1"/>
        <w:rPr>
          <w:rFonts w:ascii="微软雅黑" w:hAnsi="微软雅黑" w:eastAsia="微软雅黑" w:cs="宋体"/>
          <w:b/>
          <w:color w:val="333333"/>
          <w:kern w:val="36"/>
          <w:sz w:val="24"/>
          <w:szCs w:val="24"/>
        </w:rPr>
      </w:pPr>
      <w:r>
        <w:rPr>
          <w:rFonts w:hint="eastAsia" w:ascii="微软雅黑" w:hAnsi="微软雅黑" w:eastAsia="微软雅黑" w:cs="宋体"/>
          <w:b/>
          <w:color w:val="333333"/>
          <w:kern w:val="36"/>
          <w:sz w:val="24"/>
          <w:szCs w:val="24"/>
        </w:rPr>
        <w:t xml:space="preserve">附件1               </w:t>
      </w:r>
    </w:p>
    <w:p>
      <w:pPr>
        <w:widowControl/>
        <w:shd w:val="clear" w:color="auto" w:fill="FFFFFF"/>
        <w:spacing w:after="210"/>
        <w:jc w:val="center"/>
        <w:outlineLvl w:val="1"/>
        <w:rPr>
          <w:rFonts w:ascii="微软雅黑" w:hAnsi="微软雅黑" w:eastAsia="微软雅黑" w:cs="宋体"/>
          <w:b/>
          <w:bCs/>
          <w:color w:val="333333"/>
          <w:spacing w:val="8"/>
          <w:kern w:val="0"/>
          <w:sz w:val="33"/>
          <w:szCs w:val="33"/>
        </w:rPr>
      </w:pPr>
      <w:r>
        <w:rPr>
          <w:rFonts w:hint="eastAsia" w:ascii="微软雅黑" w:hAnsi="微软雅黑" w:eastAsia="微软雅黑" w:cs="宋体"/>
          <w:b/>
          <w:bCs/>
          <w:color w:val="333333"/>
          <w:spacing w:val="8"/>
          <w:kern w:val="0"/>
          <w:sz w:val="33"/>
          <w:szCs w:val="33"/>
        </w:rPr>
        <w:t>2020零售药店报告</w:t>
      </w:r>
    </w:p>
    <w:p>
      <w:pPr>
        <w:widowControl/>
        <w:shd w:val="clear" w:color="auto" w:fill="FFFFFF"/>
        <w:spacing w:line="300" w:lineRule="atLeast"/>
        <w:jc w:val="left"/>
        <w:rPr>
          <w:rFonts w:ascii="微软雅黑" w:hAnsi="微软雅黑" w:eastAsia="微软雅黑" w:cs="宋体"/>
          <w:b/>
          <w:color w:val="333333"/>
          <w:kern w:val="36"/>
          <w:sz w:val="24"/>
          <w:szCs w:val="24"/>
        </w:rPr>
      </w:pPr>
      <w:r>
        <w:fldChar w:fldCharType="begin"/>
      </w:r>
      <w:r>
        <w:instrText xml:space="preserve"> HYPERLINK "javascript:void(0);" </w:instrText>
      </w:r>
      <w:r>
        <w:fldChar w:fldCharType="separate"/>
      </w:r>
      <w:r>
        <w:rPr>
          <w:rFonts w:hint="eastAsia" w:ascii="微软雅黑" w:hAnsi="微软雅黑" w:eastAsia="微软雅黑" w:cs="宋体"/>
          <w:color w:val="576B95"/>
          <w:spacing w:val="8"/>
          <w:kern w:val="0"/>
          <w:sz w:val="23"/>
          <w:szCs w:val="23"/>
        </w:rPr>
        <w:t>谷丰观点</w:t>
      </w:r>
      <w:r>
        <w:rPr>
          <w:rFonts w:hint="eastAsia" w:ascii="微软雅黑" w:hAnsi="微软雅黑" w:eastAsia="微软雅黑" w:cs="宋体"/>
          <w:color w:val="576B95"/>
          <w:spacing w:val="8"/>
          <w:kern w:val="0"/>
          <w:sz w:val="23"/>
          <w:szCs w:val="23"/>
        </w:rPr>
        <w:fldChar w:fldCharType="end"/>
      </w:r>
      <w:r>
        <w:rPr>
          <w:rFonts w:hint="eastAsia" w:ascii="微软雅黑" w:hAnsi="微软雅黑" w:eastAsia="微软雅黑" w:cs="宋体"/>
          <w:color w:val="333333"/>
          <w:spacing w:val="8"/>
          <w:kern w:val="0"/>
          <w:sz w:val="2"/>
          <w:szCs w:val="2"/>
        </w:rPr>
        <w:t> </w:t>
      </w:r>
      <w:r>
        <w:rPr>
          <w:rFonts w:hint="eastAsia" w:ascii="微软雅黑" w:hAnsi="微软雅黑" w:eastAsia="微软雅黑" w:cs="宋体"/>
          <w:color w:val="333333"/>
          <w:spacing w:val="8"/>
          <w:kern w:val="0"/>
          <w:sz w:val="23"/>
          <w:szCs w:val="23"/>
        </w:rPr>
        <w:t>2021-01-08</w:t>
      </w:r>
    </w:p>
    <w:p>
      <w:pPr>
        <w:widowControl/>
        <w:spacing w:before="100" w:beforeAutospacing="1" w:after="100" w:afterAutospacing="1" w:line="900" w:lineRule="atLeast"/>
        <w:outlineLvl w:val="1"/>
        <w:rPr>
          <w:rFonts w:ascii="微软雅黑" w:hAnsi="微软雅黑" w:eastAsia="微软雅黑" w:cs="宋体"/>
          <w:b/>
          <w:color w:val="333333"/>
          <w:kern w:val="36"/>
          <w:sz w:val="24"/>
          <w:szCs w:val="24"/>
        </w:rPr>
      </w:pPr>
      <w:r>
        <w:drawing>
          <wp:inline distT="0" distB="0" distL="0" distR="0">
            <wp:extent cx="5274310" cy="7458075"/>
            <wp:effectExtent l="0" t="0" r="2540" b="9525"/>
            <wp:docPr id="8" name="图片 8" descr="C:\Users\Administrator\Documents\WeChat Files\wxid_a5rdjkvbm5nr22\FileStorage\Temp\3be0506e608f48e7967971ea427f78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ocuments\WeChat Files\wxid_a5rdjkvbm5nr22\FileStorage\Temp\3be0506e608f48e7967971ea427f784d.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4310" cy="7458204"/>
                    </a:xfrm>
                    <a:prstGeom prst="rect">
                      <a:avLst/>
                    </a:prstGeom>
                    <a:noFill/>
                    <a:ln>
                      <a:noFill/>
                    </a:ln>
                  </pic:spPr>
                </pic:pic>
              </a:graphicData>
            </a:graphic>
          </wp:inline>
        </w:drawing>
      </w:r>
    </w:p>
    <w:p>
      <w:pPr>
        <w:widowControl/>
        <w:spacing w:before="100" w:beforeAutospacing="1" w:after="100" w:afterAutospacing="1" w:line="900" w:lineRule="atLeast"/>
        <w:outlineLvl w:val="1"/>
        <w:rPr>
          <w:rFonts w:ascii="微软雅黑" w:hAnsi="微软雅黑" w:eastAsia="微软雅黑" w:cs="宋体"/>
          <w:b/>
          <w:color w:val="333333"/>
          <w:kern w:val="36"/>
          <w:sz w:val="24"/>
          <w:szCs w:val="24"/>
        </w:rPr>
      </w:pPr>
      <w:r>
        <w:drawing>
          <wp:inline distT="0" distB="0" distL="0" distR="0">
            <wp:extent cx="5274310" cy="7458075"/>
            <wp:effectExtent l="0" t="0" r="2540" b="9525"/>
            <wp:docPr id="9" name="图片 9" descr="C:\Users\Administrator\Documents\WeChat Files\wxid_a5rdjkvbm5nr22\FileStorage\Temp\e208a2feaf55caa7295439e707357f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ocuments\WeChat Files\wxid_a5rdjkvbm5nr22\FileStorage\Temp\e208a2feaf55caa7295439e707357ffe.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74310" cy="7458204"/>
                    </a:xfrm>
                    <a:prstGeom prst="rect">
                      <a:avLst/>
                    </a:prstGeom>
                    <a:noFill/>
                    <a:ln>
                      <a:noFill/>
                    </a:ln>
                  </pic:spPr>
                </pic:pic>
              </a:graphicData>
            </a:graphic>
          </wp:inline>
        </w:drawing>
      </w:r>
    </w:p>
    <w:p>
      <w:pPr>
        <w:widowControl/>
        <w:spacing w:before="100" w:beforeAutospacing="1" w:after="100" w:afterAutospacing="1" w:line="900" w:lineRule="atLeast"/>
        <w:outlineLvl w:val="1"/>
        <w:rPr>
          <w:rFonts w:ascii="微软雅黑" w:hAnsi="微软雅黑" w:eastAsia="微软雅黑" w:cs="宋体"/>
          <w:b/>
          <w:color w:val="333333"/>
          <w:kern w:val="36"/>
          <w:sz w:val="24"/>
          <w:szCs w:val="24"/>
        </w:rPr>
      </w:pPr>
    </w:p>
    <w:p>
      <w:pPr>
        <w:widowControl/>
        <w:spacing w:before="100" w:beforeAutospacing="1" w:after="100" w:afterAutospacing="1" w:line="900" w:lineRule="atLeast"/>
        <w:outlineLvl w:val="1"/>
        <w:rPr>
          <w:rFonts w:ascii="微软雅黑" w:hAnsi="微软雅黑" w:eastAsia="微软雅黑" w:cs="宋体"/>
          <w:b/>
          <w:color w:val="333333"/>
          <w:kern w:val="36"/>
          <w:sz w:val="24"/>
          <w:szCs w:val="24"/>
        </w:rPr>
      </w:pPr>
      <w:r>
        <w:drawing>
          <wp:inline distT="0" distB="0" distL="0" distR="0">
            <wp:extent cx="5274310" cy="7458075"/>
            <wp:effectExtent l="0" t="0" r="2540" b="9525"/>
            <wp:docPr id="11" name="图片 11" descr="C:\Users\Administrator\Documents\WeChat Files\wxid_a5rdjkvbm5nr22\FileStorage\Temp\2080c5b2a9e6a161cf7535d778219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Documents\WeChat Files\wxid_a5rdjkvbm5nr22\FileStorage\Temp\2080c5b2a9e6a161cf7535d77821951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4310" cy="7458204"/>
                    </a:xfrm>
                    <a:prstGeom prst="rect">
                      <a:avLst/>
                    </a:prstGeom>
                    <a:noFill/>
                    <a:ln>
                      <a:noFill/>
                    </a:ln>
                  </pic:spPr>
                </pic:pic>
              </a:graphicData>
            </a:graphic>
          </wp:inline>
        </w:drawing>
      </w:r>
    </w:p>
    <w:p>
      <w:pPr>
        <w:widowControl/>
        <w:spacing w:before="100" w:beforeAutospacing="1" w:after="100" w:afterAutospacing="1" w:line="900" w:lineRule="atLeast"/>
        <w:outlineLvl w:val="1"/>
        <w:rPr>
          <w:rFonts w:ascii="微软雅黑" w:hAnsi="微软雅黑" w:eastAsia="微软雅黑" w:cs="宋体"/>
          <w:b/>
          <w:color w:val="333333"/>
          <w:kern w:val="36"/>
          <w:sz w:val="24"/>
          <w:szCs w:val="24"/>
        </w:rPr>
      </w:pPr>
      <w:r>
        <w:drawing>
          <wp:inline distT="0" distB="0" distL="0" distR="0">
            <wp:extent cx="5274310" cy="7458075"/>
            <wp:effectExtent l="0" t="0" r="2540" b="9525"/>
            <wp:docPr id="12" name="图片 12" descr="C:\Users\Administrator\Documents\WeChat Files\wxid_a5rdjkvbm5nr22\FileStorage\Temp\5293da41ed9810c4736b0033d5a087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ocuments\WeChat Files\wxid_a5rdjkvbm5nr22\FileStorage\Temp\5293da41ed9810c4736b0033d5a0877a.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4310" cy="7458204"/>
                    </a:xfrm>
                    <a:prstGeom prst="rect">
                      <a:avLst/>
                    </a:prstGeom>
                    <a:noFill/>
                    <a:ln>
                      <a:noFill/>
                    </a:ln>
                  </pic:spPr>
                </pic:pic>
              </a:graphicData>
            </a:graphic>
          </wp:inline>
        </w:drawing>
      </w:r>
    </w:p>
    <w:p>
      <w:pPr>
        <w:widowControl/>
        <w:spacing w:before="100" w:beforeAutospacing="1" w:after="100" w:afterAutospacing="1" w:line="900" w:lineRule="atLeast"/>
        <w:outlineLvl w:val="1"/>
        <w:rPr>
          <w:rFonts w:ascii="微软雅黑" w:hAnsi="微软雅黑" w:eastAsia="微软雅黑" w:cs="宋体"/>
          <w:b/>
          <w:color w:val="333333"/>
          <w:kern w:val="36"/>
          <w:sz w:val="24"/>
          <w:szCs w:val="24"/>
        </w:rPr>
      </w:pPr>
      <w:r>
        <w:drawing>
          <wp:inline distT="0" distB="0" distL="0" distR="0">
            <wp:extent cx="5274310" cy="7458075"/>
            <wp:effectExtent l="0" t="0" r="2540" b="9525"/>
            <wp:docPr id="14" name="图片 14" descr="C:\Users\Administrator\Documents\WeChat Files\wxid_a5rdjkvbm5nr22\FileStorage\Temp\642b179842a8fe4e6fc2c5518e9862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Documents\WeChat Files\wxid_a5rdjkvbm5nr22\FileStorage\Temp\642b179842a8fe4e6fc2c5518e9862ca.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310" cy="7458204"/>
                    </a:xfrm>
                    <a:prstGeom prst="rect">
                      <a:avLst/>
                    </a:prstGeom>
                    <a:noFill/>
                    <a:ln>
                      <a:noFill/>
                    </a:ln>
                  </pic:spPr>
                </pic:pic>
              </a:graphicData>
            </a:graphic>
          </wp:inline>
        </w:drawing>
      </w:r>
    </w:p>
    <w:p>
      <w:pPr>
        <w:widowControl/>
        <w:spacing w:before="100" w:beforeAutospacing="1" w:after="100" w:afterAutospacing="1" w:line="900" w:lineRule="atLeast"/>
        <w:outlineLvl w:val="1"/>
        <w:rPr>
          <w:rFonts w:ascii="微软雅黑" w:hAnsi="微软雅黑" w:eastAsia="微软雅黑" w:cs="宋体"/>
          <w:b/>
          <w:color w:val="333333"/>
          <w:kern w:val="36"/>
          <w:sz w:val="24"/>
          <w:szCs w:val="24"/>
        </w:rPr>
      </w:pPr>
      <w:r>
        <w:drawing>
          <wp:inline distT="0" distB="0" distL="0" distR="0">
            <wp:extent cx="5274310" cy="7458075"/>
            <wp:effectExtent l="0" t="0" r="2540" b="9525"/>
            <wp:docPr id="15" name="图片 15" descr="C:\Users\Administrator\Documents\WeChat Files\wxid_a5rdjkvbm5nr22\FileStorage\Temp\f24d133e32e23245038028f660ec2c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Documents\WeChat Files\wxid_a5rdjkvbm5nr22\FileStorage\Temp\f24d133e32e23245038028f660ec2c2b.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74310" cy="7458204"/>
                    </a:xfrm>
                    <a:prstGeom prst="rect">
                      <a:avLst/>
                    </a:prstGeom>
                    <a:noFill/>
                    <a:ln>
                      <a:noFill/>
                    </a:ln>
                  </pic:spPr>
                </pic:pic>
              </a:graphicData>
            </a:graphic>
          </wp:inline>
        </w:drawing>
      </w:r>
    </w:p>
    <w:p>
      <w:pPr>
        <w:widowControl/>
        <w:spacing w:before="100" w:beforeAutospacing="1" w:after="100" w:afterAutospacing="1" w:line="900" w:lineRule="atLeast"/>
        <w:outlineLvl w:val="1"/>
        <w:rPr>
          <w:rFonts w:ascii="微软雅黑" w:hAnsi="微软雅黑" w:eastAsia="微软雅黑" w:cs="宋体"/>
          <w:b/>
          <w:color w:val="333333"/>
          <w:kern w:val="36"/>
          <w:sz w:val="24"/>
          <w:szCs w:val="24"/>
        </w:rPr>
      </w:pPr>
      <w:r>
        <w:drawing>
          <wp:inline distT="0" distB="0" distL="0" distR="0">
            <wp:extent cx="5274310" cy="7458075"/>
            <wp:effectExtent l="0" t="0" r="2540" b="9525"/>
            <wp:docPr id="16" name="图片 16" descr="C:\Users\Administrator\Documents\WeChat Files\wxid_a5rdjkvbm5nr22\FileStorage\Temp\b2c530c776f18834f505a42b577fa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strator\Documents\WeChat Files\wxid_a5rdjkvbm5nr22\FileStorage\Temp\b2c530c776f18834f505a42b577fa34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4310" cy="7458204"/>
                    </a:xfrm>
                    <a:prstGeom prst="rect">
                      <a:avLst/>
                    </a:prstGeom>
                    <a:noFill/>
                    <a:ln>
                      <a:noFill/>
                    </a:ln>
                  </pic:spPr>
                </pic:pic>
              </a:graphicData>
            </a:graphic>
          </wp:inline>
        </w:drawing>
      </w:r>
    </w:p>
    <w:p>
      <w:pPr>
        <w:widowControl/>
        <w:spacing w:before="100" w:beforeAutospacing="1" w:after="100" w:afterAutospacing="1" w:line="900" w:lineRule="atLeast"/>
        <w:outlineLvl w:val="1"/>
        <w:rPr>
          <w:rFonts w:ascii="微软雅黑" w:hAnsi="微软雅黑" w:eastAsia="微软雅黑" w:cs="宋体"/>
          <w:b/>
          <w:color w:val="333333"/>
          <w:kern w:val="36"/>
          <w:sz w:val="24"/>
          <w:szCs w:val="24"/>
        </w:rPr>
      </w:pPr>
      <w:r>
        <w:drawing>
          <wp:inline distT="0" distB="0" distL="0" distR="0">
            <wp:extent cx="5274310" cy="7458075"/>
            <wp:effectExtent l="0" t="0" r="2540" b="9525"/>
            <wp:docPr id="18" name="图片 18" descr="C:\Users\Administrator\Documents\WeChat Files\wxid_a5rdjkvbm5nr22\FileStorage\Temp\2a88cccef13770e92c44d78ad0659b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strator\Documents\WeChat Files\wxid_a5rdjkvbm5nr22\FileStorage\Temp\2a88cccef13770e92c44d78ad0659bc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4310" cy="7458204"/>
                    </a:xfrm>
                    <a:prstGeom prst="rect">
                      <a:avLst/>
                    </a:prstGeom>
                    <a:noFill/>
                    <a:ln>
                      <a:noFill/>
                    </a:ln>
                  </pic:spPr>
                </pic:pic>
              </a:graphicData>
            </a:graphic>
          </wp:inline>
        </w:drawing>
      </w:r>
    </w:p>
    <w:p>
      <w:pPr>
        <w:widowControl/>
        <w:spacing w:before="100" w:beforeAutospacing="1" w:after="100" w:afterAutospacing="1" w:line="900" w:lineRule="atLeast"/>
        <w:outlineLvl w:val="1"/>
        <w:rPr>
          <w:rFonts w:ascii="微软雅黑" w:hAnsi="微软雅黑" w:eastAsia="微软雅黑" w:cs="宋体"/>
          <w:b/>
          <w:color w:val="333333"/>
          <w:kern w:val="36"/>
          <w:sz w:val="24"/>
          <w:szCs w:val="24"/>
        </w:rPr>
      </w:pPr>
    </w:p>
    <w:p>
      <w:pPr>
        <w:widowControl/>
        <w:spacing w:after="210"/>
        <w:outlineLvl w:val="1"/>
        <w:rPr>
          <w:rFonts w:ascii="微软雅黑" w:hAnsi="微软雅黑" w:eastAsia="微软雅黑" w:cs="宋体"/>
          <w:b/>
          <w:color w:val="333333"/>
          <w:kern w:val="36"/>
          <w:sz w:val="24"/>
          <w:szCs w:val="24"/>
        </w:rPr>
      </w:pPr>
    </w:p>
    <w:p>
      <w:pPr>
        <w:widowControl/>
        <w:spacing w:after="210"/>
        <w:outlineLvl w:val="1"/>
        <w:rPr>
          <w:rFonts w:ascii="微软雅黑" w:hAnsi="微软雅黑" w:eastAsia="微软雅黑" w:cs="宋体"/>
          <w:b/>
          <w:color w:val="333333"/>
          <w:kern w:val="36"/>
          <w:sz w:val="24"/>
          <w:szCs w:val="24"/>
        </w:rPr>
      </w:pPr>
    </w:p>
    <w:p>
      <w:pPr>
        <w:widowControl/>
        <w:spacing w:after="210"/>
        <w:outlineLvl w:val="1"/>
        <w:rPr>
          <w:rFonts w:ascii="微软雅黑" w:hAnsi="微软雅黑" w:eastAsia="微软雅黑" w:cs="宋体"/>
          <w:b/>
          <w:color w:val="333333"/>
          <w:kern w:val="36"/>
          <w:sz w:val="24"/>
          <w:szCs w:val="24"/>
        </w:rPr>
      </w:pPr>
      <w:r>
        <w:rPr>
          <w:rFonts w:hint="eastAsia" w:ascii="微软雅黑" w:hAnsi="微软雅黑" w:eastAsia="微软雅黑" w:cs="宋体"/>
          <w:b/>
          <w:color w:val="333333"/>
          <w:kern w:val="36"/>
          <w:sz w:val="24"/>
          <w:szCs w:val="24"/>
        </w:rPr>
        <w:t xml:space="preserve">附件2     </w:t>
      </w:r>
    </w:p>
    <w:p>
      <w:pPr>
        <w:widowControl/>
        <w:spacing w:after="210"/>
        <w:ind w:firstLine="1988" w:firstLineChars="600"/>
        <w:outlineLvl w:val="1"/>
        <w:rPr>
          <w:rFonts w:ascii="宋体" w:hAnsi="宋体" w:cs="宋体"/>
          <w:b/>
          <w:bCs/>
          <w:kern w:val="0"/>
          <w:sz w:val="33"/>
          <w:szCs w:val="33"/>
        </w:rPr>
      </w:pPr>
      <w:r>
        <w:rPr>
          <w:rFonts w:ascii="宋体" w:hAnsi="宋体" w:cs="宋体"/>
          <w:b/>
          <w:bCs/>
          <w:kern w:val="0"/>
          <w:sz w:val="33"/>
          <w:szCs w:val="33"/>
        </w:rPr>
        <w:t>第四批国采正式启动，最新竞争格局速览！</w:t>
      </w:r>
    </w:p>
    <w:p>
      <w:pPr>
        <w:widowControl/>
        <w:spacing w:line="300" w:lineRule="atLeast"/>
        <w:jc w:val="left"/>
        <w:rPr>
          <w:rFonts w:ascii="宋体" w:hAnsi="宋体" w:cs="宋体"/>
          <w:kern w:val="0"/>
          <w:sz w:val="2"/>
          <w:szCs w:val="2"/>
        </w:rPr>
      </w:pPr>
      <w:r>
        <w:rPr>
          <w:rFonts w:ascii="宋体" w:hAnsi="宋体" w:cs="宋体"/>
          <w:kern w:val="0"/>
          <w:sz w:val="23"/>
          <w:szCs w:val="23"/>
        </w:rPr>
        <w:t>华招医药网</w:t>
      </w:r>
      <w:r>
        <w:rPr>
          <w:rFonts w:ascii="宋体" w:hAnsi="宋体" w:cs="宋体"/>
          <w:kern w:val="0"/>
          <w:sz w:val="2"/>
          <w:szCs w:val="2"/>
        </w:rPr>
        <w:t> </w:t>
      </w:r>
      <w:r>
        <w:fldChar w:fldCharType="begin"/>
      </w:r>
      <w:r>
        <w:instrText xml:space="preserve"> HYPERLINK "javascript:void(0);" </w:instrText>
      </w:r>
      <w:r>
        <w:fldChar w:fldCharType="separate"/>
      </w:r>
      <w:r>
        <w:rPr>
          <w:rFonts w:ascii="宋体" w:hAnsi="宋体" w:cs="宋体"/>
          <w:color w:val="576B95"/>
          <w:kern w:val="0"/>
          <w:sz w:val="23"/>
          <w:szCs w:val="23"/>
        </w:rPr>
        <w:t>谷丰观点</w:t>
      </w:r>
      <w:r>
        <w:rPr>
          <w:rFonts w:ascii="宋体" w:hAnsi="宋体" w:cs="宋体"/>
          <w:color w:val="576B95"/>
          <w:kern w:val="0"/>
          <w:sz w:val="23"/>
          <w:szCs w:val="23"/>
        </w:rPr>
        <w:fldChar w:fldCharType="end"/>
      </w:r>
      <w:r>
        <w:rPr>
          <w:rFonts w:ascii="宋体" w:hAnsi="宋体" w:cs="宋体"/>
          <w:kern w:val="0"/>
          <w:sz w:val="2"/>
          <w:szCs w:val="2"/>
        </w:rPr>
        <w:t> </w:t>
      </w:r>
      <w:r>
        <w:rPr>
          <w:rFonts w:ascii="宋体" w:hAnsi="宋体" w:cs="宋体"/>
          <w:kern w:val="0"/>
          <w:sz w:val="23"/>
          <w:szCs w:val="23"/>
        </w:rPr>
        <w:t>2021-01-19</w:t>
      </w:r>
    </w:p>
    <w:p>
      <w:pPr>
        <w:widowControl/>
        <w:rPr>
          <w:rFonts w:ascii="宋体" w:hAnsi="宋体" w:cs="宋体"/>
          <w:color w:val="333333"/>
          <w:kern w:val="0"/>
          <w:sz w:val="23"/>
          <w:szCs w:val="23"/>
        </w:rPr>
      </w:pPr>
    </w:p>
    <w:p>
      <w:pPr>
        <w:widowControl/>
        <w:ind w:firstLine="460" w:firstLineChars="200"/>
        <w:rPr>
          <w:rFonts w:ascii="宋体" w:hAnsi="宋体" w:cs="宋体"/>
          <w:color w:val="333333"/>
          <w:kern w:val="0"/>
          <w:sz w:val="23"/>
          <w:szCs w:val="23"/>
        </w:rPr>
      </w:pPr>
      <w:r>
        <w:rPr>
          <w:rFonts w:hint="eastAsia" w:ascii="宋体" w:hAnsi="宋体" w:cs="宋体"/>
          <w:color w:val="333333"/>
          <w:kern w:val="0"/>
          <w:sz w:val="23"/>
          <w:szCs w:val="23"/>
        </w:rPr>
        <w:t>1月15日，万众瞩目的第四批国家带量采购文件在上海阳光采购网发布，此份采购文件延续了第三批集采思路。根据采购文件安排，2月3日将现场开标，也就仅剩不到20天了，企业需尽快研究同组产品，开展成本核算等工作，为报价做足准备。江苏华招网针对本次采购进行分析，以下分享部分内容，最新第四批集采竞争格局详见文末附表：</w:t>
      </w:r>
    </w:p>
    <w:p>
      <w:pPr>
        <w:widowControl/>
        <w:ind w:firstLine="462" w:firstLineChars="200"/>
        <w:rPr>
          <w:rFonts w:ascii="宋体" w:hAnsi="宋体" w:cs="宋体"/>
          <w:b/>
          <w:bCs/>
          <w:color w:val="333333"/>
          <w:kern w:val="0"/>
          <w:sz w:val="23"/>
          <w:szCs w:val="23"/>
        </w:rPr>
      </w:pPr>
      <w:r>
        <w:rPr>
          <w:rFonts w:hint="eastAsia" w:ascii="宋体" w:hAnsi="宋体" w:cs="宋体"/>
          <w:b/>
          <w:bCs/>
          <w:color w:val="333333"/>
          <w:kern w:val="0"/>
          <w:sz w:val="23"/>
          <w:szCs w:val="23"/>
        </w:rPr>
        <w:t>一、采购品种</w:t>
      </w:r>
    </w:p>
    <w:p>
      <w:pPr>
        <w:widowControl/>
        <w:ind w:firstLine="462" w:firstLineChars="200"/>
        <w:rPr>
          <w:rFonts w:ascii="宋体" w:hAnsi="宋体" w:cs="宋体"/>
          <w:b/>
          <w:bCs/>
          <w:color w:val="333333"/>
          <w:kern w:val="0"/>
          <w:sz w:val="23"/>
          <w:szCs w:val="23"/>
        </w:rPr>
      </w:pPr>
      <w:r>
        <w:rPr>
          <w:rFonts w:ascii="宋体" w:hAnsi="宋体" w:cs="宋体"/>
          <w:b/>
          <w:bCs/>
          <w:color w:val="333333"/>
          <w:kern w:val="0"/>
          <w:sz w:val="23"/>
          <w:szCs w:val="23"/>
        </w:rPr>
        <w:t>1</w:t>
      </w:r>
      <w:r>
        <w:rPr>
          <w:rFonts w:hint="eastAsia" w:ascii="宋体" w:hAnsi="宋体" w:cs="宋体"/>
          <w:b/>
          <w:bCs/>
          <w:color w:val="333333"/>
          <w:kern w:val="0"/>
          <w:sz w:val="23"/>
          <w:szCs w:val="23"/>
        </w:rPr>
        <w:t>、采购45个品种，与报量目录比较，删除10个规格</w:t>
      </w:r>
    </w:p>
    <w:p>
      <w:pPr>
        <w:widowControl/>
        <w:ind w:firstLine="460" w:firstLineChars="200"/>
        <w:rPr>
          <w:rFonts w:ascii="宋体" w:hAnsi="宋体" w:cs="宋体"/>
          <w:color w:val="333333"/>
          <w:kern w:val="0"/>
          <w:sz w:val="26"/>
          <w:szCs w:val="26"/>
        </w:rPr>
      </w:pPr>
      <w:r>
        <w:rPr>
          <w:rFonts w:hint="eastAsia" w:ascii="宋体" w:hAnsi="宋体" w:cs="宋体"/>
          <w:color w:val="333333"/>
          <w:kern w:val="0"/>
          <w:sz w:val="23"/>
          <w:szCs w:val="23"/>
        </w:rPr>
        <w:t>此次采购</w:t>
      </w:r>
      <w:r>
        <w:rPr>
          <w:rFonts w:ascii="宋体" w:hAnsi="宋体" w:cs="宋体"/>
          <w:color w:val="333333"/>
          <w:kern w:val="0"/>
          <w:sz w:val="23"/>
          <w:szCs w:val="23"/>
        </w:rPr>
        <w:t>45</w:t>
      </w:r>
      <w:r>
        <w:rPr>
          <w:rFonts w:hint="eastAsia" w:ascii="宋体" w:hAnsi="宋体" w:cs="宋体"/>
          <w:color w:val="333333"/>
          <w:kern w:val="0"/>
          <w:sz w:val="23"/>
          <w:szCs w:val="23"/>
        </w:rPr>
        <w:t>个品种</w:t>
      </w:r>
      <w:r>
        <w:rPr>
          <w:rFonts w:ascii="宋体" w:hAnsi="宋体" w:cs="宋体"/>
          <w:color w:val="333333"/>
          <w:kern w:val="0"/>
          <w:sz w:val="23"/>
          <w:szCs w:val="23"/>
        </w:rPr>
        <w:t>80</w:t>
      </w:r>
      <w:r>
        <w:rPr>
          <w:rFonts w:hint="eastAsia" w:ascii="宋体" w:hAnsi="宋体" w:cs="宋体"/>
          <w:color w:val="333333"/>
          <w:kern w:val="0"/>
          <w:sz w:val="23"/>
          <w:szCs w:val="23"/>
        </w:rPr>
        <w:t>个规格，和此前报量目录的</w:t>
      </w:r>
      <w:r>
        <w:rPr>
          <w:rFonts w:ascii="宋体" w:hAnsi="宋体" w:cs="宋体"/>
          <w:color w:val="333333"/>
          <w:kern w:val="0"/>
          <w:sz w:val="23"/>
          <w:szCs w:val="23"/>
        </w:rPr>
        <w:t>44</w:t>
      </w:r>
      <w:r>
        <w:rPr>
          <w:rFonts w:hint="eastAsia" w:ascii="宋体" w:hAnsi="宋体" w:cs="宋体"/>
          <w:color w:val="333333"/>
          <w:kern w:val="0"/>
          <w:sz w:val="23"/>
          <w:szCs w:val="23"/>
        </w:rPr>
        <w:t>个品种</w:t>
      </w:r>
      <w:r>
        <w:rPr>
          <w:rFonts w:ascii="宋体" w:hAnsi="宋体" w:cs="宋体"/>
          <w:color w:val="333333"/>
          <w:kern w:val="0"/>
          <w:sz w:val="23"/>
          <w:szCs w:val="23"/>
        </w:rPr>
        <w:t>90</w:t>
      </w:r>
      <w:r>
        <w:rPr>
          <w:rFonts w:hint="eastAsia" w:ascii="宋体" w:hAnsi="宋体" w:cs="宋体"/>
          <w:color w:val="333333"/>
          <w:kern w:val="0"/>
          <w:sz w:val="23"/>
          <w:szCs w:val="23"/>
        </w:rPr>
        <w:t>个规格相比，有变化。品种名称并未增加，而是将透明质酸钠（玻璃酸钠）滴眼剂不同规格区分成</w:t>
      </w:r>
      <w:r>
        <w:rPr>
          <w:rFonts w:ascii="宋体" w:hAnsi="宋体" w:cs="宋体"/>
          <w:color w:val="333333"/>
          <w:kern w:val="0"/>
          <w:sz w:val="23"/>
          <w:szCs w:val="23"/>
        </w:rPr>
        <w:t>2</w:t>
      </w:r>
      <w:r>
        <w:rPr>
          <w:rFonts w:hint="eastAsia" w:ascii="宋体" w:hAnsi="宋体" w:cs="宋体"/>
          <w:color w:val="333333"/>
          <w:kern w:val="0"/>
          <w:sz w:val="23"/>
          <w:szCs w:val="23"/>
        </w:rPr>
        <w:t>个品种。此外，还删除了</w:t>
      </w:r>
      <w:r>
        <w:rPr>
          <w:rFonts w:ascii="宋体" w:hAnsi="宋体" w:cs="宋体"/>
          <w:color w:val="333333"/>
          <w:kern w:val="0"/>
          <w:sz w:val="23"/>
          <w:szCs w:val="23"/>
        </w:rPr>
        <w:t>10</w:t>
      </w:r>
      <w:r>
        <w:rPr>
          <w:rFonts w:hint="eastAsia" w:ascii="宋体" w:hAnsi="宋体" w:cs="宋体"/>
          <w:color w:val="333333"/>
          <w:kern w:val="0"/>
          <w:sz w:val="23"/>
          <w:szCs w:val="23"/>
        </w:rPr>
        <w:t>个规格，主要原因是这些规格无对应符合条件的企业。</w:t>
      </w:r>
    </w:p>
    <w:p>
      <w:pPr>
        <w:widowControl/>
        <w:shd w:val="clear" w:color="auto" w:fill="FFFFFF"/>
        <w:spacing w:line="383" w:lineRule="atLeast"/>
        <w:ind w:firstLine="480"/>
        <w:jc w:val="center"/>
        <w:rPr>
          <w:rFonts w:ascii="微软雅黑" w:hAnsi="微软雅黑" w:eastAsia="微软雅黑" w:cs="宋体"/>
          <w:color w:val="333333"/>
          <w:spacing w:val="8"/>
          <w:kern w:val="0"/>
          <w:sz w:val="26"/>
          <w:szCs w:val="26"/>
        </w:rPr>
      </w:pPr>
      <w:r>
        <w:rPr>
          <w:rFonts w:hint="eastAsia" w:ascii="宋体" w:hAnsi="宋体" w:cs="宋体"/>
          <w:b/>
          <w:bCs/>
          <w:color w:val="333333"/>
          <w:spacing w:val="8"/>
          <w:kern w:val="0"/>
          <w:sz w:val="23"/>
          <w:szCs w:val="23"/>
        </w:rPr>
        <w:t>删除的</w:t>
      </w:r>
      <w:r>
        <w:rPr>
          <w:rFonts w:hint="eastAsia" w:ascii="微软雅黑" w:hAnsi="微软雅黑" w:eastAsia="微软雅黑" w:cs="宋体"/>
          <w:b/>
          <w:bCs/>
          <w:color w:val="333333"/>
          <w:spacing w:val="8"/>
          <w:kern w:val="0"/>
          <w:sz w:val="23"/>
          <w:szCs w:val="23"/>
        </w:rPr>
        <w:t>10</w:t>
      </w:r>
      <w:r>
        <w:rPr>
          <w:rFonts w:hint="eastAsia" w:ascii="宋体" w:hAnsi="宋体" w:cs="宋体"/>
          <w:b/>
          <w:bCs/>
          <w:color w:val="333333"/>
          <w:spacing w:val="8"/>
          <w:kern w:val="0"/>
          <w:sz w:val="23"/>
          <w:szCs w:val="23"/>
        </w:rPr>
        <w:t>个规格明细</w:t>
      </w:r>
    </w:p>
    <w:p>
      <w:pPr>
        <w:widowControl/>
        <w:shd w:val="clear" w:color="auto" w:fill="FFFFFF"/>
        <w:jc w:val="center"/>
        <w:rPr>
          <w:rFonts w:ascii="微软雅黑" w:hAnsi="微软雅黑" w:eastAsia="微软雅黑" w:cs="宋体"/>
          <w:color w:val="333333"/>
          <w:spacing w:val="8"/>
          <w:kern w:val="0"/>
          <w:sz w:val="26"/>
          <w:szCs w:val="26"/>
        </w:rPr>
      </w:pPr>
      <w:r>
        <w:rPr>
          <w:rFonts w:ascii="微软雅黑" w:hAnsi="微软雅黑" w:eastAsia="微软雅黑" w:cs="宋体"/>
          <w:color w:val="333333"/>
          <w:spacing w:val="8"/>
          <w:kern w:val="0"/>
          <w:sz w:val="26"/>
          <w:szCs w:val="26"/>
        </w:rPr>
        <w:drawing>
          <wp:inline distT="0" distB="0" distL="0" distR="0">
            <wp:extent cx="4214495" cy="2693670"/>
            <wp:effectExtent l="0" t="0" r="0" b="0"/>
            <wp:docPr id="23" name="图片 2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片"/>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214495" cy="2693670"/>
                    </a:xfrm>
                    <a:prstGeom prst="rect">
                      <a:avLst/>
                    </a:prstGeom>
                    <a:noFill/>
                    <a:ln>
                      <a:noFill/>
                    </a:ln>
                  </pic:spPr>
                </pic:pic>
              </a:graphicData>
            </a:graphic>
          </wp:inline>
        </w:drawing>
      </w:r>
    </w:p>
    <w:p>
      <w:pPr>
        <w:widowControl/>
        <w:rPr>
          <w:rFonts w:ascii="宋体" w:hAnsi="宋体" w:cs="宋体"/>
          <w:b/>
          <w:bCs/>
          <w:color w:val="333333"/>
          <w:kern w:val="0"/>
          <w:sz w:val="23"/>
          <w:szCs w:val="23"/>
        </w:rPr>
      </w:pPr>
      <w:r>
        <w:rPr>
          <w:rFonts w:ascii="宋体" w:hAnsi="宋体" w:cs="宋体"/>
          <w:b/>
          <w:bCs/>
          <w:color w:val="333333"/>
          <w:kern w:val="0"/>
          <w:sz w:val="23"/>
          <w:szCs w:val="23"/>
        </w:rPr>
        <w:t>2</w:t>
      </w:r>
      <w:r>
        <w:rPr>
          <w:rFonts w:hint="eastAsia" w:ascii="宋体" w:hAnsi="宋体" w:cs="宋体"/>
          <w:b/>
          <w:bCs/>
          <w:color w:val="333333"/>
          <w:kern w:val="0"/>
          <w:sz w:val="23"/>
          <w:szCs w:val="23"/>
        </w:rPr>
        <w:t>、第四批品种，消化道和代谢方面的药物数量最多</w:t>
      </w:r>
    </w:p>
    <w:p>
      <w:pPr>
        <w:widowControl/>
        <w:ind w:firstLine="460" w:firstLineChars="200"/>
        <w:rPr>
          <w:rFonts w:ascii="宋体" w:hAnsi="宋体" w:cs="宋体"/>
          <w:color w:val="333333"/>
          <w:kern w:val="0"/>
          <w:sz w:val="23"/>
          <w:szCs w:val="23"/>
        </w:rPr>
      </w:pPr>
      <w:r>
        <w:rPr>
          <w:rFonts w:hint="eastAsia" w:ascii="宋体" w:hAnsi="宋体" w:cs="宋体"/>
          <w:color w:val="333333"/>
          <w:kern w:val="0"/>
          <w:sz w:val="23"/>
          <w:szCs w:val="23"/>
        </w:rPr>
        <w:t>四批国家集采品种中，抗菌药、神经系统药物、心血管系统用药、消化道和代谢方面的药物，数量均在</w:t>
      </w:r>
      <w:r>
        <w:rPr>
          <w:rFonts w:ascii="宋体" w:hAnsi="宋体" w:cs="宋体"/>
          <w:color w:val="333333"/>
          <w:kern w:val="0"/>
          <w:sz w:val="23"/>
          <w:szCs w:val="23"/>
        </w:rPr>
        <w:t>20</w:t>
      </w:r>
      <w:r>
        <w:rPr>
          <w:rFonts w:hint="eastAsia" w:ascii="宋体" w:hAnsi="宋体" w:cs="宋体"/>
          <w:color w:val="333333"/>
          <w:kern w:val="0"/>
          <w:sz w:val="23"/>
          <w:szCs w:val="23"/>
        </w:rPr>
        <w:t>个以上，明显高于其他类别。具体批次来看，第一批数量最多的是心血管系统用药；第二批数量最多的是抗菌药；第三批最多的是神经系统用药，第四批最多的是消化道和代谢方面的药物，各不相同。</w:t>
      </w:r>
    </w:p>
    <w:p>
      <w:pPr>
        <w:widowControl/>
        <w:rPr>
          <w:rFonts w:ascii="宋体" w:hAnsi="宋体" w:cs="宋体"/>
          <w:b/>
          <w:bCs/>
          <w:color w:val="333333"/>
          <w:kern w:val="0"/>
          <w:sz w:val="23"/>
          <w:szCs w:val="23"/>
        </w:rPr>
      </w:pPr>
      <w:r>
        <w:rPr>
          <w:rFonts w:ascii="宋体" w:hAnsi="宋体" w:cs="宋体"/>
          <w:color w:val="333333"/>
          <w:kern w:val="0"/>
          <w:sz w:val="26"/>
          <w:szCs w:val="26"/>
        </w:rPr>
        <w:drawing>
          <wp:inline distT="0" distB="0" distL="0" distR="0">
            <wp:extent cx="5804535" cy="3160395"/>
            <wp:effectExtent l="0" t="0" r="5715" b="1905"/>
            <wp:docPr id="24" name="图片 2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片"/>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804535" cy="3160395"/>
                    </a:xfrm>
                    <a:prstGeom prst="rect">
                      <a:avLst/>
                    </a:prstGeom>
                    <a:noFill/>
                    <a:ln>
                      <a:noFill/>
                    </a:ln>
                  </pic:spPr>
                </pic:pic>
              </a:graphicData>
            </a:graphic>
          </wp:inline>
        </w:drawing>
      </w:r>
      <w:r>
        <w:rPr>
          <w:rFonts w:ascii="宋体" w:hAnsi="宋体" w:cs="宋体"/>
          <w:b/>
          <w:bCs/>
          <w:color w:val="333333"/>
          <w:kern w:val="0"/>
          <w:sz w:val="23"/>
          <w:szCs w:val="23"/>
        </w:rPr>
        <w:t>3</w:t>
      </w:r>
      <w:r>
        <w:rPr>
          <w:rFonts w:hint="eastAsia" w:ascii="宋体" w:hAnsi="宋体" w:cs="宋体"/>
          <w:b/>
          <w:bCs/>
          <w:color w:val="333333"/>
          <w:kern w:val="0"/>
          <w:sz w:val="23"/>
          <w:szCs w:val="23"/>
        </w:rPr>
        <w:t>、第四批包含两个非医保药品</w:t>
      </w:r>
    </w:p>
    <w:p>
      <w:pPr>
        <w:widowControl/>
        <w:ind w:firstLine="460" w:firstLineChars="200"/>
        <w:rPr>
          <w:rFonts w:ascii="宋体" w:hAnsi="宋体" w:cs="宋体"/>
          <w:color w:val="333333"/>
          <w:kern w:val="0"/>
          <w:sz w:val="23"/>
          <w:szCs w:val="23"/>
        </w:rPr>
      </w:pPr>
      <w:r>
        <w:rPr>
          <w:rFonts w:hint="eastAsia" w:ascii="宋体" w:hAnsi="宋体" w:cs="宋体"/>
          <w:color w:val="333333"/>
          <w:kern w:val="0"/>
          <w:sz w:val="23"/>
          <w:szCs w:val="23"/>
        </w:rPr>
        <w:t>此次</w:t>
      </w:r>
      <w:r>
        <w:rPr>
          <w:rFonts w:ascii="宋体" w:hAnsi="宋体" w:cs="宋体"/>
          <w:color w:val="333333"/>
          <w:kern w:val="0"/>
          <w:sz w:val="23"/>
          <w:szCs w:val="23"/>
        </w:rPr>
        <w:t>45</w:t>
      </w:r>
      <w:r>
        <w:rPr>
          <w:rFonts w:hint="eastAsia" w:ascii="宋体" w:hAnsi="宋体" w:cs="宋体"/>
          <w:color w:val="333333"/>
          <w:kern w:val="0"/>
          <w:sz w:val="23"/>
          <w:szCs w:val="23"/>
        </w:rPr>
        <w:t>个品种中包含两个非医保药品：布洛芬注射液和注射用比伐芦定。根据</w:t>
      </w:r>
      <w:r>
        <w:rPr>
          <w:rFonts w:ascii="宋体" w:hAnsi="宋体" w:cs="宋体"/>
          <w:color w:val="333333"/>
          <w:kern w:val="0"/>
          <w:sz w:val="23"/>
          <w:szCs w:val="23"/>
        </w:rPr>
        <w:t>2020</w:t>
      </w:r>
      <w:r>
        <w:rPr>
          <w:rFonts w:hint="eastAsia" w:ascii="宋体" w:hAnsi="宋体" w:cs="宋体"/>
          <w:color w:val="333333"/>
          <w:kern w:val="0"/>
          <w:sz w:val="23"/>
          <w:szCs w:val="23"/>
        </w:rPr>
        <w:t>年医保目录调整工作方案，第二批国家组织药品集中采购中选药品可由企业提出申请，经审核通过后新增，最终</w:t>
      </w:r>
      <w:r>
        <w:rPr>
          <w:rFonts w:ascii="宋体" w:hAnsi="宋体" w:cs="宋体"/>
          <w:color w:val="333333"/>
          <w:kern w:val="0"/>
          <w:sz w:val="23"/>
          <w:szCs w:val="23"/>
        </w:rPr>
        <w:t>2020</w:t>
      </w:r>
      <w:r>
        <w:rPr>
          <w:rFonts w:hint="eastAsia" w:ascii="宋体" w:hAnsi="宋体" w:cs="宋体"/>
          <w:color w:val="333333"/>
          <w:kern w:val="0"/>
          <w:sz w:val="23"/>
          <w:szCs w:val="23"/>
        </w:rPr>
        <w:t>版医保目录纳入了</w:t>
      </w:r>
      <w:r>
        <w:rPr>
          <w:rFonts w:ascii="宋体" w:hAnsi="宋体" w:cs="宋体"/>
          <w:color w:val="333333"/>
          <w:kern w:val="0"/>
          <w:sz w:val="23"/>
          <w:szCs w:val="23"/>
        </w:rPr>
        <w:t>2</w:t>
      </w:r>
      <w:r>
        <w:rPr>
          <w:rFonts w:hint="eastAsia" w:ascii="宋体" w:hAnsi="宋体" w:cs="宋体"/>
          <w:color w:val="333333"/>
          <w:kern w:val="0"/>
          <w:sz w:val="23"/>
          <w:szCs w:val="23"/>
        </w:rPr>
        <w:t>个第二批国采中选非医保药品（仅他达拉非片未纳入），纳入可能性还是非常高的。</w:t>
      </w:r>
    </w:p>
    <w:p>
      <w:pPr>
        <w:widowControl/>
        <w:ind w:firstLine="460" w:firstLineChars="200"/>
        <w:rPr>
          <w:rFonts w:ascii="宋体" w:hAnsi="宋体" w:cs="宋体"/>
          <w:color w:val="333333"/>
          <w:kern w:val="0"/>
          <w:sz w:val="23"/>
          <w:szCs w:val="23"/>
        </w:rPr>
      </w:pPr>
      <w:r>
        <w:rPr>
          <w:rFonts w:hint="eastAsia" w:ascii="宋体" w:hAnsi="宋体" w:cs="宋体"/>
          <w:color w:val="333333"/>
          <w:kern w:val="0"/>
          <w:sz w:val="23"/>
          <w:szCs w:val="23"/>
        </w:rPr>
        <w:t>由此可见，今后第三批的</w:t>
      </w:r>
      <w:r>
        <w:rPr>
          <w:rFonts w:ascii="宋体" w:hAnsi="宋体" w:cs="宋体"/>
          <w:color w:val="333333"/>
          <w:kern w:val="0"/>
          <w:sz w:val="23"/>
          <w:szCs w:val="23"/>
        </w:rPr>
        <w:t>3</w:t>
      </w:r>
      <w:r>
        <w:rPr>
          <w:rFonts w:hint="eastAsia" w:ascii="宋体" w:hAnsi="宋体" w:cs="宋体"/>
          <w:color w:val="333333"/>
          <w:kern w:val="0"/>
          <w:sz w:val="23"/>
          <w:szCs w:val="23"/>
        </w:rPr>
        <w:t>个非医保品种、第四批的</w:t>
      </w:r>
      <w:r>
        <w:rPr>
          <w:rFonts w:ascii="宋体" w:hAnsi="宋体" w:cs="宋体"/>
          <w:color w:val="333333"/>
          <w:kern w:val="0"/>
          <w:sz w:val="23"/>
          <w:szCs w:val="23"/>
        </w:rPr>
        <w:t>2</w:t>
      </w:r>
      <w:r>
        <w:rPr>
          <w:rFonts w:hint="eastAsia" w:ascii="宋体" w:hAnsi="宋体" w:cs="宋体"/>
          <w:color w:val="333333"/>
          <w:kern w:val="0"/>
          <w:sz w:val="23"/>
          <w:szCs w:val="23"/>
        </w:rPr>
        <w:t>个非医保品种也有希望通过后续一年一度的医保目录调整进入医保，此举对于国采中选品种将是非常大的鼓励。</w:t>
      </w:r>
    </w:p>
    <w:p>
      <w:pPr>
        <w:widowControl/>
        <w:ind w:firstLine="460" w:firstLineChars="200"/>
        <w:rPr>
          <w:rFonts w:ascii="宋体" w:hAnsi="宋体" w:cs="宋体"/>
          <w:color w:val="333333"/>
          <w:kern w:val="0"/>
          <w:sz w:val="23"/>
          <w:szCs w:val="23"/>
        </w:rPr>
      </w:pPr>
    </w:p>
    <w:p>
      <w:pPr>
        <w:widowControl/>
        <w:ind w:firstLine="460" w:firstLineChars="200"/>
        <w:rPr>
          <w:rFonts w:ascii="宋体" w:hAnsi="宋体" w:cs="宋体"/>
          <w:color w:val="333333"/>
          <w:kern w:val="0"/>
          <w:sz w:val="23"/>
          <w:szCs w:val="23"/>
        </w:rPr>
      </w:pPr>
    </w:p>
    <w:p>
      <w:pPr>
        <w:widowControl/>
        <w:ind w:firstLine="520" w:firstLineChars="200"/>
        <w:rPr>
          <w:rFonts w:ascii="宋体" w:hAnsi="宋体" w:cs="宋体"/>
          <w:b/>
          <w:bCs/>
          <w:color w:val="333333"/>
          <w:kern w:val="0"/>
          <w:sz w:val="23"/>
          <w:szCs w:val="23"/>
        </w:rPr>
      </w:pPr>
      <w:r>
        <w:rPr>
          <w:rFonts w:ascii="宋体" w:hAnsi="宋体" w:cs="宋体"/>
          <w:color w:val="333333"/>
          <w:kern w:val="0"/>
          <w:sz w:val="26"/>
          <w:szCs w:val="26"/>
        </w:rPr>
        <w:drawing>
          <wp:inline distT="0" distB="0" distL="0" distR="0">
            <wp:extent cx="4751070" cy="2733040"/>
            <wp:effectExtent l="0" t="0" r="0" b="0"/>
            <wp:docPr id="25" name="图片 2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片"/>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751070" cy="2733040"/>
                    </a:xfrm>
                    <a:prstGeom prst="rect">
                      <a:avLst/>
                    </a:prstGeom>
                    <a:noFill/>
                    <a:ln>
                      <a:noFill/>
                    </a:ln>
                  </pic:spPr>
                </pic:pic>
              </a:graphicData>
            </a:graphic>
          </wp:inline>
        </w:drawing>
      </w:r>
      <w:r>
        <w:rPr>
          <w:rFonts w:hint="eastAsia" w:ascii="宋体" w:hAnsi="宋体" w:cs="宋体"/>
          <w:b/>
          <w:bCs/>
          <w:color w:val="333333"/>
          <w:kern w:val="0"/>
          <w:sz w:val="23"/>
          <w:szCs w:val="23"/>
        </w:rPr>
        <w:t xml:space="preserve">  </w:t>
      </w:r>
      <w:r>
        <w:rPr>
          <w:rFonts w:ascii="宋体" w:hAnsi="宋体" w:cs="宋体"/>
          <w:b/>
          <w:bCs/>
          <w:color w:val="333333"/>
          <w:kern w:val="0"/>
          <w:sz w:val="23"/>
          <w:szCs w:val="23"/>
        </w:rPr>
        <w:t>4</w:t>
      </w:r>
      <w:r>
        <w:rPr>
          <w:rFonts w:hint="eastAsia" w:ascii="宋体" w:hAnsi="宋体" w:cs="宋体"/>
          <w:b/>
          <w:bCs/>
          <w:color w:val="333333"/>
          <w:kern w:val="0"/>
          <w:sz w:val="23"/>
          <w:szCs w:val="23"/>
        </w:rPr>
        <w:t>、以口服常释剂型为主，注射剂次之</w:t>
      </w:r>
    </w:p>
    <w:p>
      <w:pPr>
        <w:widowControl/>
        <w:ind w:firstLine="460" w:firstLineChars="200"/>
        <w:rPr>
          <w:rFonts w:ascii="宋体" w:hAnsi="宋体" w:cs="宋体"/>
          <w:color w:val="333333"/>
          <w:kern w:val="0"/>
          <w:sz w:val="23"/>
          <w:szCs w:val="23"/>
        </w:rPr>
      </w:pPr>
      <w:r>
        <w:rPr>
          <w:rFonts w:hint="eastAsia" w:ascii="宋体" w:hAnsi="宋体" w:cs="宋体"/>
          <w:color w:val="333333"/>
          <w:kern w:val="0"/>
          <w:sz w:val="23"/>
          <w:szCs w:val="23"/>
        </w:rPr>
        <w:t>第四批</w:t>
      </w:r>
      <w:r>
        <w:rPr>
          <w:rFonts w:ascii="宋体" w:hAnsi="宋体" w:cs="宋体"/>
          <w:color w:val="333333"/>
          <w:kern w:val="0"/>
          <w:sz w:val="23"/>
          <w:szCs w:val="23"/>
        </w:rPr>
        <w:t>45</w:t>
      </w:r>
      <w:r>
        <w:rPr>
          <w:rFonts w:hint="eastAsia" w:ascii="宋体" w:hAnsi="宋体" w:cs="宋体"/>
          <w:color w:val="333333"/>
          <w:kern w:val="0"/>
          <w:sz w:val="23"/>
          <w:szCs w:val="23"/>
        </w:rPr>
        <w:t>个品种中，包含</w:t>
      </w:r>
      <w:r>
        <w:rPr>
          <w:rFonts w:ascii="宋体" w:hAnsi="宋体" w:cs="宋体"/>
          <w:color w:val="333333"/>
          <w:kern w:val="0"/>
          <w:sz w:val="23"/>
          <w:szCs w:val="23"/>
        </w:rPr>
        <w:t>30</w:t>
      </w:r>
      <w:r>
        <w:rPr>
          <w:rFonts w:hint="eastAsia" w:ascii="宋体" w:hAnsi="宋体" w:cs="宋体"/>
          <w:color w:val="333333"/>
          <w:kern w:val="0"/>
          <w:sz w:val="23"/>
          <w:szCs w:val="23"/>
        </w:rPr>
        <w:t>个口服常释剂型、</w:t>
      </w:r>
      <w:r>
        <w:rPr>
          <w:rFonts w:ascii="宋体" w:hAnsi="宋体" w:cs="宋体"/>
          <w:color w:val="333333"/>
          <w:kern w:val="0"/>
          <w:sz w:val="23"/>
          <w:szCs w:val="23"/>
        </w:rPr>
        <w:t>8</w:t>
      </w:r>
      <w:r>
        <w:rPr>
          <w:rFonts w:hint="eastAsia" w:ascii="宋体" w:hAnsi="宋体" w:cs="宋体"/>
          <w:color w:val="333333"/>
          <w:kern w:val="0"/>
          <w:sz w:val="23"/>
          <w:szCs w:val="23"/>
        </w:rPr>
        <w:t>个注射剂、</w:t>
      </w:r>
      <w:r>
        <w:rPr>
          <w:rFonts w:ascii="宋体" w:hAnsi="宋体" w:cs="宋体"/>
          <w:color w:val="333333"/>
          <w:kern w:val="0"/>
          <w:sz w:val="23"/>
          <w:szCs w:val="23"/>
        </w:rPr>
        <w:t>3</w:t>
      </w:r>
      <w:r>
        <w:rPr>
          <w:rFonts w:hint="eastAsia" w:ascii="宋体" w:hAnsi="宋体" w:cs="宋体"/>
          <w:color w:val="333333"/>
          <w:kern w:val="0"/>
          <w:sz w:val="23"/>
          <w:szCs w:val="23"/>
        </w:rPr>
        <w:t>个缓释控释剂型、</w:t>
      </w:r>
      <w:r>
        <w:rPr>
          <w:rFonts w:ascii="宋体" w:hAnsi="宋体" w:cs="宋体"/>
          <w:color w:val="333333"/>
          <w:kern w:val="0"/>
          <w:sz w:val="23"/>
          <w:szCs w:val="23"/>
        </w:rPr>
        <w:t>3</w:t>
      </w:r>
      <w:r>
        <w:rPr>
          <w:rFonts w:hint="eastAsia" w:ascii="宋体" w:hAnsi="宋体" w:cs="宋体"/>
          <w:color w:val="333333"/>
          <w:kern w:val="0"/>
          <w:sz w:val="23"/>
          <w:szCs w:val="23"/>
        </w:rPr>
        <w:t>个滴眼剂、</w:t>
      </w:r>
      <w:r>
        <w:rPr>
          <w:rFonts w:ascii="宋体" w:hAnsi="宋体" w:cs="宋体"/>
          <w:color w:val="333333"/>
          <w:kern w:val="0"/>
          <w:sz w:val="23"/>
          <w:szCs w:val="23"/>
        </w:rPr>
        <w:t>1</w:t>
      </w:r>
      <w:r>
        <w:rPr>
          <w:rFonts w:hint="eastAsia" w:ascii="宋体" w:hAnsi="宋体" w:cs="宋体"/>
          <w:color w:val="333333"/>
          <w:kern w:val="0"/>
          <w:sz w:val="23"/>
          <w:szCs w:val="23"/>
        </w:rPr>
        <w:t>个吸入剂，其中吸入剂是四批国采中首次出现的新剂型。</w:t>
      </w:r>
    </w:p>
    <w:p>
      <w:pPr>
        <w:widowControl/>
        <w:ind w:firstLine="460" w:firstLineChars="200"/>
        <w:rPr>
          <w:rFonts w:ascii="宋体" w:hAnsi="宋体" w:cs="宋体"/>
          <w:color w:val="333333"/>
          <w:kern w:val="0"/>
          <w:sz w:val="23"/>
          <w:szCs w:val="23"/>
        </w:rPr>
      </w:pPr>
      <w:r>
        <w:rPr>
          <w:rFonts w:hint="eastAsia" w:ascii="宋体" w:hAnsi="宋体" w:cs="宋体"/>
          <w:color w:val="333333"/>
          <w:kern w:val="0"/>
          <w:sz w:val="23"/>
          <w:szCs w:val="23"/>
        </w:rPr>
        <w:t>国家集采品种剂型参考医保目录凡例中的分类标准，如口服常释剂型就包括了普通片、胶囊、分散片等多种实际剂型。如以下两张图所示，国家集采以口服常释剂型为主，注射剂次之，这与一致性评价推进政策有关，并且随着通过一致性评价的品种逐渐增多，国家集采品种的剂型将日益丰富。</w:t>
      </w:r>
    </w:p>
    <w:p>
      <w:pPr>
        <w:widowControl/>
        <w:rPr>
          <w:rFonts w:ascii="宋体" w:hAnsi="宋体" w:cs="宋体"/>
          <w:color w:val="333333"/>
          <w:kern w:val="0"/>
          <w:sz w:val="23"/>
          <w:szCs w:val="23"/>
        </w:rPr>
      </w:pPr>
      <w:bookmarkStart w:id="0" w:name="_GoBack"/>
      <w:bookmarkEnd w:id="0"/>
    </w:p>
    <w:p>
      <w:pPr>
        <w:widowControl/>
        <w:rPr>
          <w:rFonts w:ascii="宋体" w:hAnsi="宋体" w:cs="宋体"/>
          <w:b/>
          <w:bCs/>
          <w:color w:val="333333"/>
          <w:kern w:val="0"/>
          <w:sz w:val="23"/>
          <w:szCs w:val="23"/>
        </w:rPr>
      </w:pPr>
      <w:r>
        <w:rPr>
          <w:rFonts w:ascii="宋体" w:hAnsi="宋体" w:cs="宋体"/>
          <w:b/>
          <w:bCs/>
          <w:color w:val="333333"/>
          <w:kern w:val="0"/>
          <w:sz w:val="23"/>
          <w:szCs w:val="23"/>
        </w:rPr>
        <w:t> </w:t>
      </w:r>
      <w:r>
        <w:rPr>
          <w:rFonts w:hint="eastAsia" w:ascii="宋体" w:hAnsi="宋体" w:cs="宋体"/>
          <w:b/>
          <w:bCs/>
          <w:color w:val="333333"/>
          <w:kern w:val="0"/>
          <w:sz w:val="23"/>
          <w:szCs w:val="23"/>
        </w:rPr>
        <w:t>二、申报要求</w:t>
      </w:r>
    </w:p>
    <w:p>
      <w:pPr>
        <w:widowControl/>
        <w:rPr>
          <w:rFonts w:ascii="宋体" w:hAnsi="宋体" w:cs="宋体"/>
          <w:b/>
          <w:bCs/>
          <w:color w:val="333333"/>
          <w:kern w:val="0"/>
          <w:sz w:val="23"/>
          <w:szCs w:val="23"/>
        </w:rPr>
      </w:pPr>
      <w:r>
        <w:rPr>
          <w:rFonts w:ascii="宋体" w:hAnsi="宋体" w:cs="宋体"/>
          <w:b/>
          <w:bCs/>
          <w:color w:val="333333"/>
          <w:kern w:val="0"/>
          <w:sz w:val="23"/>
          <w:szCs w:val="23"/>
        </w:rPr>
        <w:t>1</w:t>
      </w:r>
      <w:r>
        <w:rPr>
          <w:rFonts w:hint="eastAsia" w:ascii="宋体" w:hAnsi="宋体" w:cs="宋体"/>
          <w:b/>
          <w:bCs/>
          <w:color w:val="333333"/>
          <w:kern w:val="0"/>
          <w:sz w:val="23"/>
          <w:szCs w:val="23"/>
        </w:rPr>
        <w:t>、存在同一企业负责人、直接控股、管理关系的企业不得申报同品种</w:t>
      </w:r>
    </w:p>
    <w:p>
      <w:pPr>
        <w:widowControl/>
        <w:ind w:firstLine="460" w:firstLineChars="200"/>
        <w:rPr>
          <w:rFonts w:ascii="宋体" w:hAnsi="宋体" w:cs="宋体"/>
          <w:b/>
          <w:bCs/>
          <w:color w:val="333333"/>
          <w:kern w:val="0"/>
          <w:sz w:val="23"/>
          <w:szCs w:val="23"/>
        </w:rPr>
      </w:pPr>
      <w:r>
        <w:rPr>
          <w:rFonts w:hint="eastAsia" w:ascii="宋体" w:hAnsi="宋体" w:cs="宋体"/>
          <w:color w:val="333333"/>
          <w:kern w:val="0"/>
          <w:sz w:val="23"/>
          <w:szCs w:val="23"/>
        </w:rPr>
        <w:t>国家代理采购申报企业仍必须为原研、参比制剂和过评企业（含视同），此外，还特别强调，</w:t>
      </w:r>
      <w:r>
        <w:rPr>
          <w:rFonts w:hint="eastAsia" w:ascii="宋体" w:hAnsi="宋体" w:cs="宋体"/>
          <w:b/>
          <w:bCs/>
          <w:color w:val="333333"/>
          <w:kern w:val="0"/>
          <w:sz w:val="23"/>
          <w:szCs w:val="23"/>
        </w:rPr>
        <w:t>同品种申报企业中，企业负责人为同一人或存在直接控股、管理关系的不同企业，不得同时参与该品种的申报。否则涉及企业仅“单位可比价”最低且居于入围企业非末位的获得入围资格。</w:t>
      </w:r>
    </w:p>
    <w:p>
      <w:pPr>
        <w:widowControl/>
        <w:ind w:firstLine="460" w:firstLineChars="200"/>
        <w:rPr>
          <w:rFonts w:ascii="宋体" w:hAnsi="宋体" w:cs="宋体"/>
          <w:b/>
          <w:bCs/>
          <w:color w:val="333333"/>
          <w:kern w:val="0"/>
          <w:sz w:val="23"/>
          <w:szCs w:val="23"/>
        </w:rPr>
      </w:pPr>
      <w:r>
        <w:rPr>
          <w:rFonts w:hint="eastAsia" w:ascii="宋体" w:hAnsi="宋体" w:cs="宋体"/>
          <w:color w:val="333333"/>
          <w:kern w:val="0"/>
          <w:sz w:val="23"/>
          <w:szCs w:val="23"/>
        </w:rPr>
        <w:t>这点可以理解为，原则上不能投标，万一投了，有关系的这些企业中单位可比价最低的，而且还不是入围企业中的末位，才能获得入围资格。举例如下：</w:t>
      </w:r>
      <w:r>
        <w:rPr>
          <w:rFonts w:ascii="宋体" w:hAnsi="宋体" w:cs="宋体"/>
          <w:color w:val="333333"/>
          <w:kern w:val="0"/>
          <w:sz w:val="26"/>
          <w:szCs w:val="26"/>
        </w:rPr>
        <w:drawing>
          <wp:inline distT="0" distB="0" distL="0" distR="0">
            <wp:extent cx="5367020" cy="1252220"/>
            <wp:effectExtent l="0" t="0" r="5080" b="5080"/>
            <wp:docPr id="28" name="图片 2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片"/>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367020" cy="1252220"/>
                    </a:xfrm>
                    <a:prstGeom prst="rect">
                      <a:avLst/>
                    </a:prstGeom>
                    <a:noFill/>
                    <a:ln>
                      <a:noFill/>
                    </a:ln>
                  </pic:spPr>
                </pic:pic>
              </a:graphicData>
            </a:graphic>
          </wp:inline>
        </w:drawing>
      </w:r>
      <w:r>
        <w:rPr>
          <w:rFonts w:hint="eastAsia" w:ascii="宋体" w:hAnsi="宋体" w:cs="宋体"/>
          <w:b/>
          <w:bCs/>
          <w:color w:val="333333"/>
          <w:kern w:val="0"/>
          <w:sz w:val="23"/>
          <w:szCs w:val="23"/>
        </w:rPr>
        <w:t>三、拟中选规则：最多入</w:t>
      </w:r>
      <w:r>
        <w:rPr>
          <w:rFonts w:ascii="宋体" w:hAnsi="宋体" w:cs="宋体"/>
          <w:b/>
          <w:bCs/>
          <w:color w:val="333333"/>
          <w:kern w:val="0"/>
          <w:sz w:val="23"/>
          <w:szCs w:val="23"/>
        </w:rPr>
        <w:t>10</w:t>
      </w:r>
      <w:r>
        <w:rPr>
          <w:rFonts w:hint="eastAsia" w:ascii="宋体" w:hAnsi="宋体" w:cs="宋体"/>
          <w:b/>
          <w:bCs/>
          <w:color w:val="333333"/>
          <w:kern w:val="0"/>
          <w:sz w:val="23"/>
          <w:szCs w:val="23"/>
        </w:rPr>
        <w:t>家，还需满足三项条件</w:t>
      </w:r>
    </w:p>
    <w:p>
      <w:pPr>
        <w:widowControl/>
        <w:ind w:firstLine="460" w:firstLineChars="200"/>
        <w:rPr>
          <w:rFonts w:ascii="宋体" w:hAnsi="宋体" w:cs="宋体"/>
          <w:color w:val="333333"/>
          <w:kern w:val="0"/>
          <w:sz w:val="23"/>
          <w:szCs w:val="23"/>
        </w:rPr>
      </w:pPr>
      <w:r>
        <w:rPr>
          <w:rFonts w:hint="eastAsia" w:ascii="宋体" w:hAnsi="宋体" w:cs="宋体"/>
          <w:color w:val="333333"/>
          <w:kern w:val="0"/>
          <w:sz w:val="23"/>
          <w:szCs w:val="23"/>
        </w:rPr>
        <w:t>在拟中选规则上，总体思路和第二批、第三批一致，先确定入围企业，然后满足三项条件才可拟中选。</w:t>
      </w:r>
    </w:p>
    <w:p>
      <w:pPr>
        <w:widowControl/>
        <w:ind w:firstLine="462" w:firstLineChars="200"/>
        <w:rPr>
          <w:rFonts w:ascii="宋体" w:hAnsi="宋体" w:cs="宋体"/>
          <w:color w:val="333333"/>
          <w:kern w:val="0"/>
          <w:sz w:val="23"/>
          <w:szCs w:val="23"/>
        </w:rPr>
      </w:pPr>
      <w:r>
        <w:rPr>
          <w:rFonts w:hint="eastAsia" w:ascii="宋体" w:hAnsi="宋体" w:cs="宋体"/>
          <w:b/>
          <w:bCs/>
          <w:color w:val="333333"/>
          <w:kern w:val="0"/>
          <w:sz w:val="23"/>
          <w:szCs w:val="23"/>
        </w:rPr>
        <w:t>Step 01：确定入围企业，最多10家</w:t>
      </w:r>
      <w:r>
        <w:rPr>
          <w:rFonts w:hint="eastAsia" w:ascii="宋体" w:hAnsi="宋体" w:cs="宋体"/>
          <w:color w:val="333333"/>
          <w:kern w:val="0"/>
          <w:sz w:val="23"/>
          <w:szCs w:val="23"/>
        </w:rPr>
        <w:t>以采购品种目录中同品种最小规格作为代表规格，按药品差比价规则折算至最小计量单位后的价格作为“单位可比价”，按“单位可比价”由低到高确定申报企业入围及供应地区确认的顺序，“单位可比价”最低的为第一顺位，次低的为第二顺位，依次类推确定其他顺位。</w:t>
      </w:r>
      <w:r>
        <w:rPr>
          <w:rFonts w:hint="eastAsia" w:ascii="宋体" w:hAnsi="宋体" w:cs="宋体"/>
          <w:b/>
          <w:bCs/>
          <w:color w:val="333333"/>
          <w:kern w:val="0"/>
          <w:sz w:val="23"/>
          <w:szCs w:val="23"/>
        </w:rPr>
        <w:t>（“单位可比价”相同时，2019年供应地区数多、在各地销量大、通过一致性评价时间在前、原料药自产的企业优先）</w:t>
      </w:r>
      <w:r>
        <w:rPr>
          <w:rFonts w:hint="eastAsia" w:ascii="宋体" w:hAnsi="宋体" w:cs="宋体"/>
          <w:color w:val="333333"/>
          <w:kern w:val="0"/>
          <w:sz w:val="23"/>
          <w:szCs w:val="23"/>
        </w:rPr>
        <w:t>。</w:t>
      </w:r>
    </w:p>
    <w:p>
      <w:pPr>
        <w:widowControl/>
        <w:jc w:val="center"/>
        <w:rPr>
          <w:rFonts w:ascii="宋体" w:hAnsi="宋体" w:cs="宋体"/>
          <w:color w:val="333333"/>
          <w:kern w:val="0"/>
          <w:sz w:val="26"/>
          <w:szCs w:val="26"/>
        </w:rPr>
      </w:pPr>
      <w:r>
        <w:rPr>
          <w:rFonts w:hint="eastAsia" w:ascii="宋体" w:hAnsi="宋体" w:cs="宋体"/>
          <w:b/>
          <w:bCs/>
          <w:color w:val="333333"/>
          <w:kern w:val="0"/>
          <w:sz w:val="23"/>
          <w:szCs w:val="23"/>
        </w:rPr>
        <w:t>第二批 VS 第三批最多入围企业数</w:t>
      </w:r>
    </w:p>
    <w:p>
      <w:pPr>
        <w:widowControl/>
        <w:shd w:val="clear" w:color="auto" w:fill="FFFFFF"/>
        <w:jc w:val="center"/>
        <w:rPr>
          <w:rFonts w:ascii="微软雅黑" w:hAnsi="微软雅黑" w:eastAsia="微软雅黑" w:cs="宋体"/>
          <w:color w:val="333333"/>
          <w:spacing w:val="8"/>
          <w:kern w:val="0"/>
          <w:sz w:val="26"/>
          <w:szCs w:val="26"/>
        </w:rPr>
      </w:pPr>
      <w:r>
        <w:rPr>
          <w:rFonts w:ascii="微软雅黑" w:hAnsi="微软雅黑" w:eastAsia="微软雅黑" w:cs="宋体"/>
          <w:color w:val="333333"/>
          <w:spacing w:val="8"/>
          <w:kern w:val="0"/>
          <w:sz w:val="26"/>
          <w:szCs w:val="26"/>
        </w:rPr>
        <w:drawing>
          <wp:inline distT="0" distB="0" distL="0" distR="0">
            <wp:extent cx="5416550" cy="2743200"/>
            <wp:effectExtent l="0" t="0" r="0" b="0"/>
            <wp:docPr id="29" name="图片 2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片"/>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416550" cy="2743200"/>
                    </a:xfrm>
                    <a:prstGeom prst="rect">
                      <a:avLst/>
                    </a:prstGeom>
                    <a:noFill/>
                    <a:ln>
                      <a:noFill/>
                    </a:ln>
                  </pic:spPr>
                </pic:pic>
              </a:graphicData>
            </a:graphic>
          </wp:inline>
        </w:drawing>
      </w:r>
    </w:p>
    <w:p>
      <w:pPr>
        <w:widowControl/>
        <w:ind w:firstLine="460" w:firstLineChars="200"/>
        <w:rPr>
          <w:rFonts w:ascii="宋体" w:hAnsi="宋体" w:cs="宋体"/>
          <w:color w:val="333333"/>
          <w:kern w:val="0"/>
          <w:sz w:val="23"/>
          <w:szCs w:val="23"/>
        </w:rPr>
      </w:pPr>
      <w:r>
        <w:rPr>
          <w:rFonts w:hint="eastAsia" w:ascii="宋体" w:hAnsi="宋体" w:cs="宋体"/>
          <w:color w:val="333333"/>
          <w:kern w:val="0"/>
          <w:sz w:val="23"/>
          <w:szCs w:val="23"/>
        </w:rPr>
        <w:t>第二批集采最多入围6家，第三批最多入围8家，第四批持续增加，最多入围10家，与第三批比较，同组≥9家的，各组最多入围企业数量至少增加了1家，可见在入围环节，国采规则趋松。</w:t>
      </w:r>
    </w:p>
    <w:p>
      <w:pPr>
        <w:widowControl/>
        <w:rPr>
          <w:rFonts w:ascii="宋体" w:hAnsi="宋体" w:cs="宋体"/>
          <w:b/>
          <w:bCs/>
          <w:color w:val="333333"/>
          <w:kern w:val="0"/>
          <w:sz w:val="23"/>
          <w:szCs w:val="23"/>
        </w:rPr>
      </w:pPr>
      <w:r>
        <w:rPr>
          <w:rFonts w:ascii="宋体" w:hAnsi="宋体" w:cs="宋体"/>
          <w:color w:val="333333"/>
          <w:kern w:val="0"/>
          <w:sz w:val="26"/>
          <w:szCs w:val="26"/>
        </w:rPr>
        <w:drawing>
          <wp:inline distT="0" distB="0" distL="0" distR="0">
            <wp:extent cx="4879975" cy="2643505"/>
            <wp:effectExtent l="0" t="0" r="0" b="4445"/>
            <wp:docPr id="31" name="图片 3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片"/>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879975" cy="2643505"/>
                    </a:xfrm>
                    <a:prstGeom prst="rect">
                      <a:avLst/>
                    </a:prstGeom>
                    <a:noFill/>
                    <a:ln>
                      <a:noFill/>
                    </a:ln>
                  </pic:spPr>
                </pic:pic>
              </a:graphicData>
            </a:graphic>
          </wp:inline>
        </w:drawing>
      </w:r>
    </w:p>
    <w:p>
      <w:pPr>
        <w:widowControl/>
        <w:rPr>
          <w:rFonts w:ascii="宋体" w:hAnsi="宋体" w:cs="宋体"/>
          <w:b/>
          <w:bCs/>
          <w:color w:val="333333"/>
          <w:kern w:val="0"/>
          <w:sz w:val="23"/>
          <w:szCs w:val="23"/>
        </w:rPr>
      </w:pPr>
      <w:r>
        <w:rPr>
          <w:rFonts w:hint="eastAsia" w:ascii="宋体" w:hAnsi="宋体" w:cs="宋体"/>
          <w:b/>
          <w:bCs/>
          <w:color w:val="333333"/>
          <w:kern w:val="0"/>
          <w:sz w:val="23"/>
          <w:szCs w:val="23"/>
        </w:rPr>
        <w:t>Step 02：入围企业满足三项条件之一，才可拟中选</w:t>
      </w:r>
    </w:p>
    <w:p>
      <w:pPr>
        <w:widowControl/>
        <w:rPr>
          <w:rFonts w:ascii="宋体" w:hAnsi="宋体" w:cs="宋体"/>
          <w:b/>
          <w:bCs/>
          <w:color w:val="333333"/>
          <w:kern w:val="0"/>
          <w:sz w:val="23"/>
          <w:szCs w:val="23"/>
        </w:rPr>
      </w:pPr>
      <w:r>
        <w:rPr>
          <w:rFonts w:ascii="宋体" w:hAnsi="宋体" w:cs="宋体"/>
          <w:color w:val="333333"/>
          <w:kern w:val="0"/>
          <w:sz w:val="26"/>
          <w:szCs w:val="26"/>
        </w:rPr>
        <w:drawing>
          <wp:inline distT="0" distB="0" distL="0" distR="0">
            <wp:extent cx="4730750" cy="1371600"/>
            <wp:effectExtent l="0" t="0" r="0" b="0"/>
            <wp:docPr id="34" name="图片 3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图片"/>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730750" cy="1371600"/>
                    </a:xfrm>
                    <a:prstGeom prst="rect">
                      <a:avLst/>
                    </a:prstGeom>
                    <a:noFill/>
                    <a:ln>
                      <a:noFill/>
                    </a:ln>
                  </pic:spPr>
                </pic:pic>
              </a:graphicData>
            </a:graphic>
          </wp:inline>
        </w:drawing>
      </w:r>
    </w:p>
    <w:p>
      <w:pPr>
        <w:widowControl/>
        <w:rPr>
          <w:rFonts w:ascii="宋体" w:hAnsi="宋体" w:cs="宋体"/>
          <w:b/>
          <w:bCs/>
          <w:color w:val="333333"/>
          <w:kern w:val="0"/>
          <w:sz w:val="23"/>
          <w:szCs w:val="23"/>
        </w:rPr>
      </w:pPr>
      <w:r>
        <w:rPr>
          <w:rFonts w:hint="eastAsia" w:ascii="宋体" w:hAnsi="宋体" w:cs="宋体"/>
          <w:b/>
          <w:bCs/>
          <w:color w:val="333333"/>
          <w:kern w:val="0"/>
          <w:sz w:val="23"/>
          <w:szCs w:val="23"/>
        </w:rPr>
        <w:t>四、采购量及采购周期</w:t>
      </w:r>
    </w:p>
    <w:p>
      <w:pPr>
        <w:widowControl/>
        <w:rPr>
          <w:rFonts w:ascii="宋体" w:hAnsi="宋体" w:cs="宋体"/>
          <w:b/>
          <w:bCs/>
          <w:color w:val="333333"/>
          <w:kern w:val="0"/>
          <w:sz w:val="23"/>
          <w:szCs w:val="23"/>
        </w:rPr>
      </w:pPr>
      <w:r>
        <w:rPr>
          <w:rFonts w:ascii="宋体" w:hAnsi="宋体" w:cs="宋体"/>
          <w:b/>
          <w:bCs/>
          <w:color w:val="333333"/>
          <w:kern w:val="0"/>
          <w:sz w:val="23"/>
          <w:szCs w:val="23"/>
        </w:rPr>
        <w:t>1</w:t>
      </w:r>
      <w:r>
        <w:rPr>
          <w:rFonts w:hint="eastAsia" w:ascii="宋体" w:hAnsi="宋体" w:cs="宋体"/>
          <w:b/>
          <w:bCs/>
          <w:color w:val="333333"/>
          <w:kern w:val="0"/>
          <w:sz w:val="23"/>
          <w:szCs w:val="23"/>
        </w:rPr>
        <w:t>、分量规则和第三批一致，抗菌药减少</w:t>
      </w:r>
      <w:r>
        <w:rPr>
          <w:rFonts w:ascii="宋体" w:hAnsi="宋体" w:cs="宋体"/>
          <w:b/>
          <w:bCs/>
          <w:color w:val="333333"/>
          <w:kern w:val="0"/>
          <w:sz w:val="23"/>
          <w:szCs w:val="23"/>
        </w:rPr>
        <w:t>10%</w:t>
      </w:r>
    </w:p>
    <w:p>
      <w:pPr>
        <w:widowControl/>
        <w:ind w:firstLine="460" w:firstLineChars="200"/>
        <w:rPr>
          <w:rFonts w:ascii="宋体" w:hAnsi="宋体" w:cs="宋体"/>
          <w:color w:val="333333"/>
          <w:kern w:val="0"/>
          <w:sz w:val="26"/>
          <w:szCs w:val="26"/>
        </w:rPr>
      </w:pPr>
      <w:r>
        <w:rPr>
          <w:rFonts w:hint="eastAsia" w:ascii="宋体" w:hAnsi="宋体" w:cs="宋体"/>
          <w:color w:val="333333"/>
          <w:kern w:val="0"/>
          <w:sz w:val="23"/>
          <w:szCs w:val="23"/>
        </w:rPr>
        <w:t>在采购量的分配上，和第二批、第三批的规则一样，在</w:t>
      </w:r>
      <w:r>
        <w:rPr>
          <w:rFonts w:ascii="宋体" w:hAnsi="宋体" w:cs="宋体"/>
          <w:color w:val="333333"/>
          <w:kern w:val="0"/>
          <w:sz w:val="23"/>
          <w:szCs w:val="23"/>
        </w:rPr>
        <w:t>50%-80%</w:t>
      </w:r>
      <w:r>
        <w:rPr>
          <w:rFonts w:hint="eastAsia" w:ascii="宋体" w:hAnsi="宋体" w:cs="宋体"/>
          <w:color w:val="333333"/>
          <w:kern w:val="0"/>
          <w:sz w:val="23"/>
          <w:szCs w:val="23"/>
        </w:rPr>
        <w:t>之间，依据中选企业数量不同进行划分。</w:t>
      </w:r>
    </w:p>
    <w:p>
      <w:pPr>
        <w:widowControl/>
        <w:shd w:val="clear" w:color="auto" w:fill="FFFFFF"/>
        <w:jc w:val="center"/>
        <w:rPr>
          <w:rFonts w:ascii="微软雅黑" w:hAnsi="微软雅黑" w:eastAsia="微软雅黑" w:cs="宋体"/>
          <w:color w:val="333333"/>
          <w:spacing w:val="8"/>
          <w:kern w:val="0"/>
          <w:sz w:val="26"/>
          <w:szCs w:val="26"/>
        </w:rPr>
      </w:pPr>
      <w:r>
        <w:rPr>
          <w:rFonts w:ascii="微软雅黑" w:hAnsi="微软雅黑" w:eastAsia="微软雅黑" w:cs="宋体"/>
          <w:color w:val="333333"/>
          <w:spacing w:val="8"/>
          <w:kern w:val="0"/>
          <w:sz w:val="26"/>
          <w:szCs w:val="26"/>
        </w:rPr>
        <w:drawing>
          <wp:inline distT="0" distB="0" distL="0" distR="0">
            <wp:extent cx="4850130" cy="1391285"/>
            <wp:effectExtent l="0" t="0" r="7620" b="0"/>
            <wp:docPr id="35" name="图片 3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图片"/>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850130" cy="1391285"/>
                    </a:xfrm>
                    <a:prstGeom prst="rect">
                      <a:avLst/>
                    </a:prstGeom>
                    <a:noFill/>
                    <a:ln>
                      <a:noFill/>
                    </a:ln>
                  </pic:spPr>
                </pic:pic>
              </a:graphicData>
            </a:graphic>
          </wp:inline>
        </w:drawing>
      </w:r>
    </w:p>
    <w:p>
      <w:pPr>
        <w:widowControl/>
        <w:ind w:firstLine="460" w:firstLineChars="200"/>
        <w:rPr>
          <w:rFonts w:ascii="宋体" w:hAnsi="宋体" w:cs="宋体"/>
          <w:color w:val="333333"/>
          <w:kern w:val="0"/>
          <w:sz w:val="23"/>
          <w:szCs w:val="23"/>
        </w:rPr>
      </w:pPr>
      <w:r>
        <w:rPr>
          <w:rFonts w:hint="eastAsia" w:ascii="宋体" w:hAnsi="宋体" w:cs="宋体"/>
          <w:color w:val="333333"/>
          <w:kern w:val="0"/>
          <w:sz w:val="23"/>
          <w:szCs w:val="23"/>
        </w:rPr>
        <w:t>此外，还延续了第三批中针对抗菌药相应地减少采购量举措，具体来看，针对伏立康唑口服常释剂型、诺氟沙星口服常释剂型、特比萘芬口服常释剂型、头孢丙烯口服常释剂型、左氧氟沙星口服常释剂型、玻璃酸钠滴眼剂（含</w:t>
      </w:r>
      <w:r>
        <w:rPr>
          <w:rFonts w:ascii="宋体" w:hAnsi="宋体" w:cs="宋体"/>
          <w:color w:val="333333"/>
          <w:kern w:val="0"/>
          <w:sz w:val="23"/>
          <w:szCs w:val="23"/>
        </w:rPr>
        <w:t>0.1%</w:t>
      </w:r>
      <w:r>
        <w:rPr>
          <w:rFonts w:hint="eastAsia" w:ascii="宋体" w:hAnsi="宋体" w:cs="宋体"/>
          <w:color w:val="333333"/>
          <w:kern w:val="0"/>
          <w:sz w:val="23"/>
          <w:szCs w:val="23"/>
        </w:rPr>
        <w:t>浓度与</w:t>
      </w:r>
      <w:r>
        <w:rPr>
          <w:rFonts w:ascii="宋体" w:hAnsi="宋体" w:cs="宋体"/>
          <w:color w:val="333333"/>
          <w:kern w:val="0"/>
          <w:sz w:val="23"/>
          <w:szCs w:val="23"/>
        </w:rPr>
        <w:t>0.3%</w:t>
      </w:r>
      <w:r>
        <w:rPr>
          <w:rFonts w:hint="eastAsia" w:ascii="宋体" w:hAnsi="宋体" w:cs="宋体"/>
          <w:color w:val="333333"/>
          <w:kern w:val="0"/>
          <w:sz w:val="23"/>
          <w:szCs w:val="23"/>
        </w:rPr>
        <w:t>浓度）、注射用比伐芦定，在每一层级采购量划分上，相应地减少了</w:t>
      </w:r>
      <w:r>
        <w:rPr>
          <w:rFonts w:ascii="宋体" w:hAnsi="宋体" w:cs="宋体"/>
          <w:color w:val="333333"/>
          <w:kern w:val="0"/>
          <w:sz w:val="23"/>
          <w:szCs w:val="23"/>
        </w:rPr>
        <w:t>10%</w:t>
      </w:r>
      <w:r>
        <w:rPr>
          <w:rFonts w:hint="eastAsia" w:ascii="宋体" w:hAnsi="宋体" w:cs="宋体"/>
          <w:color w:val="333333"/>
          <w:kern w:val="0"/>
          <w:sz w:val="23"/>
          <w:szCs w:val="23"/>
        </w:rPr>
        <w:t>，抗菌药中选品种的采购量只有</w:t>
      </w:r>
      <w:r>
        <w:rPr>
          <w:rFonts w:ascii="宋体" w:hAnsi="宋体" w:cs="宋体"/>
          <w:color w:val="333333"/>
          <w:kern w:val="0"/>
          <w:sz w:val="23"/>
          <w:szCs w:val="23"/>
        </w:rPr>
        <w:t>40%-70%</w:t>
      </w:r>
      <w:r>
        <w:rPr>
          <w:rFonts w:hint="eastAsia" w:ascii="宋体" w:hAnsi="宋体" w:cs="宋体"/>
          <w:color w:val="333333"/>
          <w:kern w:val="0"/>
          <w:sz w:val="23"/>
          <w:szCs w:val="23"/>
        </w:rPr>
        <w:t>。</w:t>
      </w:r>
    </w:p>
    <w:p>
      <w:pPr>
        <w:widowControl/>
        <w:ind w:firstLine="462" w:firstLineChars="200"/>
        <w:rPr>
          <w:rFonts w:ascii="宋体" w:hAnsi="宋体" w:cs="宋体"/>
          <w:b/>
          <w:bCs/>
          <w:color w:val="333333"/>
          <w:kern w:val="0"/>
          <w:sz w:val="23"/>
          <w:szCs w:val="23"/>
        </w:rPr>
      </w:pPr>
      <w:r>
        <w:rPr>
          <w:rFonts w:ascii="宋体" w:hAnsi="宋体" w:cs="宋体"/>
          <w:b/>
          <w:bCs/>
          <w:color w:val="333333"/>
          <w:kern w:val="0"/>
          <w:sz w:val="23"/>
          <w:szCs w:val="23"/>
        </w:rPr>
        <w:t>2</w:t>
      </w:r>
      <w:r>
        <w:rPr>
          <w:rFonts w:hint="eastAsia" w:ascii="宋体" w:hAnsi="宋体" w:cs="宋体"/>
          <w:b/>
          <w:bCs/>
          <w:color w:val="333333"/>
          <w:kern w:val="0"/>
          <w:sz w:val="23"/>
          <w:szCs w:val="23"/>
        </w:rPr>
        <w:t>、莫沙必利口服常释剂型约定采购量最多</w:t>
      </w:r>
    </w:p>
    <w:p>
      <w:pPr>
        <w:widowControl/>
        <w:ind w:firstLine="460" w:firstLineChars="200"/>
        <w:rPr>
          <w:rFonts w:ascii="宋体" w:hAnsi="宋体" w:cs="宋体"/>
          <w:color w:val="333333"/>
          <w:kern w:val="0"/>
          <w:sz w:val="23"/>
          <w:szCs w:val="23"/>
        </w:rPr>
      </w:pPr>
      <w:r>
        <w:rPr>
          <w:rFonts w:hint="eastAsia" w:ascii="宋体" w:hAnsi="宋体" w:cs="宋体"/>
          <w:color w:val="333333"/>
          <w:kern w:val="0"/>
          <w:sz w:val="23"/>
          <w:szCs w:val="23"/>
        </w:rPr>
        <w:t>从</w:t>
      </w:r>
      <w:r>
        <w:rPr>
          <w:rFonts w:ascii="宋体" w:hAnsi="宋体" w:cs="宋体"/>
          <w:color w:val="333333"/>
          <w:kern w:val="0"/>
          <w:sz w:val="23"/>
          <w:szCs w:val="23"/>
        </w:rPr>
        <w:t>45</w:t>
      </w:r>
      <w:r>
        <w:rPr>
          <w:rFonts w:hint="eastAsia" w:ascii="宋体" w:hAnsi="宋体" w:cs="宋体"/>
          <w:color w:val="333333"/>
          <w:kern w:val="0"/>
          <w:sz w:val="23"/>
          <w:szCs w:val="23"/>
        </w:rPr>
        <w:t>个品种首年约定采购量可以看出，≥</w:t>
      </w:r>
      <w:r>
        <w:rPr>
          <w:rFonts w:ascii="宋体" w:hAnsi="宋体" w:cs="宋体"/>
          <w:color w:val="333333"/>
          <w:kern w:val="0"/>
          <w:sz w:val="23"/>
          <w:szCs w:val="23"/>
        </w:rPr>
        <w:t>1</w:t>
      </w:r>
      <w:r>
        <w:rPr>
          <w:rFonts w:hint="eastAsia" w:ascii="宋体" w:hAnsi="宋体" w:cs="宋体"/>
          <w:color w:val="333333"/>
          <w:kern w:val="0"/>
          <w:sz w:val="23"/>
          <w:szCs w:val="23"/>
        </w:rPr>
        <w:t>亿及≤</w:t>
      </w:r>
      <w:r>
        <w:rPr>
          <w:rFonts w:ascii="宋体" w:hAnsi="宋体" w:cs="宋体"/>
          <w:color w:val="333333"/>
          <w:kern w:val="0"/>
          <w:sz w:val="23"/>
          <w:szCs w:val="23"/>
        </w:rPr>
        <w:t>100</w:t>
      </w:r>
      <w:r>
        <w:rPr>
          <w:rFonts w:hint="eastAsia" w:ascii="宋体" w:hAnsi="宋体" w:cs="宋体"/>
          <w:color w:val="333333"/>
          <w:kern w:val="0"/>
          <w:sz w:val="23"/>
          <w:szCs w:val="23"/>
        </w:rPr>
        <w:t>万的品种数量是最多的，采购量最大的为莫沙必利口服常释剂型，达到了</w:t>
      </w:r>
      <w:r>
        <w:rPr>
          <w:rFonts w:ascii="宋体" w:hAnsi="宋体" w:cs="宋体"/>
          <w:color w:val="333333"/>
          <w:kern w:val="0"/>
          <w:sz w:val="23"/>
          <w:szCs w:val="23"/>
        </w:rPr>
        <w:t>6</w:t>
      </w:r>
      <w:r>
        <w:rPr>
          <w:rFonts w:hint="eastAsia" w:ascii="宋体" w:hAnsi="宋体" w:cs="宋体"/>
          <w:color w:val="333333"/>
          <w:kern w:val="0"/>
          <w:sz w:val="23"/>
          <w:szCs w:val="23"/>
        </w:rPr>
        <w:t>亿以上。采购量最小的为硼替佐米注射剂，仅有</w:t>
      </w:r>
      <w:r>
        <w:rPr>
          <w:rFonts w:ascii="宋体" w:hAnsi="宋体" w:cs="宋体"/>
          <w:color w:val="333333"/>
          <w:kern w:val="0"/>
          <w:sz w:val="23"/>
          <w:szCs w:val="23"/>
        </w:rPr>
        <w:t>11</w:t>
      </w:r>
      <w:r>
        <w:rPr>
          <w:rFonts w:hint="eastAsia" w:ascii="宋体" w:hAnsi="宋体" w:cs="宋体"/>
          <w:color w:val="333333"/>
          <w:kern w:val="0"/>
          <w:sz w:val="23"/>
          <w:szCs w:val="23"/>
        </w:rPr>
        <w:t>万左右。</w:t>
      </w:r>
    </w:p>
    <w:p>
      <w:pPr>
        <w:widowControl/>
        <w:ind w:firstLine="520" w:firstLineChars="200"/>
        <w:rPr>
          <w:rFonts w:ascii="宋体" w:hAnsi="宋体" w:cs="宋体"/>
          <w:b/>
          <w:bCs/>
          <w:color w:val="333333"/>
          <w:kern w:val="0"/>
          <w:sz w:val="23"/>
          <w:szCs w:val="23"/>
        </w:rPr>
      </w:pPr>
      <w:r>
        <w:rPr>
          <w:rFonts w:ascii="宋体" w:hAnsi="宋体" w:cs="宋体"/>
          <w:color w:val="333333"/>
          <w:kern w:val="0"/>
          <w:sz w:val="26"/>
          <w:szCs w:val="26"/>
        </w:rPr>
        <w:drawing>
          <wp:inline distT="0" distB="0" distL="0" distR="0">
            <wp:extent cx="4681220" cy="2405380"/>
            <wp:effectExtent l="0" t="0" r="5080" b="0"/>
            <wp:docPr id="36" name="图片 3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681220" cy="2405380"/>
                    </a:xfrm>
                    <a:prstGeom prst="rect">
                      <a:avLst/>
                    </a:prstGeom>
                    <a:noFill/>
                    <a:ln>
                      <a:noFill/>
                    </a:ln>
                  </pic:spPr>
                </pic:pic>
              </a:graphicData>
            </a:graphic>
          </wp:inline>
        </w:drawing>
      </w:r>
    </w:p>
    <w:p>
      <w:pPr>
        <w:widowControl/>
        <w:ind w:firstLine="462" w:firstLineChars="200"/>
        <w:rPr>
          <w:rFonts w:ascii="宋体" w:hAnsi="宋体" w:cs="宋体"/>
          <w:color w:val="333333"/>
          <w:kern w:val="0"/>
          <w:sz w:val="26"/>
          <w:szCs w:val="26"/>
        </w:rPr>
      </w:pPr>
      <w:r>
        <w:rPr>
          <w:rFonts w:ascii="宋体" w:hAnsi="宋体" w:cs="宋体"/>
          <w:b/>
          <w:bCs/>
          <w:color w:val="333333"/>
          <w:kern w:val="0"/>
          <w:sz w:val="23"/>
          <w:szCs w:val="23"/>
        </w:rPr>
        <w:t>3</w:t>
      </w:r>
      <w:r>
        <w:rPr>
          <w:rFonts w:hint="eastAsia" w:ascii="宋体" w:hAnsi="宋体" w:cs="宋体"/>
          <w:b/>
          <w:bCs/>
          <w:color w:val="333333"/>
          <w:kern w:val="0"/>
          <w:sz w:val="23"/>
          <w:szCs w:val="23"/>
        </w:rPr>
        <w:t>、采购周期为</w:t>
      </w:r>
      <w:r>
        <w:rPr>
          <w:rFonts w:ascii="宋体" w:hAnsi="宋体" w:cs="宋体"/>
          <w:b/>
          <w:bCs/>
          <w:color w:val="333333"/>
          <w:kern w:val="0"/>
          <w:sz w:val="23"/>
          <w:szCs w:val="23"/>
        </w:rPr>
        <w:t>1-3</w:t>
      </w:r>
      <w:r>
        <w:rPr>
          <w:rFonts w:hint="eastAsia" w:ascii="宋体" w:hAnsi="宋体" w:cs="宋体"/>
          <w:b/>
          <w:bCs/>
          <w:color w:val="333333"/>
          <w:kern w:val="0"/>
          <w:sz w:val="23"/>
          <w:szCs w:val="23"/>
        </w:rPr>
        <w:t>年，注射剂品种采购期为</w:t>
      </w:r>
      <w:r>
        <w:rPr>
          <w:rFonts w:ascii="宋体" w:hAnsi="宋体" w:cs="宋体"/>
          <w:b/>
          <w:bCs/>
          <w:color w:val="333333"/>
          <w:kern w:val="0"/>
          <w:sz w:val="23"/>
          <w:szCs w:val="23"/>
        </w:rPr>
        <w:t>1</w:t>
      </w:r>
      <w:r>
        <w:rPr>
          <w:rFonts w:hint="eastAsia" w:ascii="宋体" w:hAnsi="宋体" w:cs="宋体"/>
          <w:b/>
          <w:bCs/>
          <w:color w:val="333333"/>
          <w:kern w:val="0"/>
          <w:sz w:val="23"/>
          <w:szCs w:val="23"/>
        </w:rPr>
        <w:t>年</w:t>
      </w:r>
    </w:p>
    <w:p>
      <w:pPr>
        <w:widowControl/>
        <w:shd w:val="clear" w:color="auto" w:fill="FFFFFF"/>
        <w:jc w:val="center"/>
        <w:rPr>
          <w:rFonts w:ascii="微软雅黑" w:hAnsi="微软雅黑" w:eastAsia="微软雅黑" w:cs="宋体"/>
          <w:color w:val="333333"/>
          <w:spacing w:val="8"/>
          <w:kern w:val="0"/>
          <w:sz w:val="26"/>
          <w:szCs w:val="26"/>
        </w:rPr>
      </w:pPr>
      <w:r>
        <w:rPr>
          <w:rFonts w:ascii="微软雅黑" w:hAnsi="微软雅黑" w:eastAsia="微软雅黑" w:cs="宋体"/>
          <w:color w:val="333333"/>
          <w:spacing w:val="8"/>
          <w:kern w:val="0"/>
          <w:sz w:val="26"/>
          <w:szCs w:val="26"/>
        </w:rPr>
        <w:drawing>
          <wp:inline distT="0" distB="0" distL="0" distR="0">
            <wp:extent cx="5108575" cy="1858645"/>
            <wp:effectExtent l="0" t="0" r="0" b="8255"/>
            <wp:docPr id="37" name="图片 3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图片"/>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108575" cy="1858645"/>
                    </a:xfrm>
                    <a:prstGeom prst="rect">
                      <a:avLst/>
                    </a:prstGeom>
                    <a:noFill/>
                    <a:ln>
                      <a:noFill/>
                    </a:ln>
                  </pic:spPr>
                </pic:pic>
              </a:graphicData>
            </a:graphic>
          </wp:inline>
        </w:drawing>
      </w:r>
    </w:p>
    <w:p>
      <w:pPr>
        <w:widowControl/>
        <w:ind w:firstLine="460" w:firstLineChars="200"/>
        <w:rPr>
          <w:rFonts w:ascii="宋体" w:hAnsi="宋体" w:cs="宋体"/>
          <w:b/>
          <w:bCs/>
          <w:color w:val="C00000"/>
          <w:kern w:val="0"/>
          <w:sz w:val="23"/>
          <w:szCs w:val="23"/>
        </w:rPr>
      </w:pPr>
      <w:r>
        <w:rPr>
          <w:rFonts w:hint="eastAsia" w:ascii="宋体" w:hAnsi="宋体" w:cs="宋体"/>
          <w:color w:val="333333"/>
          <w:kern w:val="0"/>
          <w:sz w:val="23"/>
          <w:szCs w:val="23"/>
        </w:rPr>
        <w:t>在采购周期上，第四批和第三批无异，且针对注射剂品种，采购期仅有一年。</w:t>
      </w:r>
      <w:r>
        <w:rPr>
          <w:rFonts w:hint="eastAsia" w:ascii="宋体" w:hAnsi="宋体" w:cs="宋体"/>
          <w:b/>
          <w:bCs/>
          <w:color w:val="333333"/>
          <w:kern w:val="0"/>
          <w:sz w:val="23"/>
          <w:szCs w:val="23"/>
        </w:rPr>
        <w:t>附：国家第四批带量采购品种竞争格局一览表</w:t>
      </w:r>
      <w:r>
        <w:rPr>
          <w:rFonts w:hint="eastAsia" w:ascii="宋体" w:hAnsi="宋体" w:cs="宋体"/>
          <w:b/>
          <w:bCs/>
          <w:color w:val="C00000"/>
          <w:kern w:val="0"/>
          <w:sz w:val="23"/>
          <w:szCs w:val="23"/>
        </w:rPr>
        <w:t>（完整表格可咨询专属客服）</w:t>
      </w:r>
    </w:p>
    <w:p>
      <w:pPr>
        <w:widowControl/>
        <w:ind w:firstLine="462" w:firstLineChars="200"/>
        <w:rPr>
          <w:rFonts w:ascii="宋体" w:hAnsi="宋体" w:cs="宋体"/>
          <w:b/>
          <w:bCs/>
          <w:color w:val="C00000"/>
          <w:kern w:val="0"/>
          <w:sz w:val="23"/>
          <w:szCs w:val="23"/>
        </w:rPr>
      </w:pPr>
    </w:p>
    <w:p>
      <w:pPr>
        <w:widowControl/>
        <w:shd w:val="clear" w:color="auto" w:fill="FFFFFF"/>
        <w:spacing w:after="210"/>
        <w:jc w:val="left"/>
        <w:outlineLvl w:val="1"/>
        <w:rPr>
          <w:rFonts w:ascii="微软雅黑" w:hAnsi="微软雅黑" w:eastAsia="微软雅黑" w:cs="宋体"/>
          <w:b/>
          <w:color w:val="333333"/>
          <w:kern w:val="36"/>
          <w:sz w:val="24"/>
          <w:szCs w:val="24"/>
        </w:rPr>
      </w:pPr>
    </w:p>
    <w:p>
      <w:pPr>
        <w:widowControl/>
        <w:shd w:val="clear" w:color="auto" w:fill="FFFFFF"/>
        <w:spacing w:after="210"/>
        <w:jc w:val="left"/>
        <w:outlineLvl w:val="1"/>
        <w:rPr>
          <w:rFonts w:ascii="微软雅黑" w:hAnsi="微软雅黑" w:eastAsia="微软雅黑" w:cs="宋体"/>
          <w:b/>
          <w:color w:val="333333"/>
          <w:kern w:val="36"/>
          <w:sz w:val="24"/>
          <w:szCs w:val="24"/>
        </w:rPr>
      </w:pPr>
    </w:p>
    <w:p>
      <w:pPr>
        <w:widowControl/>
        <w:shd w:val="clear" w:color="auto" w:fill="FFFFFF"/>
        <w:spacing w:after="210"/>
        <w:jc w:val="left"/>
        <w:outlineLvl w:val="1"/>
        <w:rPr>
          <w:rFonts w:ascii="微软雅黑" w:hAnsi="微软雅黑" w:eastAsia="微软雅黑" w:cs="宋体"/>
          <w:b/>
          <w:color w:val="333333"/>
          <w:kern w:val="36"/>
          <w:sz w:val="24"/>
          <w:szCs w:val="24"/>
        </w:rPr>
      </w:pPr>
      <w:r>
        <w:rPr>
          <w:rFonts w:hint="eastAsia" w:ascii="微软雅黑" w:hAnsi="微软雅黑" w:eastAsia="微软雅黑" w:cs="宋体"/>
          <w:b/>
          <w:color w:val="333333"/>
          <w:kern w:val="36"/>
          <w:sz w:val="24"/>
          <w:szCs w:val="24"/>
        </w:rPr>
        <w:t>附件3</w:t>
      </w:r>
    </w:p>
    <w:p>
      <w:pPr>
        <w:widowControl/>
        <w:shd w:val="clear" w:color="auto" w:fill="FFFFFF"/>
        <w:spacing w:after="210"/>
        <w:ind w:left="105" w:leftChars="50"/>
        <w:jc w:val="center"/>
        <w:outlineLvl w:val="1"/>
        <w:rPr>
          <w:rFonts w:ascii="微软雅黑" w:hAnsi="微软雅黑" w:eastAsia="微软雅黑" w:cs="宋体"/>
          <w:b/>
          <w:bCs/>
          <w:color w:val="333333"/>
          <w:spacing w:val="8"/>
          <w:kern w:val="0"/>
          <w:sz w:val="33"/>
          <w:szCs w:val="33"/>
        </w:rPr>
      </w:pPr>
      <w:r>
        <w:rPr>
          <w:rFonts w:hint="eastAsia" w:ascii="微软雅黑" w:hAnsi="微软雅黑" w:eastAsia="微软雅黑" w:cs="宋体"/>
          <w:b/>
          <w:bCs/>
          <w:color w:val="333333"/>
          <w:spacing w:val="8"/>
          <w:kern w:val="0"/>
          <w:sz w:val="33"/>
          <w:szCs w:val="33"/>
        </w:rPr>
        <w:t>下月起，39万医保药店迎来最严监管！</w:t>
      </w:r>
    </w:p>
    <w:p>
      <w:pPr>
        <w:widowControl/>
        <w:shd w:val="clear" w:color="auto" w:fill="FFFFFF"/>
        <w:spacing w:after="210"/>
        <w:ind w:left="105" w:leftChars="50"/>
        <w:jc w:val="center"/>
        <w:outlineLvl w:val="1"/>
        <w:rPr>
          <w:rFonts w:ascii="微软雅黑" w:hAnsi="微软雅黑" w:eastAsia="微软雅黑" w:cs="宋体"/>
          <w:b/>
          <w:bCs/>
          <w:color w:val="333333"/>
          <w:spacing w:val="8"/>
          <w:kern w:val="0"/>
          <w:sz w:val="33"/>
          <w:szCs w:val="33"/>
        </w:rPr>
      </w:pPr>
      <w:r>
        <w:rPr>
          <w:rFonts w:hint="eastAsia" w:ascii="微软雅黑" w:hAnsi="微软雅黑" w:eastAsia="微软雅黑" w:cs="宋体"/>
          <w:b/>
          <w:bCs/>
          <w:color w:val="333333"/>
          <w:spacing w:val="8"/>
          <w:kern w:val="0"/>
          <w:sz w:val="33"/>
          <w:szCs w:val="33"/>
        </w:rPr>
        <w:t>中小连锁更难了？</w:t>
      </w:r>
    </w:p>
    <w:p>
      <w:pPr>
        <w:widowControl/>
        <w:shd w:val="clear" w:color="auto" w:fill="FFFFFF"/>
        <w:spacing w:line="300" w:lineRule="atLeast"/>
        <w:jc w:val="left"/>
        <w:rPr>
          <w:rFonts w:ascii="微软雅黑" w:hAnsi="微软雅黑" w:eastAsia="微软雅黑" w:cs="宋体"/>
          <w:color w:val="333333"/>
          <w:spacing w:val="8"/>
          <w:kern w:val="0"/>
          <w:sz w:val="2"/>
          <w:szCs w:val="2"/>
        </w:rPr>
      </w:pPr>
      <w:r>
        <w:rPr>
          <w:rFonts w:hint="eastAsia" w:ascii="微软雅黑" w:hAnsi="微软雅黑" w:eastAsia="微软雅黑" w:cs="宋体"/>
          <w:color w:val="333333"/>
          <w:spacing w:val="8"/>
          <w:kern w:val="0"/>
          <w:sz w:val="23"/>
          <w:szCs w:val="23"/>
        </w:rPr>
        <w:t>医保</w:t>
      </w:r>
      <w:r>
        <w:rPr>
          <w:rFonts w:hint="eastAsia" w:ascii="微软雅黑" w:hAnsi="微软雅黑" w:eastAsia="微软雅黑" w:cs="宋体"/>
          <w:color w:val="333333"/>
          <w:spacing w:val="8"/>
          <w:kern w:val="0"/>
          <w:sz w:val="2"/>
          <w:szCs w:val="2"/>
        </w:rPr>
        <w:t> </w:t>
      </w:r>
      <w:r>
        <w:fldChar w:fldCharType="begin"/>
      </w:r>
      <w:r>
        <w:instrText xml:space="preserve"> HYPERLINK "javascript:void(0);" </w:instrText>
      </w:r>
      <w:r>
        <w:fldChar w:fldCharType="separate"/>
      </w:r>
      <w:r>
        <w:rPr>
          <w:rFonts w:hint="eastAsia" w:ascii="微软雅黑" w:hAnsi="微软雅黑" w:eastAsia="微软雅黑" w:cs="宋体"/>
          <w:color w:val="576B95"/>
          <w:spacing w:val="8"/>
          <w:kern w:val="0"/>
          <w:sz w:val="23"/>
          <w:szCs w:val="23"/>
        </w:rPr>
        <w:t>21世纪药店</w:t>
      </w:r>
      <w:r>
        <w:rPr>
          <w:rFonts w:hint="eastAsia" w:ascii="微软雅黑" w:hAnsi="微软雅黑" w:eastAsia="微软雅黑" w:cs="宋体"/>
          <w:color w:val="576B95"/>
          <w:spacing w:val="8"/>
          <w:kern w:val="0"/>
          <w:sz w:val="23"/>
          <w:szCs w:val="23"/>
        </w:rPr>
        <w:fldChar w:fldCharType="end"/>
      </w:r>
      <w:r>
        <w:rPr>
          <w:rFonts w:hint="eastAsia" w:ascii="微软雅黑" w:hAnsi="微软雅黑" w:eastAsia="微软雅黑" w:cs="宋体"/>
          <w:color w:val="333333"/>
          <w:spacing w:val="8"/>
          <w:kern w:val="0"/>
          <w:sz w:val="2"/>
          <w:szCs w:val="2"/>
        </w:rPr>
        <w:t> </w:t>
      </w:r>
      <w:r>
        <w:rPr>
          <w:rFonts w:hint="eastAsia" w:ascii="微软雅黑" w:hAnsi="微软雅黑" w:eastAsia="微软雅黑" w:cs="宋体"/>
          <w:color w:val="333333"/>
          <w:spacing w:val="8"/>
          <w:kern w:val="0"/>
          <w:sz w:val="23"/>
          <w:szCs w:val="23"/>
        </w:rPr>
        <w:t>2021-01-12</w:t>
      </w:r>
    </w:p>
    <w:p>
      <w:pPr>
        <w:widowControl/>
        <w:shd w:val="clear" w:color="auto" w:fill="FFFFFF"/>
        <w:spacing w:line="420" w:lineRule="atLeast"/>
        <w:ind w:left="240" w:right="240" w:firstLine="492" w:firstLineChars="20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2020年1月，一纸《零售药店医疗保障定点管理暂行办法（征求意见稿）》（以下简称《意见稿》）引发“史上最严监管”的热议，其中“连坐”处罚条例的提出，更让中小连锁大呼“日子更难了”。</w:t>
      </w:r>
    </w:p>
    <w:p>
      <w:pPr>
        <w:widowControl/>
        <w:shd w:val="clear" w:color="auto" w:fill="FFFFFF"/>
        <w:spacing w:line="420" w:lineRule="atLeast"/>
        <w:ind w:left="240" w:right="240" w:firstLine="492" w:firstLineChars="20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时隔近一年，国家医保局正式出台《零售药店医疗保障定点管理暂行办法》(医保局令3号)（以下简称《暂行办法》），为今后医保定点药店的监管方向奠定了基调。该《暂行办法》将于2月1日起施行。</w:t>
      </w:r>
    </w:p>
    <w:p>
      <w:pPr>
        <w:widowControl/>
        <w:shd w:val="clear" w:color="auto" w:fill="FFFFFF"/>
        <w:spacing w:line="420" w:lineRule="atLeast"/>
        <w:ind w:left="240" w:right="240" w:firstLine="492" w:firstLineChars="20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在CPMC湖南分院副院长黄修祥看来，《暂行办法》对全国30多万家医保定点药店划定了基本的、统一的监管标准，具体到地方则会更实、更严。“定点零售药店切勿触碰监管红线。” </w:t>
      </w:r>
    </w:p>
    <w:p>
      <w:pPr>
        <w:widowControl/>
        <w:shd w:val="clear" w:color="auto" w:fill="FFFFFF"/>
        <w:spacing w:line="420" w:lineRule="atLeast"/>
        <w:ind w:left="240" w:right="240" w:firstLine="492" w:firstLineChars="20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对比《意见稿》，正式稿提出的几处修改值得关注。</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 </w:t>
      </w:r>
      <w:r>
        <w:rPr>
          <w:rFonts w:hint="eastAsia" w:ascii="微软雅黑" w:hAnsi="微软雅黑" w:eastAsia="微软雅黑" w:cs="宋体"/>
          <w:color w:val="333333"/>
          <w:spacing w:val="8"/>
          <w:kern w:val="0"/>
          <w:sz w:val="26"/>
          <w:szCs w:val="26"/>
        </w:rPr>
        <w:t xml:space="preserve">   </w:t>
      </w:r>
      <w:r>
        <w:rPr>
          <w:rFonts w:hint="eastAsia" w:ascii="微软雅黑" w:hAnsi="微软雅黑" w:eastAsia="微软雅黑" w:cs="宋体"/>
          <w:color w:val="3F3F3F"/>
          <w:spacing w:val="8"/>
          <w:kern w:val="0"/>
          <w:sz w:val="23"/>
          <w:szCs w:val="23"/>
        </w:rPr>
        <w:t>对于业内关注的“连坐”，《意见稿》第四十二条的表述为“同一统筹区内的连锁零售药店其中一家因违反医保相关规定被终止服务协议的，相同法人的其他连锁药店同时终止。”</w:t>
      </w:r>
    </w:p>
    <w:p>
      <w:pPr>
        <w:widowControl/>
        <w:shd w:val="clear" w:color="auto" w:fill="FFFFFF"/>
        <w:spacing w:line="420" w:lineRule="atLeast"/>
        <w:ind w:left="240" w:right="240" w:firstLine="492" w:firstLineChars="200"/>
        <w:rPr>
          <w:rFonts w:ascii="微软雅黑" w:hAnsi="微软雅黑" w:eastAsia="微软雅黑" w:cs="宋体"/>
          <w:color w:val="333333"/>
          <w:spacing w:val="8"/>
          <w:kern w:val="0"/>
          <w:sz w:val="26"/>
          <w:szCs w:val="26"/>
        </w:rPr>
      </w:pPr>
      <w:r>
        <w:rPr>
          <w:rFonts w:hint="eastAsia" w:ascii="微软雅黑" w:hAnsi="微软雅黑" w:eastAsia="微软雅黑" w:cs="宋体"/>
          <w:color w:val="0080FF"/>
          <w:spacing w:val="8"/>
          <w:kern w:val="0"/>
          <w:sz w:val="23"/>
          <w:szCs w:val="23"/>
        </w:rPr>
        <w:t>正式稿则删除了“同一统筹区内”的字眼，并明确了“连坐”的适用条件。以“因定点零售药店连锁经营企业总部法定代表人、企业负责人或实际控制人违法违规导致连锁零售药店其中一家分支零售药店被解除医保协议的，相同法定代表人、企业负责人或实际控制人的其他分支零售药店同时解除医保协议”体现。</w:t>
      </w:r>
    </w:p>
    <w:p>
      <w:pPr>
        <w:widowControl/>
        <w:shd w:val="clear" w:color="auto" w:fill="FFFFFF"/>
        <w:spacing w:line="420" w:lineRule="atLeast"/>
        <w:ind w:left="240" w:right="240" w:firstLine="492" w:firstLineChars="200"/>
        <w:rPr>
          <w:rFonts w:ascii="微软雅黑" w:hAnsi="微软雅黑" w:eastAsia="微软雅黑" w:cs="宋体"/>
          <w:color w:val="333333"/>
          <w:spacing w:val="8"/>
          <w:kern w:val="0"/>
          <w:sz w:val="26"/>
          <w:szCs w:val="26"/>
        </w:rPr>
      </w:pPr>
      <w:r>
        <w:rPr>
          <w:rFonts w:hint="eastAsia" w:ascii="微软雅黑" w:hAnsi="微软雅黑" w:eastAsia="微软雅黑" w:cs="宋体"/>
          <w:color w:val="0080FF"/>
          <w:spacing w:val="8"/>
          <w:kern w:val="0"/>
          <w:sz w:val="23"/>
          <w:szCs w:val="23"/>
        </w:rPr>
        <w:t>“这意味着同一个法人，同一个企业负责人一旦违法违规，该企业在全国各个地方的分支机构都将受这个政策影响，对跨区跨省经营的企业提出了特别高的要求。”</w:t>
      </w:r>
      <w:r>
        <w:rPr>
          <w:rFonts w:hint="eastAsia" w:ascii="微软雅黑" w:hAnsi="微软雅黑" w:eastAsia="微软雅黑" w:cs="宋体"/>
          <w:color w:val="3F3F3F"/>
          <w:spacing w:val="8"/>
          <w:kern w:val="0"/>
          <w:sz w:val="23"/>
          <w:szCs w:val="23"/>
        </w:rPr>
        <w:t>黄修祥分析道。</w:t>
      </w:r>
    </w:p>
    <w:p>
      <w:pPr>
        <w:widowControl/>
        <w:shd w:val="clear" w:color="auto" w:fill="FFFFFF"/>
        <w:spacing w:line="420" w:lineRule="atLeast"/>
        <w:ind w:left="240" w:right="240" w:firstLine="492" w:firstLineChars="20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此外，原《意见稿》第五条“取得《药品经营许可证》的零售药店均可自愿申请医疗保障定点。互联网药店、有药品网络销售业务或通过药品网络交易第三方平台开展药品网络销售的零售药店，依托其实体药店申请定点”并未在正式稿中体现，这也体现了国家医保局对于“网售处方药”持审慎的态度。</w:t>
      </w:r>
    </w:p>
    <w:p>
      <w:pPr>
        <w:widowControl/>
        <w:shd w:val="clear" w:color="auto" w:fill="FFFFFF"/>
        <w:spacing w:line="420" w:lineRule="atLeast"/>
        <w:ind w:left="240" w:right="240" w:firstLine="492" w:firstLineChars="20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至于“定点零售药店可凭定点医疗机构开具的电子外配处方销售药品”，</w:t>
      </w:r>
      <w:r>
        <w:rPr>
          <w:rFonts w:hint="eastAsia" w:ascii="微软雅黑" w:hAnsi="微软雅黑" w:eastAsia="微软雅黑" w:cs="宋体"/>
          <w:color w:val="0080FF"/>
          <w:spacing w:val="8"/>
          <w:kern w:val="0"/>
          <w:sz w:val="23"/>
          <w:szCs w:val="23"/>
        </w:rPr>
        <w:t>国家医保局强调，处方流转与网售处方药并不能等同。“目前办法中规范的是符合规定的处方可以流转到实体药店取药或由实体药店配送的模式，而网售处方药的有关政策则需要有关主管部门研究明确。”</w:t>
      </w:r>
    </w:p>
    <w:p>
      <w:pPr>
        <w:widowControl/>
        <w:shd w:val="clear" w:color="auto" w:fill="FFFFFF"/>
        <w:spacing w:line="420" w:lineRule="atLeast"/>
        <w:ind w:left="240" w:right="240" w:firstLine="492" w:firstLineChars="20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另一处重大修改在于执业药师的配备。《意见稿》在资质要求中提出“至少与1名取得《执业药师资格证书》的药师，签订1年以上劳动合同，且劳动合同在有效期内。”</w:t>
      </w:r>
    </w:p>
    <w:p>
      <w:pPr>
        <w:widowControl/>
        <w:shd w:val="clear" w:color="auto" w:fill="FFFFFF"/>
        <w:spacing w:line="420" w:lineRule="atLeast"/>
        <w:ind w:left="240" w:right="240" w:firstLine="492" w:firstLineChars="20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对此，正式稿与《关于规范药品零售企业配备使用执业药师的通知》（国药监药管〔2020〕25号）相结合，提出“至少有1名取得执业药师资格证书或具有药学、临床药学、中药学专业技术资格证书的药师，且注册地在该零售药店所在地，药师须签订1年以上劳动合同且在合同期内”，相当于为医保定点药店“松绑”。</w:t>
      </w:r>
    </w:p>
    <w:p>
      <w:pPr>
        <w:widowControl/>
        <w:shd w:val="clear" w:color="auto" w:fill="FFFFFF"/>
        <w:spacing w:line="420" w:lineRule="atLeast"/>
        <w:ind w:left="240" w:right="240"/>
        <w:jc w:val="center"/>
        <w:rPr>
          <w:rFonts w:ascii="微软雅黑" w:hAnsi="微软雅黑" w:eastAsia="微软雅黑" w:cs="宋体"/>
          <w:b/>
          <w:bCs/>
          <w:color w:val="FF4C00"/>
          <w:spacing w:val="8"/>
          <w:kern w:val="0"/>
          <w:sz w:val="24"/>
          <w:szCs w:val="24"/>
        </w:rPr>
      </w:pPr>
    </w:p>
    <w:p>
      <w:pPr>
        <w:widowControl/>
        <w:shd w:val="clear" w:color="auto" w:fill="FFFFFF"/>
        <w:spacing w:line="420" w:lineRule="atLeast"/>
        <w:ind w:left="240" w:right="240"/>
        <w:jc w:val="center"/>
        <w:rPr>
          <w:rFonts w:ascii="微软雅黑" w:hAnsi="微软雅黑" w:eastAsia="微软雅黑" w:cs="宋体"/>
          <w:color w:val="333333"/>
          <w:spacing w:val="8"/>
          <w:kern w:val="0"/>
          <w:sz w:val="26"/>
          <w:szCs w:val="26"/>
        </w:rPr>
      </w:pPr>
      <w:r>
        <w:rPr>
          <w:rFonts w:hint="eastAsia" w:ascii="微软雅黑" w:hAnsi="微软雅黑" w:eastAsia="微软雅黑" w:cs="宋体"/>
          <w:b/>
          <w:bCs/>
          <w:color w:val="FF4C00"/>
          <w:spacing w:val="8"/>
          <w:kern w:val="0"/>
          <w:sz w:val="24"/>
          <w:szCs w:val="24"/>
        </w:rPr>
        <w:t>零售药店医疗保障定点管理暂行办法</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 </w:t>
      </w:r>
    </w:p>
    <w:p>
      <w:pPr>
        <w:widowControl/>
        <w:shd w:val="clear" w:color="auto" w:fill="FFFFFF"/>
        <w:spacing w:line="420" w:lineRule="atLeast"/>
        <w:ind w:left="240" w:right="240"/>
        <w:jc w:val="center"/>
        <w:rPr>
          <w:rFonts w:ascii="微软雅黑" w:hAnsi="微软雅黑" w:eastAsia="微软雅黑" w:cs="宋体"/>
          <w:color w:val="333333"/>
          <w:spacing w:val="8"/>
          <w:kern w:val="0"/>
          <w:sz w:val="26"/>
          <w:szCs w:val="26"/>
        </w:rPr>
      </w:pPr>
      <w:r>
        <w:rPr>
          <w:rFonts w:hint="eastAsia" w:ascii="微软雅黑" w:hAnsi="微软雅黑" w:eastAsia="微软雅黑" w:cs="宋体"/>
          <w:b/>
          <w:bCs/>
          <w:color w:val="3F3F3F"/>
          <w:spacing w:val="8"/>
          <w:kern w:val="0"/>
          <w:sz w:val="23"/>
          <w:szCs w:val="23"/>
        </w:rPr>
        <w:t>第一章 总则</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　　第一条 为加强和规范零售药店医疗保障定点管理，提高医疗保障基金使用效率，更好地保障广大参保人员权益，根据《中华人民共和国社会保险法》《中华人民共和国基本医疗卫生与健康促进法》及《中华人民共和国药品管理法》等法律法规，制定本办法。</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　　第二条 零售药店医疗保障定点管理应坚持以人民健康为中心，遵循保障基本、公平公正、权责明晰、动态平衡的原则，加强医疗保障精细化管理，发挥零售药店市场活力，为参保人员提供适宜的药品服务。</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　　第三条 医疗保障行政部门负责制定零售药店定点管理政策，在定点申请、专业评估、协商谈判、协议订立、协议履行、协议解除等环节对医疗保障经办机构(以下简称“经办机构”)、定点零售药店进行监督。经办机构负责确定定点零售药店，并与定点零售药店签订医疗保障服务协议(以下简称“医保协议”)，提供经办服务，开展医保协议管理、考核等。定点零售药店应当遵守医疗保障法律、法规、规章及有关政策，按照规定向参保人员提供药品服务。</w:t>
      </w:r>
    </w:p>
    <w:p>
      <w:pPr>
        <w:widowControl/>
        <w:shd w:val="clear" w:color="auto" w:fill="FFFFFF"/>
        <w:spacing w:line="420" w:lineRule="atLeast"/>
        <w:ind w:left="240" w:right="240"/>
        <w:jc w:val="center"/>
        <w:rPr>
          <w:rFonts w:ascii="微软雅黑" w:hAnsi="微软雅黑" w:eastAsia="微软雅黑" w:cs="宋体"/>
          <w:color w:val="333333"/>
          <w:spacing w:val="8"/>
          <w:kern w:val="0"/>
          <w:sz w:val="26"/>
          <w:szCs w:val="26"/>
        </w:rPr>
      </w:pPr>
      <w:r>
        <w:rPr>
          <w:rFonts w:hint="eastAsia" w:ascii="微软雅黑" w:hAnsi="微软雅黑" w:eastAsia="微软雅黑" w:cs="宋体"/>
          <w:b/>
          <w:bCs/>
          <w:color w:val="3F3F3F"/>
          <w:spacing w:val="8"/>
          <w:kern w:val="0"/>
          <w:sz w:val="23"/>
          <w:szCs w:val="23"/>
        </w:rPr>
        <w:t>第二章 定点零售药店的确定</w:t>
      </w:r>
      <w:r>
        <w:rPr>
          <w:rFonts w:hint="eastAsia" w:ascii="微软雅黑" w:hAnsi="微软雅黑" w:eastAsia="微软雅黑" w:cs="宋体"/>
          <w:color w:val="3F3F3F"/>
          <w:spacing w:val="8"/>
          <w:kern w:val="0"/>
          <w:sz w:val="23"/>
          <w:szCs w:val="23"/>
        </w:rPr>
        <w:t> </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　　第四条 统筹地区医疗保障行政部门根据公众健康需求、管理服务需要、医疗保障基金收支、参保人员用药需求等确定本统筹地区定点零售药店的资源配置。</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　　第五条 取得药品经营许可证，并同时符合以下条件的零售药店均可申请医疗保障定点： </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(一)在注册地址正式经营至少3个月; </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(二)至少有1名取得执业药师资格证书或具有药学、临床药学、中药学专业技术资格证书的药师，且注册地在该零售药店所在地，药师须签订1年以上劳动合同且在合同期内;</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(三)至少有2名熟悉医疗保障法律法规和相关制度规定的专(兼)职医保管理人员负责管理医保费用，并签订1年以上劳动合同且在合同期内;</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(四)按药品经营质量管理规范要求，开展药品分类分区管理，并对所售药品设立明确的医保用药标识;</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(五)具有符合医保协议管理要求的医保药品管理制度、财务管理制度、医保人员管理制度、统计信息管理制度和医保费用结算制度;</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(六)具备符合医保协议管理要求的信息系统技术和接口标准，实现与医保信息系统有效对接，为参保人员提供直接联网结算，建立医保药品等基础数据库，按规定使用国家统一医保编码;</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(七)符合法律法规和省级及以上医疗保障行政部门规定的其他条件。</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　　第六条 零售药店向统筹地区经办机构提出医疗保障定点申请，至少提供以下材料：</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(一)定点零售药店申请表;</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(二)药品经营许可证、营业执照和法定代表人、主要负责人或实际控制人身份证复印件;</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(三)执业药师资格证书或药学技术人员相关证书及其劳动合同复印件;</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(四)医保专(兼)职管理人员的劳动合同复印件;</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(五)与医疗保障政策对应的内部管理制度和财务制度文本;</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(六)与医保有关的信息系统相关材料;</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(七)纳入定点后使用医疗保障基金的预测性分析报告;</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(八)省级医疗保障行政部门按相关规定要求提供的其他材料。</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　　第七条 零售药店提出定点申请，统筹地区经办机构应即时受理。对申请材料内容不全的，经办机构自收到材料之日起5个工作日内一次性告知零售药店补充。</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　　第八条 统筹地区经办机构应组织评估小组或委托符合规定的第三方机构，以书面、现场等形式开展评估。评估小组成员由医疗保障、医药卫生、财务管理、信息技术等专业人员构成。自受理申请材料之日起，评估时间不超过3个月，零售药店补充材料时间不计入评估期限。评估内容包括：</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(一)核查药品经营许可证、营业执照和法定代表人、企业负责人或实际控制人身份证;</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(二)核查执业药师资格证书或药学技术人员资格证书及劳动合同;</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(三)核查医保专(兼)职管理人员的劳动合同;</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(四)核查与医疗保障政策对应的内部管理制度和财务制度;</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(五)核查与医保有关的信息系统是否具备开展直接联网结算的条件;</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(六)核查医保药品标识。 </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　　评估结果包括合格和不合格。统筹地区经办机构应将评估结果报同级医疗保障行政部门备案。对于评估合格的，纳入拟签订医保协议的零售药店名单向社会公示。对于评估不合格的应告知其理由，提出整改建议。自结果告知送达之日起，整改3个月后可再次组织评估，评估仍不合格的，1年内不得再次申请。</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　　省级医疗保障行政部门可以在本办法基础上，根据实际情况，制定具体评估细则。</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　　第九条 统筹地区经办机构与评估合格的零售药店协商谈判，达成一致的，双方自愿签订医保协议。原则上由地市级及以上的统筹地区经办机构与零售药店签订医保协议并向同级医疗保障行政部门备案。医保协议应明确双方的权利、义务和责任。签订医保协议的双方应当严格执行医保协议约定。医保协议期限一般为1年。</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　　第十条 统筹地区经办机构向社会公布签订医保协议的定点零售药店信息，包括名称、地址等，供参保人员选择。</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　　第十一条 零售药店有下列情形之一的，不予受理定点申请：</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(一)未依法履行行政处罚责任的;</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(二)以弄虚作假等不正当手段申请定点，自发现之日起未满3年的;</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(三)因违法违规被解除医保协议未满3年或已满3年但未完全履行行政处罚法律责任的;</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(四)因严重违反医保协议约定而被解除医保协议未满1年或已满1年但未完全履行违约责任的;</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(五)法定代表人、企业负责人或实际控制人曾因严重违法违规导致原定点零售药店被解除医保协议，未满5年的;</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(六)法定代表人、企业负责人或实际控制人被列入失信人名单的;</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(七)法律法规规定的其他不予受理的情形。</w:t>
      </w:r>
    </w:p>
    <w:p>
      <w:pPr>
        <w:widowControl/>
        <w:shd w:val="clear" w:color="auto" w:fill="FFFFFF"/>
        <w:spacing w:line="420" w:lineRule="atLeast"/>
        <w:ind w:left="240" w:right="240"/>
        <w:jc w:val="center"/>
        <w:rPr>
          <w:rFonts w:ascii="微软雅黑" w:hAnsi="微软雅黑" w:eastAsia="微软雅黑" w:cs="宋体"/>
          <w:color w:val="333333"/>
          <w:spacing w:val="8"/>
          <w:kern w:val="0"/>
          <w:sz w:val="26"/>
          <w:szCs w:val="26"/>
        </w:rPr>
      </w:pPr>
      <w:r>
        <w:rPr>
          <w:rFonts w:hint="eastAsia" w:ascii="微软雅黑" w:hAnsi="微软雅黑" w:eastAsia="微软雅黑" w:cs="宋体"/>
          <w:b/>
          <w:bCs/>
          <w:color w:val="3F3F3F"/>
          <w:spacing w:val="8"/>
          <w:kern w:val="0"/>
          <w:sz w:val="23"/>
          <w:szCs w:val="23"/>
        </w:rPr>
        <w:t>第三章 定点零售药店运行管理</w:t>
      </w:r>
    </w:p>
    <w:p>
      <w:pPr>
        <w:widowControl/>
        <w:shd w:val="clear" w:color="auto" w:fill="FFFFFF"/>
        <w:spacing w:line="420" w:lineRule="atLeast"/>
        <w:ind w:right="240" w:firstLine="492" w:firstLineChars="20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第十二条 定点零售药店具有为参保人员提供药品服务后获得医保结算费用，对经办机构履约情况进行监督，对完善医疗保障政策提出意见建议等权利。</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　　第十三条 定点零售药店应当为参保人员提供药品咨询、用药安全、医保药品销售、医保费用结算等服务。符合规定条件的定点零售药店可以申请纳入门诊慢性病、特殊病购药定点机构，相关规定由统筹地区医疗保障部门另行制定。</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　　经办机构不予支付的费用、定点零售药店按医保协议约定被扣除的质量保证金及其支付的违约金等，定点零售药店不得作为医保欠费处理。</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　　第十四条 定点零售药店应当严格执行医保支付政策。鼓励在医疗保障行政部门规定的平台上采购药品，并真实记录“进、销、存”情况。</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　　第十五条 定点零售药店要按照公平、合理、诚实信用和质价相符的原则制定价格，遵守医疗保障行政部门制定的药品价格政策。</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　　第十六条 定点零售药店应当凭处方销售医保目录内处方药，药师应当对处方进行审核、签字后调剂配发药品。外配处方必须由定点医疗机构医师开具，有医师签章。定点零售药店可凭定点医疗机构开具的电子外配处方销售药品。</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　　第十七条 定点零售药店应当组织医保管理人员参加由医疗保障行政部门或经办机构组织的宣传和培训。</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　　定点零售药店应当组织开展医疗保障基金相关制度、政策的培训，定期检查本单位医疗保障基金使用情况，及时纠正医疗保障基金使用不规范的行为。</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　　第十八条 定点零售药店在显著位置悬挂统一格式的定点零售药店标识。</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　　第十九条 定点零售药店应按要求及时如实向统筹地区经办机构上传参保人员购买药品的品种、规格、价格及费用信息，定期向经办机构上报医保目录内药品的“进、销、存”数据，并对其真实性负责。</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　　第二十条 定点零售药店应当配合经办机构开展医保费用审核、稽核检查、绩效考核等工作，接受医疗保障行政部门的监督检查，并按规定提供相关材料。</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　　第二十一条 定点零售药店提供药品服务时应核对参保人员有效身份凭证，做到人证相符。特殊情况下为他人代购药品的应出示本人和被代购人身份证。为参保人员提供医保药品费用直接结算单据和相关资料，参保人员或购药人应在购药清单上签字确认。凭外配处方购药的，应核验处方使用人与参保人员身份是否一致。</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　　第二十二条 定点零售药店应将参保人员医保目录内药品外配处方、购药清单等保存2年，以备医疗保障部门核查。</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　　第二十三条 定点零售药店应做好与医保有关的信息系统安全保障工作，遵守数据安全有关制度，保护参保人员隐私。定点零售药店重新安装信息系统时，应当保持信息系统技术接口标准与医保信息系统有效对接，并按规定及时全面准确向医保信息系统传送医保结算和审核所需的有关数据。</w:t>
      </w:r>
    </w:p>
    <w:p>
      <w:pPr>
        <w:widowControl/>
        <w:shd w:val="clear" w:color="auto" w:fill="FFFFFF"/>
        <w:spacing w:line="420" w:lineRule="atLeast"/>
        <w:ind w:left="240" w:right="240"/>
        <w:jc w:val="center"/>
        <w:rPr>
          <w:rFonts w:ascii="微软雅黑" w:hAnsi="微软雅黑" w:eastAsia="微软雅黑" w:cs="宋体"/>
          <w:color w:val="333333"/>
          <w:spacing w:val="8"/>
          <w:kern w:val="0"/>
          <w:sz w:val="26"/>
          <w:szCs w:val="26"/>
        </w:rPr>
      </w:pPr>
      <w:r>
        <w:rPr>
          <w:rFonts w:hint="eastAsia" w:ascii="微软雅黑" w:hAnsi="微软雅黑" w:eastAsia="微软雅黑" w:cs="宋体"/>
          <w:b/>
          <w:bCs/>
          <w:color w:val="3F3F3F"/>
          <w:spacing w:val="8"/>
          <w:kern w:val="0"/>
          <w:sz w:val="23"/>
          <w:szCs w:val="23"/>
        </w:rPr>
        <w:t>第四章 经办管理服务</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　　第二十四条 经办机构有权掌握定点零售药店的运行管理情况，从定点零售药店获得医保费用稽查审核、绩效考核和财务记账等所需要的信息数据等资料。</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　　第二十五条 经办机构应当完善定点申请、组织评估、协议签订、协议履行、协议变更和解除等流程管理，制定经办规程，为定点零售药店和参保人员提供优质高效的经办服务。</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　　第二十六条 经办机构应做好对定点零售药店医疗保障政策、管理制度、支付政策、操作流程的宣传培训，提供医疗保障咨询、查询服务。</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　　第二十七条 经办机构应当落实医保支付政策，加强医疗保障基金管理。</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　　第二十八条 经办机构应当建立完善的内部控制制度，明确对定点零售药店医保费用的审核、结算、拨付、稽核等岗位责任及风险防控机制。完善重大医保药品费用支出集体决策制度。</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　　第二十九条 经办机构应当加强医疗保障基金支出管理，通过智能审核、实时监控、现场检查等方式及时审核医保药品费用。对定点零售药店进行定期和不定期稽查审核，按医保协议约定及时足额向定点零售药店拨付医保费用。原则上，应当在定点零售药店申报后30个工作日内拨付符合规定的医保费用。</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　　第三十条 定点零售药店经审查核实的违规医保费用，经办机构不予支付。</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　　第三十一条 经办机构应当依法依规支付参保人员在定点零售药店发生的药品费用。</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　　参保人员应凭本人参保有效身份凭证在定点零售药店购药。不得出租(借)本人有效身份凭证给他人，不得套取医疗保障基金。在非定点零售药店发生的药品费用，医疗保障基金不予支付。</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　　第三十二条 经办机构向社会公开医保信息系统数据集和接口标准。定点零售药店自主选择与医保对接的有关信息系统的运行和维护供应商。经办机构不得以任何名义收取任何费用及指定供应商。</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　　第三十三条 经办机构应遵守数据安全有关制度，保护参保人员隐私，确保医疗保障基金安全。</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　　第三十四条 经办机构或其委托的第三方机构，对定点零售药店开展绩效考核，建立动态管理机制。考核结果与年终清算、质量保证金退还、医保协议续签等挂钩。绩效考核办法由国家医疗保障部门制定，省级医疗保障部门可制定具体考核细则，经办机构负责组织实施。</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　　第三十五条 经办机构发现定点零售药店存在违反医保协议约定情形的，可按医保协议约定相应采取以下处理方式：</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(一)约谈法定代表人、主要负责人或实际控制人;</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(二)暂停结算、不予支付或追回已支付的医保费用;</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(三)要求定点零售药店按照医保协议约定支付违约金;</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(四)中止或解除医保协议。</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　　第三十六条 经办机构违反医保协议的，定点零售药店有权要求纠正或者提请医疗保障行政部门协调处理、督促整改，也可以依法申请行政复议或者提起行政诉讼。</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　　医疗保障行政部门发现经办机构存在违反医保协议约定的，可视情节相应采取以下处理方式：约谈主要负责人、限期整改、通报批评，对相关责任人员依法依规给予处分。</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　　医疗保障行政部门发现经办机构违反相关法律法规和规章的，依法依规进行处理。</w:t>
      </w:r>
    </w:p>
    <w:p>
      <w:pPr>
        <w:widowControl/>
        <w:shd w:val="clear" w:color="auto" w:fill="FFFFFF"/>
        <w:spacing w:line="420" w:lineRule="atLeast"/>
        <w:ind w:left="240" w:right="240"/>
        <w:jc w:val="center"/>
        <w:rPr>
          <w:rFonts w:ascii="微软雅黑" w:hAnsi="微软雅黑" w:eastAsia="微软雅黑" w:cs="宋体"/>
          <w:color w:val="333333"/>
          <w:spacing w:val="8"/>
          <w:kern w:val="0"/>
          <w:sz w:val="26"/>
          <w:szCs w:val="26"/>
        </w:rPr>
      </w:pPr>
      <w:r>
        <w:rPr>
          <w:rFonts w:hint="eastAsia" w:ascii="微软雅黑" w:hAnsi="微软雅黑" w:eastAsia="微软雅黑" w:cs="宋体"/>
          <w:b/>
          <w:bCs/>
          <w:color w:val="3F3F3F"/>
          <w:spacing w:val="8"/>
          <w:kern w:val="0"/>
          <w:sz w:val="23"/>
          <w:szCs w:val="23"/>
        </w:rPr>
        <w:t>第五章 定点零售药店的动态管理</w:t>
      </w:r>
      <w:r>
        <w:rPr>
          <w:rFonts w:hint="eastAsia" w:ascii="微软雅黑" w:hAnsi="微软雅黑" w:eastAsia="微软雅黑" w:cs="宋体"/>
          <w:color w:val="3F3F3F"/>
          <w:spacing w:val="8"/>
          <w:kern w:val="0"/>
          <w:sz w:val="23"/>
          <w:szCs w:val="23"/>
        </w:rPr>
        <w:t> </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　　第三十七条 定点零售药店的名称、法定代表人、企业负责人、实际控制人、注册地址和药品经营范围等重要信息发生变更的，应自有关部门批准之日起30个工作日内向统筹地区经办机构提出变更申请，其他一般信息变更应及时书面告知。</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　　第三十八条 续签应由定点零售药店于医保协议期满前3个月向经办机构提出申请或由经办机构统一组织。统筹地区经办机构和定点零售药店就医保协议续签事宜进行协商谈判，双方根据医保协议履行情况和绩效考核情况等决定是否续签。协商一致的，可续签医保协议;未达成一致的，医保协议解除。</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　　第三十九条 医保协议中止是指经办机构与定点零售药店暂停履行医保协议约定，中止期间发生的医保费用不予结算。中止期结束，未超过医保协议有效期的，医保协议可继续履行;超过医保协议有效期的，医保协议终止。</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　　定点零售药店可提出中止医保协议申请，经经办机构同意，可以中止医保协议但中止时间原则上不得超过180日，定点零售药店在医保协议中止超过180日仍未提出继续履行医保协议申请的，原则上医保协议自动终止。定点零售药店有下列情形之一的，经办机构应中止医保协议：</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(一)根据日常检查和绩效考核，发现对医疗保障基金安全和参保人员权益可能造成重大风险的;</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(二)未按规定向医疗保障行政部门及经办机构提供有关数据或提供数据不真实的;</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(三)根据医保协议约定应当中止医保协议的;</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(四)法律法规和规章规定的应当中止的其他情形。</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　　第四十条 医保协议解除是指经办机构与定点零售药店之间的医保协议解除，协议关系不再存续，医保协议解除后产生的医药费用，医疗保障基金不再结算。定点零售药店有下列情形之一的，经办机构应解除医保协议，并向社会公布解除医保协议的零售药店名单：</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(一)医保协议有效期内累计2次及以上被中止医保协议或中止医保协议期间未按要求整改或整改不到位的;</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(二)发生重大药品质量安全事件的;</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(三)以弄虚作假等不正当手段申请取得定点的;</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(四)以伪造、变造医保药品“进、销、存”票据和账目、伪造处方或参保人员费用清单等方式，骗取医疗保障基金的;</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(五)将非医保药品或其他商品串换成医保药品，倒卖医保药品或套取医疗保障基金的;</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(六)为非定点零售药店、中止医保协议期间的定点零售药店或其他机构进行医保费用结算的;</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(七)将医保结算设备转借或赠与他人，改变使用场地的;</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(八)拒绝、阻挠或不配合经办机构开展智能审核、绩效考核等，情节恶劣的;</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(九)被发现重大信息发生变更但未办理变更的;</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(十)医疗保障行政部门或有关执法机构在行政执法中，发现定点零售药店存在重大违法违规行为且可能造成医疗保障基金重大损失的;</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(十一)被吊销、注销药品经营许可证或营业执照的;</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(十二)未依法履行医疗保障行政部门作出的行政处罚决定的;</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(十三)法定代表人、企业负责人或实际控制人不能履行医保协议约定，或有违法失信行为的;</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十四)因定点零售药店连锁经营企业总部法定代表人、企业负责人或实际控制人违法违规导致连锁零售药店其中一家分支零售药店被解除医保协议的，相同法定代表人、企业负责人或实际控制人的其他分支零售药店同时解除医保协议;</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(十五)定点零售药店主动提出解除医保协议且经经办机构同意的;</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(十六)根据医保协议约定应当解除协议的;</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(十七)法律法规和规章规定的其他应当解除的情形。</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　　第四十一条 定点零售药店主动提出中止医保协议、解除医保协议或不再续签的，应提前3个月向经办机构提出申请。地市级及以上的统筹地区经办机构与定点零售药店中止或解除医保协议，该零售药店在其他统筹区的医保协议也同时中止或解除。</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　　第四十二条 定点零售药店与统筹地区经办机构就医保协议签订、履行、变更和解除发生争议的，可以自行协商解决或者请求同级医疗保障行政部门协调处理，也可提起行政复议或行政诉讼。</w:t>
      </w:r>
    </w:p>
    <w:p>
      <w:pPr>
        <w:widowControl/>
        <w:shd w:val="clear" w:color="auto" w:fill="FFFFFF"/>
        <w:spacing w:line="420" w:lineRule="atLeast"/>
        <w:ind w:left="240" w:right="240"/>
        <w:jc w:val="center"/>
        <w:rPr>
          <w:rFonts w:ascii="微软雅黑" w:hAnsi="微软雅黑" w:eastAsia="微软雅黑" w:cs="宋体"/>
          <w:color w:val="333333"/>
          <w:spacing w:val="8"/>
          <w:kern w:val="0"/>
          <w:sz w:val="26"/>
          <w:szCs w:val="26"/>
        </w:rPr>
      </w:pPr>
      <w:r>
        <w:rPr>
          <w:rFonts w:hint="eastAsia" w:ascii="微软雅黑" w:hAnsi="微软雅黑" w:eastAsia="微软雅黑" w:cs="宋体"/>
          <w:b/>
          <w:bCs/>
          <w:color w:val="3F3F3F"/>
          <w:spacing w:val="8"/>
          <w:kern w:val="0"/>
          <w:sz w:val="23"/>
          <w:szCs w:val="23"/>
        </w:rPr>
        <w:t>第六章 定点零售药店的监督</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　　第四十三条 医疗保障行政部门对定点申请、申请受理、专业评估、协议订立、协议履行和解除等进行监督，对经办机构的内部控制制度建设、医保费用的审核和拨付等进行指导和监督。</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　　医疗保障行政部门依法依规通过实地检查、抽查、智能监控、大数据分析等方式对定点零售药店的医保协议履行情况、医疗保障基金使用情况、药品服务等进行监督。</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　　第四十四条 医疗保障行政部门和经办机构应拓宽监督途径、创新监督方式，通过满意度调查、第三方评价、聘请社会监督员等方式对定点零售药店进行社会监督，畅通举报投诉渠道，及时发现问题并进行处理。</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　　第四十五条 医疗保障行政部门发现定点零售药店存在违约情形的，应当及时责令经办机构按照医保协议处理。定点零售药店违反法律法规规定的，依法依规处理。</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　　第四十六条 经办机构发现违约行为，应当及时按照医保协议处理。</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　　经办机构作出中止或解除医保协议处理时，要及时报告同级医疗保障行政部门。</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　　医疗保障行政部门发现定点零售药店存在违约情形的，应当及时责令经办机构按照医保协议处理，经办机构应当及时按照协议处理。</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　　医疗保障行政部门依法查处违法违规行为时，认为经办机构移交相关违法线索事实不清的，可组织补充调查或要求经办机构补充材料。</w:t>
      </w:r>
    </w:p>
    <w:p>
      <w:pPr>
        <w:widowControl/>
        <w:shd w:val="clear" w:color="auto" w:fill="FFFFFF"/>
        <w:spacing w:line="420" w:lineRule="atLeast"/>
        <w:ind w:left="240" w:right="240"/>
        <w:jc w:val="center"/>
        <w:rPr>
          <w:rFonts w:ascii="微软雅黑" w:hAnsi="微软雅黑" w:eastAsia="微软雅黑" w:cs="宋体"/>
          <w:color w:val="333333"/>
          <w:spacing w:val="8"/>
          <w:kern w:val="0"/>
          <w:sz w:val="26"/>
          <w:szCs w:val="26"/>
        </w:rPr>
      </w:pPr>
      <w:r>
        <w:rPr>
          <w:rFonts w:hint="eastAsia" w:ascii="微软雅黑" w:hAnsi="微软雅黑" w:eastAsia="微软雅黑" w:cs="宋体"/>
          <w:b/>
          <w:bCs/>
          <w:color w:val="3F3F3F"/>
          <w:spacing w:val="8"/>
          <w:kern w:val="0"/>
          <w:sz w:val="23"/>
          <w:szCs w:val="23"/>
        </w:rPr>
        <w:t>第七章 附则</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　　第四十七条 职工基本医疗保险、城乡居民基本医疗保险、生育保险、医疗救助、居民大病保险等医疗保障定点管理工作按照本办法执行。</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　　第四十八条 本办法中的经办机构是具有法定授权，实施医疗保障管理服务的职能机构，是医疗保障经办的主体。</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　　零售药店是符合《中华人民共和国药品管理法》规定，领取药品经营许可证的药品零售企业。</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　　定点零售药店是指自愿与统筹地区经办机构签订医保协议，为参保人员提供药品服务的实体零售药店。</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　　医保协议是指由经办机构与零售药店经协商谈判而签订的，用于规范双方权利、义务及责任等内容的协议。</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　　第四十九条 国务院医疗保障行政部门制作并定期修订医保协议范本，国家医疗保障经办机构制定经办规程并指导各地加强和完善协议管理。地市级及以上的医疗保障行政部门及经办机构在此基础上，可根据实际情况分别细化制定本地区的协议范本及经办规程。协议内容应根据法律、法规、规章和医疗保障政策调整变化相一致，医疗保障行政部门予以调整医保协议内容时，应征求相关定点零售药店意见。</w:t>
      </w:r>
    </w:p>
    <w:p>
      <w:pPr>
        <w:widowControl/>
        <w:shd w:val="clear" w:color="auto" w:fill="FFFFFF"/>
        <w:spacing w:line="420" w:lineRule="atLeast"/>
        <w:ind w:left="240" w:right="24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　　第五十条 本办法由国务院医疗保障行政部门负责解释，自2021年2月1日施行。</w:t>
      </w:r>
    </w:p>
    <w:p>
      <w:pPr>
        <w:widowControl/>
        <w:spacing w:before="100" w:beforeAutospacing="1" w:after="100" w:afterAutospacing="1" w:line="900" w:lineRule="atLeast"/>
        <w:outlineLvl w:val="1"/>
        <w:rPr>
          <w:rFonts w:ascii="微软雅黑" w:hAnsi="微软雅黑" w:eastAsia="微软雅黑" w:cs="宋体"/>
          <w:b/>
          <w:color w:val="333333"/>
          <w:kern w:val="36"/>
          <w:sz w:val="24"/>
          <w:szCs w:val="24"/>
        </w:rPr>
      </w:pPr>
    </w:p>
    <w:p>
      <w:pPr>
        <w:widowControl/>
        <w:spacing w:before="100" w:beforeAutospacing="1" w:after="100" w:afterAutospacing="1" w:line="900" w:lineRule="atLeast"/>
        <w:outlineLvl w:val="1"/>
        <w:rPr>
          <w:rFonts w:ascii="微软雅黑" w:hAnsi="微软雅黑" w:eastAsia="微软雅黑" w:cs="宋体"/>
          <w:b/>
          <w:color w:val="333333"/>
          <w:kern w:val="36"/>
          <w:sz w:val="24"/>
          <w:szCs w:val="24"/>
        </w:rPr>
      </w:pPr>
    </w:p>
    <w:p>
      <w:pPr>
        <w:widowControl/>
        <w:spacing w:before="100" w:beforeAutospacing="1" w:after="100" w:afterAutospacing="1" w:line="900" w:lineRule="atLeast"/>
        <w:outlineLvl w:val="1"/>
        <w:rPr>
          <w:rFonts w:ascii="微软雅黑" w:hAnsi="微软雅黑" w:eastAsia="微软雅黑" w:cs="宋体"/>
          <w:b/>
          <w:color w:val="333333"/>
          <w:kern w:val="36"/>
          <w:sz w:val="24"/>
          <w:szCs w:val="24"/>
        </w:rPr>
      </w:pPr>
    </w:p>
    <w:p>
      <w:pPr>
        <w:widowControl/>
        <w:spacing w:before="100" w:beforeAutospacing="1" w:after="100" w:afterAutospacing="1" w:line="900" w:lineRule="atLeast"/>
        <w:outlineLvl w:val="1"/>
        <w:rPr>
          <w:rFonts w:ascii="微软雅黑" w:hAnsi="微软雅黑" w:eastAsia="微软雅黑" w:cs="宋体"/>
          <w:b/>
          <w:color w:val="333333"/>
          <w:kern w:val="36"/>
          <w:sz w:val="24"/>
          <w:szCs w:val="24"/>
        </w:rPr>
      </w:pPr>
    </w:p>
    <w:p>
      <w:pPr>
        <w:widowControl/>
        <w:spacing w:before="100" w:beforeAutospacing="1" w:after="100" w:afterAutospacing="1" w:line="900" w:lineRule="atLeast"/>
        <w:outlineLvl w:val="1"/>
        <w:rPr>
          <w:rFonts w:ascii="微软雅黑" w:hAnsi="微软雅黑" w:eastAsia="微软雅黑" w:cs="宋体"/>
          <w:b/>
          <w:color w:val="333333"/>
          <w:kern w:val="36"/>
          <w:sz w:val="24"/>
          <w:szCs w:val="24"/>
        </w:rPr>
      </w:pPr>
      <w:r>
        <w:rPr>
          <w:rFonts w:hint="eastAsia" w:ascii="微软雅黑" w:hAnsi="微软雅黑" w:eastAsia="微软雅黑" w:cs="宋体"/>
          <w:b/>
          <w:color w:val="333333"/>
          <w:kern w:val="36"/>
          <w:sz w:val="24"/>
          <w:szCs w:val="24"/>
        </w:rPr>
        <w:t>附件4</w:t>
      </w:r>
    </w:p>
    <w:p>
      <w:pPr>
        <w:widowControl/>
        <w:shd w:val="clear" w:color="auto" w:fill="FFFFFF"/>
        <w:spacing w:after="210"/>
        <w:jc w:val="center"/>
        <w:outlineLvl w:val="1"/>
        <w:rPr>
          <w:rFonts w:ascii="微软雅黑" w:hAnsi="微软雅黑" w:eastAsia="微软雅黑" w:cs="宋体"/>
          <w:b/>
          <w:bCs/>
          <w:color w:val="333333"/>
          <w:spacing w:val="8"/>
          <w:kern w:val="0"/>
          <w:sz w:val="33"/>
          <w:szCs w:val="33"/>
        </w:rPr>
      </w:pPr>
      <w:r>
        <w:rPr>
          <w:rFonts w:hint="eastAsia" w:ascii="微软雅黑" w:hAnsi="微软雅黑" w:eastAsia="微软雅黑" w:cs="宋体"/>
          <w:b/>
          <w:bCs/>
          <w:color w:val="333333"/>
          <w:spacing w:val="8"/>
          <w:kern w:val="0"/>
          <w:sz w:val="33"/>
          <w:szCs w:val="33"/>
        </w:rPr>
        <w:t>戳进来！透视下沉市场</w:t>
      </w:r>
    </w:p>
    <w:p>
      <w:pPr>
        <w:widowControl/>
        <w:shd w:val="clear" w:color="auto" w:fill="FFFFFF"/>
        <w:spacing w:line="300" w:lineRule="atLeast"/>
        <w:jc w:val="left"/>
        <w:rPr>
          <w:rFonts w:ascii="微软雅黑" w:hAnsi="微软雅黑" w:eastAsia="微软雅黑" w:cs="宋体"/>
          <w:b/>
          <w:color w:val="333333"/>
          <w:kern w:val="36"/>
          <w:sz w:val="24"/>
          <w:szCs w:val="24"/>
        </w:rPr>
      </w:pPr>
      <w:r>
        <w:fldChar w:fldCharType="begin"/>
      </w:r>
      <w:r>
        <w:instrText xml:space="preserve"> HYPERLINK "javascript:void(0);" </w:instrText>
      </w:r>
      <w:r>
        <w:fldChar w:fldCharType="separate"/>
      </w:r>
      <w:r>
        <w:rPr>
          <w:rFonts w:hint="eastAsia" w:ascii="微软雅黑" w:hAnsi="微软雅黑" w:eastAsia="微软雅黑" w:cs="宋体"/>
          <w:color w:val="576B95"/>
          <w:spacing w:val="8"/>
          <w:kern w:val="0"/>
          <w:sz w:val="23"/>
          <w:szCs w:val="23"/>
        </w:rPr>
        <w:t>第一药店财智</w:t>
      </w:r>
      <w:r>
        <w:rPr>
          <w:rFonts w:hint="eastAsia" w:ascii="微软雅黑" w:hAnsi="微软雅黑" w:eastAsia="微软雅黑" w:cs="宋体"/>
          <w:color w:val="576B95"/>
          <w:spacing w:val="8"/>
          <w:kern w:val="0"/>
          <w:sz w:val="23"/>
          <w:szCs w:val="23"/>
        </w:rPr>
        <w:fldChar w:fldCharType="end"/>
      </w:r>
      <w:r>
        <w:rPr>
          <w:rFonts w:hint="eastAsia" w:ascii="微软雅黑" w:hAnsi="微软雅黑" w:eastAsia="微软雅黑" w:cs="宋体"/>
          <w:color w:val="333333"/>
          <w:spacing w:val="8"/>
          <w:kern w:val="0"/>
          <w:sz w:val="2"/>
          <w:szCs w:val="2"/>
        </w:rPr>
        <w:t> </w:t>
      </w:r>
      <w:r>
        <w:rPr>
          <w:rFonts w:hint="eastAsia" w:ascii="微软雅黑" w:hAnsi="微软雅黑" w:eastAsia="微软雅黑" w:cs="宋体"/>
          <w:color w:val="333333"/>
          <w:spacing w:val="8"/>
          <w:kern w:val="0"/>
          <w:sz w:val="23"/>
          <w:szCs w:val="23"/>
        </w:rPr>
        <w:t>2021-01-15</w:t>
      </w:r>
    </w:p>
    <w:p>
      <w:pPr>
        <w:widowControl/>
        <w:spacing w:before="100" w:beforeAutospacing="1" w:after="100" w:afterAutospacing="1" w:line="900" w:lineRule="atLeast"/>
        <w:outlineLvl w:val="1"/>
        <w:rPr>
          <w:rFonts w:ascii="微软雅黑" w:hAnsi="微软雅黑" w:eastAsia="微软雅黑" w:cs="宋体"/>
          <w:b/>
          <w:color w:val="333333"/>
          <w:kern w:val="36"/>
          <w:sz w:val="24"/>
          <w:szCs w:val="24"/>
        </w:rPr>
      </w:pPr>
      <w:r>
        <w:drawing>
          <wp:inline distT="0" distB="0" distL="0" distR="0">
            <wp:extent cx="5143500" cy="8724900"/>
            <wp:effectExtent l="0" t="0" r="0" b="0"/>
            <wp:docPr id="2" name="图片 2" descr="C:\Users\Administrator\Documents\WeChat Files\wxid_a5rdjkvbm5nr22\FileStorage\Temp\6b851f7783ed9d7fb4ecb13b5df503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ocuments\WeChat Files\wxid_a5rdjkvbm5nr22\FileStorage\Temp\6b851f7783ed9d7fb4ecb13b5df5032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143500" cy="8724900"/>
                    </a:xfrm>
                    <a:prstGeom prst="rect">
                      <a:avLst/>
                    </a:prstGeom>
                    <a:noFill/>
                    <a:ln>
                      <a:noFill/>
                    </a:ln>
                  </pic:spPr>
                </pic:pic>
              </a:graphicData>
            </a:graphic>
          </wp:inline>
        </w:drawing>
      </w:r>
    </w:p>
    <w:p>
      <w:pPr>
        <w:widowControl/>
        <w:spacing w:before="100" w:beforeAutospacing="1" w:after="100" w:afterAutospacing="1" w:line="900" w:lineRule="atLeast"/>
        <w:outlineLvl w:val="1"/>
        <w:rPr>
          <w:rFonts w:ascii="微软雅黑" w:hAnsi="微软雅黑" w:eastAsia="微软雅黑" w:cs="宋体"/>
          <w:b/>
          <w:color w:val="333333"/>
          <w:kern w:val="36"/>
          <w:sz w:val="24"/>
          <w:szCs w:val="24"/>
        </w:rPr>
      </w:pPr>
      <w:r>
        <w:drawing>
          <wp:inline distT="0" distB="0" distL="0" distR="0">
            <wp:extent cx="5143500" cy="8810625"/>
            <wp:effectExtent l="0" t="0" r="0" b="9525"/>
            <wp:docPr id="40" name="图片 40" descr="C:\Users\Administrator\Documents\WeChat Files\wxid_a5rdjkvbm5nr22\FileStorage\Temp\1d6380e74210eb6a6df55ec5aaaa63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Administrator\Documents\WeChat Files\wxid_a5rdjkvbm5nr22\FileStorage\Temp\1d6380e74210eb6a6df55ec5aaaa63ff.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143500" cy="8810625"/>
                    </a:xfrm>
                    <a:prstGeom prst="rect">
                      <a:avLst/>
                    </a:prstGeom>
                    <a:noFill/>
                    <a:ln>
                      <a:noFill/>
                    </a:ln>
                  </pic:spPr>
                </pic:pic>
              </a:graphicData>
            </a:graphic>
          </wp:inline>
        </w:drawing>
      </w:r>
    </w:p>
    <w:p>
      <w:pPr>
        <w:widowControl/>
        <w:spacing w:before="100" w:beforeAutospacing="1" w:after="100" w:afterAutospacing="1" w:line="900" w:lineRule="atLeast"/>
        <w:outlineLvl w:val="1"/>
        <w:rPr>
          <w:rFonts w:ascii="微软雅黑" w:hAnsi="微软雅黑" w:eastAsia="微软雅黑" w:cs="宋体"/>
          <w:b/>
          <w:color w:val="333333"/>
          <w:kern w:val="36"/>
          <w:sz w:val="24"/>
          <w:szCs w:val="24"/>
        </w:rPr>
      </w:pPr>
      <w:r>
        <w:rPr>
          <w:rFonts w:hint="eastAsia" w:ascii="微软雅黑" w:hAnsi="微软雅黑" w:eastAsia="微软雅黑" w:cs="宋体"/>
          <w:b/>
          <w:color w:val="333333"/>
          <w:kern w:val="36"/>
          <w:sz w:val="24"/>
          <w:szCs w:val="24"/>
        </w:rPr>
        <w:t>附件5</w:t>
      </w:r>
    </w:p>
    <w:p>
      <w:pPr>
        <w:widowControl/>
        <w:shd w:val="clear" w:color="auto" w:fill="FFFFFF"/>
        <w:spacing w:after="210"/>
        <w:jc w:val="center"/>
        <w:outlineLvl w:val="1"/>
        <w:rPr>
          <w:rFonts w:ascii="微软雅黑" w:hAnsi="微软雅黑" w:eastAsia="微软雅黑" w:cs="宋体"/>
          <w:b/>
          <w:bCs/>
          <w:color w:val="333333"/>
          <w:spacing w:val="8"/>
          <w:kern w:val="0"/>
          <w:sz w:val="33"/>
          <w:szCs w:val="33"/>
        </w:rPr>
      </w:pPr>
      <w:r>
        <w:rPr>
          <w:rFonts w:hint="eastAsia" w:ascii="微软雅黑" w:hAnsi="微软雅黑" w:eastAsia="微软雅黑" w:cs="宋体"/>
          <w:b/>
          <w:bCs/>
          <w:color w:val="333333"/>
          <w:spacing w:val="8"/>
          <w:kern w:val="0"/>
          <w:sz w:val="33"/>
          <w:szCs w:val="33"/>
        </w:rPr>
        <w:t>市场可期！破解慢病管理“落地难”的方法有了</w:t>
      </w:r>
    </w:p>
    <w:p>
      <w:pPr>
        <w:widowControl/>
        <w:shd w:val="clear" w:color="auto" w:fill="FFFFFF"/>
        <w:spacing w:line="300" w:lineRule="atLeast"/>
        <w:jc w:val="left"/>
        <w:rPr>
          <w:rFonts w:ascii="微软雅黑" w:hAnsi="微软雅黑" w:eastAsia="微软雅黑" w:cs="宋体"/>
          <w:color w:val="333333"/>
          <w:spacing w:val="8"/>
          <w:kern w:val="0"/>
          <w:sz w:val="2"/>
          <w:szCs w:val="2"/>
        </w:rPr>
      </w:pPr>
      <w:r>
        <w:rPr>
          <w:rFonts w:hint="eastAsia" w:ascii="微软雅黑" w:hAnsi="微软雅黑" w:eastAsia="微软雅黑" w:cs="宋体"/>
          <w:color w:val="333333"/>
          <w:spacing w:val="8"/>
          <w:kern w:val="0"/>
          <w:sz w:val="18"/>
          <w:szCs w:val="18"/>
          <w:shd w:val="clear" w:color="auto" w:fill="F2F2F2"/>
        </w:rPr>
        <w:t>原创</w:t>
      </w:r>
      <w:r>
        <w:rPr>
          <w:rFonts w:hint="eastAsia" w:ascii="微软雅黑" w:hAnsi="微软雅黑" w:eastAsia="微软雅黑" w:cs="宋体"/>
          <w:color w:val="333333"/>
          <w:spacing w:val="8"/>
          <w:kern w:val="0"/>
          <w:sz w:val="2"/>
          <w:szCs w:val="2"/>
        </w:rPr>
        <w:t> </w:t>
      </w:r>
      <w:r>
        <w:rPr>
          <w:rFonts w:hint="eastAsia" w:ascii="微软雅黑" w:hAnsi="微软雅黑" w:eastAsia="微软雅黑" w:cs="宋体"/>
          <w:color w:val="333333"/>
          <w:spacing w:val="8"/>
          <w:kern w:val="0"/>
          <w:sz w:val="23"/>
          <w:szCs w:val="23"/>
        </w:rPr>
        <w:t>采编中心</w:t>
      </w:r>
      <w:r>
        <w:rPr>
          <w:rFonts w:hint="eastAsia" w:ascii="微软雅黑" w:hAnsi="微软雅黑" w:eastAsia="微软雅黑" w:cs="宋体"/>
          <w:color w:val="333333"/>
          <w:spacing w:val="8"/>
          <w:kern w:val="0"/>
          <w:sz w:val="2"/>
          <w:szCs w:val="2"/>
        </w:rPr>
        <w:t> </w:t>
      </w:r>
      <w:r>
        <w:fldChar w:fldCharType="begin"/>
      </w:r>
      <w:r>
        <w:instrText xml:space="preserve"> HYPERLINK "javascript:void(0);" </w:instrText>
      </w:r>
      <w:r>
        <w:fldChar w:fldCharType="separate"/>
      </w:r>
      <w:r>
        <w:rPr>
          <w:rFonts w:hint="eastAsia" w:ascii="微软雅黑" w:hAnsi="微软雅黑" w:eastAsia="微软雅黑" w:cs="宋体"/>
          <w:color w:val="576B95"/>
          <w:spacing w:val="8"/>
          <w:kern w:val="0"/>
          <w:sz w:val="23"/>
          <w:szCs w:val="23"/>
        </w:rPr>
        <w:t>21世纪药店</w:t>
      </w:r>
      <w:r>
        <w:rPr>
          <w:rFonts w:hint="eastAsia" w:ascii="微软雅黑" w:hAnsi="微软雅黑" w:eastAsia="微软雅黑" w:cs="宋体"/>
          <w:color w:val="576B95"/>
          <w:spacing w:val="8"/>
          <w:kern w:val="0"/>
          <w:sz w:val="23"/>
          <w:szCs w:val="23"/>
        </w:rPr>
        <w:fldChar w:fldCharType="end"/>
      </w:r>
      <w:r>
        <w:rPr>
          <w:rFonts w:hint="eastAsia" w:ascii="微软雅黑" w:hAnsi="微软雅黑" w:eastAsia="微软雅黑" w:cs="宋体"/>
          <w:color w:val="333333"/>
          <w:spacing w:val="8"/>
          <w:kern w:val="0"/>
          <w:sz w:val="2"/>
          <w:szCs w:val="2"/>
        </w:rPr>
        <w:t> </w:t>
      </w:r>
      <w:r>
        <w:rPr>
          <w:rFonts w:hint="eastAsia" w:ascii="微软雅黑" w:hAnsi="微软雅黑" w:eastAsia="微软雅黑" w:cs="宋体"/>
          <w:color w:val="333333"/>
          <w:spacing w:val="8"/>
          <w:kern w:val="0"/>
          <w:sz w:val="23"/>
          <w:szCs w:val="23"/>
        </w:rPr>
        <w:t>1月7日</w:t>
      </w:r>
    </w:p>
    <w:p>
      <w:pPr>
        <w:widowControl/>
        <w:shd w:val="clear" w:color="auto" w:fill="FFFFFF"/>
        <w:spacing w:line="420" w:lineRule="atLeast"/>
        <w:ind w:left="225" w:right="225" w:firstLine="492" w:firstLineChars="20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六大慢性病纳入医保范围、增加慢性病医保定点药店……一系列利好药店慢病管理的新政，使药店慢病管理的重要性显得更加突出！但一直以来，大部分药店的慢病管理都流于形式，2021药店该如何实现有效突破呢？</w:t>
      </w:r>
    </w:p>
    <w:p>
      <w:pPr>
        <w:widowControl/>
        <w:shd w:val="clear" w:color="auto" w:fill="FFFFFF"/>
        <w:ind w:left="225" w:right="225"/>
        <w:jc w:val="center"/>
        <w:rPr>
          <w:rFonts w:ascii="微软雅黑" w:hAnsi="微软雅黑" w:eastAsia="微软雅黑" w:cs="宋体"/>
          <w:color w:val="333333"/>
          <w:spacing w:val="8"/>
          <w:kern w:val="0"/>
          <w:sz w:val="26"/>
          <w:szCs w:val="26"/>
        </w:rPr>
      </w:pPr>
      <w:r>
        <w:rPr>
          <w:rFonts w:hint="eastAsia" w:ascii="微软雅黑" w:hAnsi="微软雅黑" w:eastAsia="微软雅黑" w:cs="宋体"/>
          <w:b/>
          <w:bCs/>
          <w:color w:val="3F3F3F"/>
          <w:spacing w:val="8"/>
          <w:kern w:val="0"/>
          <w:sz w:val="26"/>
          <w:szCs w:val="26"/>
        </w:rPr>
        <w:t>发力慢病管理</w:t>
      </w:r>
    </w:p>
    <w:p>
      <w:pPr>
        <w:widowControl/>
        <w:shd w:val="clear" w:color="auto" w:fill="FFFFFF"/>
        <w:ind w:left="225" w:right="225"/>
        <w:jc w:val="center"/>
        <w:rPr>
          <w:rFonts w:ascii="微软雅黑" w:hAnsi="微软雅黑" w:eastAsia="微软雅黑" w:cs="宋体"/>
          <w:color w:val="333333"/>
          <w:spacing w:val="8"/>
          <w:kern w:val="0"/>
          <w:sz w:val="26"/>
          <w:szCs w:val="26"/>
        </w:rPr>
      </w:pPr>
      <w:r>
        <w:rPr>
          <w:rFonts w:hint="eastAsia" w:ascii="微软雅黑" w:hAnsi="微软雅黑" w:eastAsia="微软雅黑" w:cs="宋体"/>
          <w:b/>
          <w:bCs/>
          <w:color w:val="3F3F3F"/>
          <w:spacing w:val="8"/>
          <w:kern w:val="0"/>
          <w:sz w:val="23"/>
          <w:szCs w:val="23"/>
        </w:rPr>
        <w:t>2020慢病市场出现新变化</w:t>
      </w:r>
    </w:p>
    <w:p>
      <w:pPr>
        <w:widowControl/>
        <w:shd w:val="clear" w:color="auto" w:fill="FFFFFF"/>
        <w:spacing w:line="420" w:lineRule="atLeast"/>
        <w:ind w:left="225" w:right="225" w:firstLine="492" w:firstLineChars="20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越来越多的业内专家取得共识：现在是药店推行慢病管理的最佳时机，也是药店向以患者为中心、以专业为中心转变的最佳时机。</w:t>
      </w:r>
    </w:p>
    <w:p>
      <w:pPr>
        <w:widowControl/>
        <w:shd w:val="clear" w:color="auto" w:fill="FFFFFF"/>
        <w:spacing w:line="420" w:lineRule="atLeast"/>
        <w:ind w:left="225" w:right="225" w:firstLine="492" w:firstLineChars="20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过去一年，药店运营成本持续上升，高毛模式逐渐走向式微，药店必须寻找新的出路，慢病管理恰恰是其中一个突破口。</w:t>
      </w:r>
      <w:r>
        <w:rPr>
          <w:rFonts w:hint="eastAsia" w:ascii="微软雅黑" w:hAnsi="微软雅黑" w:eastAsia="微软雅黑" w:cs="宋体"/>
          <w:color w:val="0080FF"/>
          <w:spacing w:val="8"/>
          <w:kern w:val="0"/>
          <w:sz w:val="23"/>
          <w:szCs w:val="23"/>
        </w:rPr>
        <w:t>一是受疫情的催化，以“慢病用药”为核心承接医院处方外流红利成为大家的共识；二是慢病已成为我国居民健康的头号杀手，并呈年轻化趋势，慢病管理越来越受到老百姓的认同；三是疫情期间，慢病品类同比获得较大增长，零售终端的销售重心也从常见病用药向重病、慢病用药转移。</w:t>
      </w:r>
    </w:p>
    <w:p>
      <w:pPr>
        <w:widowControl/>
        <w:shd w:val="clear" w:color="auto" w:fill="FFFFFF"/>
        <w:spacing w:line="420" w:lineRule="atLeast"/>
        <w:ind w:left="225" w:right="225" w:firstLine="492" w:firstLineChars="20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据米内数据显示，2019年中国城市实体药店降压、降糖、降脂及其他心脑血管等慢病用药销售规模达421亿元，占药品销售17.2%的市场份额，2020年可望达到438亿元。从销售规模看，降压药＞其他心脑血管用药＞降糖药＞降脂药；从成长性来看，化学药好于中成药；从消费者关联购买的情况看，4个品类都有相关性。</w:t>
      </w:r>
    </w:p>
    <w:p>
      <w:pPr>
        <w:widowControl/>
        <w:shd w:val="clear" w:color="auto" w:fill="FFFFFF"/>
        <w:rPr>
          <w:rFonts w:ascii="微软雅黑" w:hAnsi="微软雅黑" w:eastAsia="微软雅黑" w:cs="宋体"/>
          <w:color w:val="333333"/>
          <w:spacing w:val="8"/>
          <w:kern w:val="0"/>
          <w:sz w:val="26"/>
          <w:szCs w:val="26"/>
        </w:rPr>
      </w:pPr>
    </w:p>
    <w:p>
      <w:pPr>
        <w:widowControl/>
        <w:shd w:val="clear" w:color="auto" w:fill="FFFFFF"/>
        <w:spacing w:line="420" w:lineRule="atLeast"/>
        <w:ind w:left="225" w:right="225" w:firstLine="492" w:firstLineChars="20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在2020全国医药经济信息发布会暨米房会年会举行期间，米内网零售中心总监林赟具体分析到，在降压药市场，受疫情影响，2020年降压药的涨幅有所反弹，前三季度相同药店降压化学药增长了4.7%，随着冬季的到来，降压用药市场仍会持续增长。糖尿病用药市场，2020年整个市场增长不高，原因与国家集采品种降价有一定关联；非胰岛素类降糖药占据65%的市场，品牌相对集中；相对而言，糖尿病中成药受疫情的影响较大。降脂药市场方面，不管是化药还是中成药品牌集中度均较高，前20品种已接近95%的市场，中西药均比2019年前三季度同期有所增长。其他心脑血管药方面，中成药占绝对主导地位，但化学药的增幅要好于中成药，相对而言，其他心脑血管药的市场比较分散，血塞通软胶囊则表现突出，近两年增速迅猛。</w:t>
      </w:r>
    </w:p>
    <w:p>
      <w:pPr>
        <w:widowControl/>
        <w:shd w:val="clear" w:color="auto" w:fill="FFFFFF"/>
        <w:ind w:left="225" w:right="225"/>
        <w:jc w:val="center"/>
        <w:rPr>
          <w:rFonts w:ascii="微软雅黑" w:hAnsi="微软雅黑" w:eastAsia="微软雅黑" w:cs="宋体"/>
          <w:color w:val="333333"/>
          <w:spacing w:val="8"/>
          <w:kern w:val="0"/>
          <w:sz w:val="26"/>
          <w:szCs w:val="26"/>
        </w:rPr>
      </w:pPr>
      <w:r>
        <w:rPr>
          <w:rFonts w:hint="eastAsia" w:ascii="微软雅黑" w:hAnsi="微软雅黑" w:eastAsia="微软雅黑" w:cs="宋体"/>
          <w:b/>
          <w:bCs/>
          <w:color w:val="3F3F3F"/>
          <w:spacing w:val="8"/>
          <w:kern w:val="0"/>
          <w:sz w:val="23"/>
          <w:szCs w:val="23"/>
        </w:rPr>
        <w:t>落地前后讲究多</w:t>
      </w:r>
    </w:p>
    <w:p>
      <w:pPr>
        <w:widowControl/>
        <w:shd w:val="clear" w:color="auto" w:fill="FFFFFF"/>
        <w:ind w:left="225" w:right="225"/>
        <w:jc w:val="center"/>
        <w:rPr>
          <w:rFonts w:ascii="微软雅黑" w:hAnsi="微软雅黑" w:eastAsia="微软雅黑" w:cs="宋体"/>
          <w:color w:val="333333"/>
          <w:spacing w:val="8"/>
          <w:kern w:val="0"/>
          <w:sz w:val="26"/>
          <w:szCs w:val="26"/>
        </w:rPr>
      </w:pPr>
      <w:r>
        <w:rPr>
          <w:rFonts w:hint="eastAsia" w:ascii="微软雅黑" w:hAnsi="微软雅黑" w:eastAsia="微软雅黑" w:cs="宋体"/>
          <w:b/>
          <w:bCs/>
          <w:color w:val="3F3F3F"/>
          <w:spacing w:val="8"/>
          <w:kern w:val="0"/>
          <w:sz w:val="23"/>
          <w:szCs w:val="23"/>
        </w:rPr>
        <w:t>慢病管理不是产品销售</w:t>
      </w:r>
    </w:p>
    <w:p>
      <w:pPr>
        <w:widowControl/>
        <w:shd w:val="clear" w:color="auto" w:fill="FFFFFF"/>
        <w:spacing w:line="420" w:lineRule="atLeast"/>
        <w:ind w:left="225" w:right="225" w:firstLine="492" w:firstLineChars="20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目前，大部分药店在服务流程、系统建设、落地服务方面存在问题，很多人将慢病管理简单地理解为一般的产品操作和产品群推广，不仅浪费了时间、资源和人力，且效果不理想。如何找到突破口呢？ </w:t>
      </w:r>
    </w:p>
    <w:p>
      <w:pPr>
        <w:widowControl/>
        <w:shd w:val="clear" w:color="auto" w:fill="FFFFFF"/>
        <w:spacing w:line="420" w:lineRule="atLeast"/>
        <w:ind w:left="225" w:right="225" w:firstLine="492" w:firstLineChars="20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卡思普蒙总经理温益博认为，想做好慢病管理，首先要征服处方患者，做好专业药学服务，流程分三步：一是快速拿药（150秒20种药品）；二是专业的药嘱；三是联合配伍（最具生产力的一个步骤）。只有做好专业的药学服务流程与常见病速诊和联合用药的结合，才能保证会员管理、慢病管理的有效性。</w:t>
      </w:r>
    </w:p>
    <w:p>
      <w:pPr>
        <w:widowControl/>
        <w:shd w:val="clear" w:color="auto" w:fill="FFFFFF"/>
        <w:spacing w:line="420" w:lineRule="atLeast"/>
        <w:ind w:left="225" w:right="225" w:firstLine="492" w:firstLineChars="200"/>
        <w:rPr>
          <w:rFonts w:ascii="微软雅黑" w:hAnsi="微软雅黑" w:eastAsia="微软雅黑" w:cs="宋体"/>
          <w:color w:val="333333"/>
          <w:spacing w:val="8"/>
          <w:kern w:val="0"/>
          <w:sz w:val="26"/>
          <w:szCs w:val="26"/>
        </w:rPr>
      </w:pPr>
      <w:r>
        <w:rPr>
          <w:rFonts w:hint="eastAsia" w:ascii="微软雅黑" w:hAnsi="微软雅黑" w:eastAsia="微软雅黑" w:cs="宋体"/>
          <w:color w:val="0080FF"/>
          <w:spacing w:val="8"/>
          <w:kern w:val="0"/>
          <w:sz w:val="23"/>
          <w:szCs w:val="23"/>
        </w:rPr>
        <w:t>在华人健康药店商学院执行院长郑重看来，慢病服务的本质是提升服务力与专业力，业绩应该是服务力与专业力的附属品，必须充分发挥系统的作用。</w:t>
      </w:r>
      <w:r>
        <w:rPr>
          <w:rFonts w:hint="eastAsia" w:ascii="微软雅黑" w:hAnsi="微软雅黑" w:eastAsia="微软雅黑" w:cs="宋体"/>
          <w:color w:val="3F3F3F"/>
          <w:spacing w:val="8"/>
          <w:kern w:val="0"/>
          <w:sz w:val="23"/>
          <w:szCs w:val="23"/>
        </w:rPr>
        <w:t>“软件系统的开发要以顾客需求为中心，而非从销售的角度设计功能。药店可通过自研、引进等方式，借助信息化技术工具，实现个性化会员服务、社群营销、用药建议自动推送等服务模块。”</w:t>
      </w:r>
    </w:p>
    <w:p>
      <w:pPr>
        <w:widowControl/>
        <w:shd w:val="clear" w:color="auto" w:fill="FFFFFF"/>
        <w:spacing w:line="420" w:lineRule="atLeast"/>
        <w:ind w:left="225" w:right="225" w:firstLine="492" w:firstLineChars="20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石家庄市华新药业有限责任公司力高欣项目总监许泽昕也曾在公开场合表示，慢病管理不是产品销售，而是会员的全过程管理，产品销售只不过是慢病管理的开始。慢病管理要升级和优化，关键是落地，同时借助一些智能工具，不断更新慢病会员数据，提高慢病管理的高效化和精细化。“慢病管理取决于药店的服务能力，服务能力有多强，慢病管理的辐射范围就有多广。” 许泽昕说。</w:t>
      </w:r>
    </w:p>
    <w:p>
      <w:pPr>
        <w:widowControl/>
        <w:shd w:val="clear" w:color="auto" w:fill="FFFFFF"/>
        <w:spacing w:line="420" w:lineRule="atLeast"/>
        <w:ind w:right="225" w:firstLine="492" w:firstLineChars="20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湘麓医药学校校长易军则认为，“专业”并不是慢病管理的瓶颈，关键的问题在老板身上，导致体系落不了地，“不少药店表面上重视，但骨子里却没有真正认识到慢病管理服务的重要性。”易军建议，如果药店要启动慢病管理服务，</w:t>
      </w:r>
      <w:r>
        <w:rPr>
          <w:rFonts w:hint="eastAsia" w:ascii="微软雅黑" w:hAnsi="微软雅黑" w:eastAsia="微软雅黑" w:cs="宋体"/>
          <w:color w:val="0080FF"/>
          <w:spacing w:val="8"/>
          <w:kern w:val="0"/>
          <w:sz w:val="23"/>
          <w:szCs w:val="23"/>
        </w:rPr>
        <w:t>一定要借助外力。路径有3点：一是老板亲自挂帅，至少是管营运的负责人；二是不要贪多做过多的病种，少量试点，树“明星”；三是积累经验，成熟后才去推广。</w:t>
      </w:r>
    </w:p>
    <w:p>
      <w:pPr>
        <w:widowControl/>
        <w:shd w:val="clear" w:color="auto" w:fill="FFFFFF"/>
        <w:ind w:left="225" w:right="225"/>
        <w:jc w:val="center"/>
        <w:rPr>
          <w:rFonts w:ascii="微软雅黑" w:hAnsi="微软雅黑" w:eastAsia="微软雅黑" w:cs="宋体"/>
          <w:color w:val="333333"/>
          <w:spacing w:val="8"/>
          <w:kern w:val="0"/>
          <w:sz w:val="26"/>
          <w:szCs w:val="26"/>
        </w:rPr>
      </w:pPr>
      <w:r>
        <w:rPr>
          <w:rFonts w:hint="eastAsia" w:ascii="微软雅黑" w:hAnsi="微软雅黑" w:eastAsia="微软雅黑" w:cs="宋体"/>
          <w:b/>
          <w:bCs/>
          <w:color w:val="3F3F3F"/>
          <w:spacing w:val="8"/>
          <w:kern w:val="0"/>
          <w:sz w:val="23"/>
          <w:szCs w:val="23"/>
        </w:rPr>
        <w:t>做慢病关键是要“忍”</w:t>
      </w:r>
    </w:p>
    <w:p>
      <w:pPr>
        <w:widowControl/>
        <w:shd w:val="clear" w:color="auto" w:fill="FFFFFF"/>
        <w:ind w:left="225" w:right="225"/>
        <w:jc w:val="center"/>
        <w:rPr>
          <w:rFonts w:ascii="微软雅黑" w:hAnsi="微软雅黑" w:eastAsia="微软雅黑" w:cs="宋体"/>
          <w:color w:val="333333"/>
          <w:spacing w:val="8"/>
          <w:kern w:val="0"/>
          <w:sz w:val="26"/>
          <w:szCs w:val="26"/>
        </w:rPr>
      </w:pPr>
      <w:r>
        <w:rPr>
          <w:rFonts w:hint="eastAsia" w:ascii="微软雅黑" w:hAnsi="微软雅黑" w:eastAsia="微软雅黑" w:cs="宋体"/>
          <w:b/>
          <w:bCs/>
          <w:color w:val="3F3F3F"/>
          <w:spacing w:val="8"/>
          <w:kern w:val="0"/>
          <w:sz w:val="23"/>
          <w:szCs w:val="23"/>
        </w:rPr>
        <w:t>寻找外部支持携手同行</w:t>
      </w:r>
    </w:p>
    <w:p>
      <w:pPr>
        <w:widowControl/>
        <w:shd w:val="clear" w:color="auto" w:fill="FFFFFF"/>
        <w:spacing w:line="420" w:lineRule="atLeast"/>
        <w:ind w:left="225" w:right="225" w:firstLine="492" w:firstLineChars="20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慢病管理是一个慢工出细活的工程，必须慢慢来、沉下去，才能初见成效。同时也是一个社会的系统工程，需要多部门的共同努力和配合，比如工商之间的协作。</w:t>
      </w:r>
    </w:p>
    <w:p>
      <w:pPr>
        <w:widowControl/>
        <w:shd w:val="clear" w:color="auto" w:fill="FFFFFF"/>
        <w:rPr>
          <w:rFonts w:ascii="微软雅黑" w:hAnsi="微软雅黑" w:eastAsia="微软雅黑" w:cs="宋体"/>
          <w:color w:val="333333"/>
          <w:spacing w:val="8"/>
          <w:kern w:val="0"/>
          <w:sz w:val="26"/>
          <w:szCs w:val="26"/>
        </w:rPr>
      </w:pPr>
    </w:p>
    <w:p>
      <w:pPr>
        <w:widowControl/>
        <w:shd w:val="clear" w:color="auto" w:fill="FFFFFF"/>
        <w:spacing w:line="420" w:lineRule="atLeast"/>
        <w:ind w:left="225" w:right="225"/>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有实力的品牌工业，往往拥有丰富的医学资源、有优势的品种和服务，可以给药店在医生资源、体系搭建等方面带来极大的帮助。天地恒一制药股份有限公司副总经理谷莉表示，当下是零售药房全面发力慢病管理的好时机，通过慢病管理将药店从价格服务时代转型升级到价值服务时代。零售药房作为慢病管理载体，应进一步发扬覆盖范围广、提供支付接口、服务力量、客流量大的优势。</w:t>
      </w:r>
    </w:p>
    <w:p>
      <w:pPr>
        <w:widowControl/>
        <w:shd w:val="clear" w:color="auto" w:fill="FFFFFF"/>
        <w:spacing w:line="420" w:lineRule="atLeast"/>
        <w:ind w:left="225" w:right="225" w:firstLine="492" w:firstLineChars="20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广东众生药业股份副总裁刘霜认为，未来单店会是慢病的蓝海市场。工业可以做的，就是争取不掉队，不一定要给大连锁“锦上添花”，给中小连锁“雪中送炭”也是一种选择。</w:t>
      </w:r>
    </w:p>
    <w:p>
      <w:pPr>
        <w:widowControl/>
        <w:shd w:val="clear" w:color="auto" w:fill="FFFFFF"/>
        <w:spacing w:line="420" w:lineRule="atLeast"/>
        <w:ind w:left="225" w:right="225" w:firstLine="492" w:firstLineChars="20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目前，很多药店都在慢病管理板块做了尝试与探索，有的已经小有成效，有的还在摸着石头过河，但坚持探索、向专业回归是大家的共识。贵州省健一生药业连锁做慢病管理已经有3年时间，“3年坚持下来，我们还是有收获的，无论是慢病会员的交易次数还是有专员辅助的门店，销售均比一般的门店有增长。” 董事长周康生说，做慢病一定要坚持，把50岁以上的顾客牢牢抓住，持之以恒才能产生好的效果。</w:t>
      </w:r>
    </w:p>
    <w:p>
      <w:pPr>
        <w:widowControl/>
        <w:shd w:val="clear" w:color="auto" w:fill="FFFFFF"/>
        <w:spacing w:line="420" w:lineRule="atLeast"/>
        <w:ind w:left="225" w:right="225" w:firstLine="492" w:firstLineChars="20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陕西众信医药超市连锁股份董事长乔元辉则坦言，目前众信的慢病管理做得比较一般，只做了糖尿病的慢病服务。</w:t>
      </w:r>
      <w:r>
        <w:rPr>
          <w:rFonts w:hint="eastAsia" w:ascii="微软雅黑" w:hAnsi="微软雅黑" w:eastAsia="微软雅黑" w:cs="宋体"/>
          <w:color w:val="0080FF"/>
          <w:spacing w:val="8"/>
          <w:kern w:val="0"/>
          <w:sz w:val="23"/>
          <w:szCs w:val="23"/>
        </w:rPr>
        <w:t>对于未来，他认为药店始终要保持开放、学习的心态，要多做调研了解患者需求，坚持探索，借助科技工具，对不同的慢病情况采取不同的管理方法。</w:t>
      </w:r>
    </w:p>
    <w:p>
      <w:pPr>
        <w:widowControl/>
        <w:shd w:val="clear" w:color="auto" w:fill="FFFFFF"/>
        <w:spacing w:line="420" w:lineRule="atLeast"/>
        <w:ind w:left="225" w:right="225" w:firstLine="492" w:firstLineChars="20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谈到慢病服务的落地路径，湘麓医药学校董事朱绮瑶提醒想开展慢病服务的药店，首先要考虑清楚企业的资源、精力、人力等是否足够，即使条件具备，还要清楚明白如何动手，一旦决定做就不要轻易放弃。朱绮瑶给出了三大核心路径：</w:t>
      </w:r>
      <w:r>
        <w:rPr>
          <w:rFonts w:hint="eastAsia" w:ascii="微软雅黑" w:hAnsi="微软雅黑" w:eastAsia="微软雅黑" w:cs="宋体"/>
          <w:color w:val="0080FF"/>
          <w:spacing w:val="8"/>
          <w:kern w:val="0"/>
          <w:sz w:val="23"/>
          <w:szCs w:val="23"/>
        </w:rPr>
        <w:t>（1）专业人员培养路径。包括专业体系设计、专业人才培养等；（2）会员服务路径。建立连接、提高信任与依从性、实现价值；（3）项目推动落地路径。包括管理理念、组织管理机构、推动绩效体系等。</w:t>
      </w:r>
    </w:p>
    <w:p>
      <w:pPr>
        <w:widowControl/>
        <w:shd w:val="clear" w:color="auto" w:fill="FFFFFF"/>
        <w:spacing w:line="420" w:lineRule="atLeast"/>
        <w:ind w:left="225" w:right="225" w:firstLine="492" w:firstLineChars="200"/>
        <w:rPr>
          <w:rFonts w:ascii="微软雅黑" w:hAnsi="微软雅黑" w:eastAsia="微软雅黑" w:cs="宋体"/>
          <w:color w:val="333333"/>
          <w:spacing w:val="8"/>
          <w:kern w:val="0"/>
          <w:sz w:val="26"/>
          <w:szCs w:val="26"/>
        </w:rPr>
      </w:pPr>
      <w:r>
        <w:rPr>
          <w:rFonts w:hint="eastAsia" w:ascii="微软雅黑" w:hAnsi="微软雅黑" w:eastAsia="微软雅黑" w:cs="宋体"/>
          <w:color w:val="3F3F3F"/>
          <w:spacing w:val="8"/>
          <w:kern w:val="0"/>
          <w:sz w:val="23"/>
          <w:szCs w:val="23"/>
        </w:rPr>
        <w:t>“做慢病最关键就是‘忍’”，贵州一品药业连锁有限公司董事长夏江说，开展慢病管理前，首先要先把专业和团队建设好，当人员和团队足够专业的时候，一切都是水到渠成。</w:t>
      </w:r>
    </w:p>
    <w:p/>
    <w:p>
      <w:pPr>
        <w:widowControl/>
        <w:spacing w:after="210"/>
        <w:jc w:val="left"/>
        <w:outlineLvl w:val="1"/>
        <w:rPr>
          <w:rFonts w:ascii="微软雅黑" w:hAnsi="微软雅黑" w:eastAsia="微软雅黑" w:cs="宋体"/>
          <w:color w:val="333333"/>
          <w:spacing w:val="8"/>
          <w:kern w:val="0"/>
          <w:sz w:val="26"/>
          <w:szCs w:val="26"/>
        </w:rPr>
      </w:pPr>
    </w:p>
    <w:sectPr>
      <w:footerReference r:id="rId3" w:type="default"/>
      <w:pgSz w:w="11906" w:h="16838"/>
      <w:pgMar w:top="709" w:right="1797" w:bottom="426" w:left="1797"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Heiti SC Light">
    <w:altName w:val="Arial Unicode MS"/>
    <w:panose1 w:val="00000000000000000000"/>
    <w:charset w:val="50"/>
    <w:family w:val="auto"/>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Helvetica">
    <w:altName w:val="Arial"/>
    <w:panose1 w:val="020B0604020202020204"/>
    <w:charset w:val="00"/>
    <w:family w:val="swiss"/>
    <w:pitch w:val="default"/>
    <w:sig w:usb0="00000000" w:usb1="00000000" w:usb2="00000000" w:usb3="00000000" w:csb0="00000001" w:csb1="00000000"/>
  </w:font>
  <w:font w:name="Arial Unicode MS">
    <w:panose1 w:val="020B0604020202020204"/>
    <w:charset w:val="86"/>
    <w:family w:val="auto"/>
    <w:pitch w:val="default"/>
    <w:sig w:usb0="FFFFFFFF" w:usb1="E9FFFFFF" w:usb2="0000003F" w:usb3="00000000" w:csb0="603F01FF" w:csb1="FFFF0000"/>
  </w:font>
  <w:font w:name="Arial Unicode MS">
    <w:panose1 w:val="020B0604020202020204"/>
    <w:charset w:val="50"/>
    <w:family w:val="auto"/>
    <w:pitch w:val="default"/>
    <w:sig w:usb0="FFFFFFFF" w:usb1="E9FFFFFF" w:usb2="0000003F" w:usb3="00000000" w:csb0="603F01FF" w:csb1="FFFF0000"/>
  </w:font>
  <w:font w:name="Arial">
    <w:panose1 w:val="020B0604020202020204"/>
    <w:charset w:val="00"/>
    <w:family w:val="swiss"/>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174036"/>
      <w:docPartObj>
        <w:docPartGallery w:val="autotext"/>
      </w:docPartObj>
    </w:sdtPr>
    <w:sdtContent>
      <w:p>
        <w:pPr>
          <w:pStyle w:val="6"/>
          <w:jc w:val="center"/>
        </w:pPr>
        <w:r>
          <w:fldChar w:fldCharType="begin"/>
        </w:r>
        <w:r>
          <w:instrText xml:space="preserve"> PAGE   \* MERGEFORMAT </w:instrText>
        </w:r>
        <w:r>
          <w:fldChar w:fldCharType="separate"/>
        </w:r>
        <w:r>
          <w:rPr>
            <w:lang w:val="zh-CN"/>
          </w:rPr>
          <w:t>11</w:t>
        </w:r>
        <w:r>
          <w:rPr>
            <w:lang w:val="zh-CN"/>
          </w:rPr>
          <w:fldChar w:fldCharType="end"/>
        </w:r>
      </w:p>
    </w:sdtContent>
  </w:sdt>
  <w:p>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112951"/>
    <w:multiLevelType w:val="multilevel"/>
    <w:tmpl w:val="64112951"/>
    <w:lvl w:ilvl="0" w:tentative="0">
      <w:start w:val="1"/>
      <w:numFmt w:val="decimal"/>
      <w:lvlText w:val="%1、"/>
      <w:lvlJc w:val="left"/>
      <w:pPr>
        <w:ind w:left="128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
    <w:nsid w:val="74785F03"/>
    <w:multiLevelType w:val="multilevel"/>
    <w:tmpl w:val="74785F03"/>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EE0913"/>
    <w:rsid w:val="00001BFB"/>
    <w:rsid w:val="000022E3"/>
    <w:rsid w:val="000024F5"/>
    <w:rsid w:val="00002766"/>
    <w:rsid w:val="000039EE"/>
    <w:rsid w:val="00003F1F"/>
    <w:rsid w:val="000052F1"/>
    <w:rsid w:val="00005C14"/>
    <w:rsid w:val="00010051"/>
    <w:rsid w:val="000100BC"/>
    <w:rsid w:val="000113BB"/>
    <w:rsid w:val="00011510"/>
    <w:rsid w:val="00011729"/>
    <w:rsid w:val="000128A3"/>
    <w:rsid w:val="000146CA"/>
    <w:rsid w:val="00015379"/>
    <w:rsid w:val="000155B7"/>
    <w:rsid w:val="0001575A"/>
    <w:rsid w:val="00015A5C"/>
    <w:rsid w:val="00015D57"/>
    <w:rsid w:val="000175C9"/>
    <w:rsid w:val="00017C59"/>
    <w:rsid w:val="00017FF3"/>
    <w:rsid w:val="000208A4"/>
    <w:rsid w:val="00022B29"/>
    <w:rsid w:val="00022D08"/>
    <w:rsid w:val="0002356D"/>
    <w:rsid w:val="0002364C"/>
    <w:rsid w:val="00024906"/>
    <w:rsid w:val="0002670E"/>
    <w:rsid w:val="0002785C"/>
    <w:rsid w:val="00027E7A"/>
    <w:rsid w:val="00031218"/>
    <w:rsid w:val="0003140E"/>
    <w:rsid w:val="00031F9A"/>
    <w:rsid w:val="000323D0"/>
    <w:rsid w:val="00032702"/>
    <w:rsid w:val="00032748"/>
    <w:rsid w:val="00032D3A"/>
    <w:rsid w:val="00032F39"/>
    <w:rsid w:val="00033524"/>
    <w:rsid w:val="000341C2"/>
    <w:rsid w:val="000348FD"/>
    <w:rsid w:val="000352F5"/>
    <w:rsid w:val="00035AF1"/>
    <w:rsid w:val="00035BE2"/>
    <w:rsid w:val="00035C5A"/>
    <w:rsid w:val="00035CD4"/>
    <w:rsid w:val="00036356"/>
    <w:rsid w:val="0003643D"/>
    <w:rsid w:val="00036535"/>
    <w:rsid w:val="00040400"/>
    <w:rsid w:val="00040A70"/>
    <w:rsid w:val="00040DA8"/>
    <w:rsid w:val="000417F0"/>
    <w:rsid w:val="000420F3"/>
    <w:rsid w:val="000436FE"/>
    <w:rsid w:val="00043E05"/>
    <w:rsid w:val="000454E9"/>
    <w:rsid w:val="000459E3"/>
    <w:rsid w:val="00047695"/>
    <w:rsid w:val="00050CCD"/>
    <w:rsid w:val="00050E0C"/>
    <w:rsid w:val="00051091"/>
    <w:rsid w:val="00053A0E"/>
    <w:rsid w:val="00053CCF"/>
    <w:rsid w:val="00053D46"/>
    <w:rsid w:val="00055025"/>
    <w:rsid w:val="0005614E"/>
    <w:rsid w:val="000561FD"/>
    <w:rsid w:val="0005653C"/>
    <w:rsid w:val="0005678D"/>
    <w:rsid w:val="00056ADA"/>
    <w:rsid w:val="00057394"/>
    <w:rsid w:val="00057873"/>
    <w:rsid w:val="00057E16"/>
    <w:rsid w:val="00060194"/>
    <w:rsid w:val="00060829"/>
    <w:rsid w:val="00060B4E"/>
    <w:rsid w:val="00060DB6"/>
    <w:rsid w:val="00060E3A"/>
    <w:rsid w:val="00060F2A"/>
    <w:rsid w:val="000612FF"/>
    <w:rsid w:val="00061883"/>
    <w:rsid w:val="0006228B"/>
    <w:rsid w:val="000627A5"/>
    <w:rsid w:val="000629CC"/>
    <w:rsid w:val="00063B74"/>
    <w:rsid w:val="000644AD"/>
    <w:rsid w:val="00064FF9"/>
    <w:rsid w:val="000660CF"/>
    <w:rsid w:val="00066B1E"/>
    <w:rsid w:val="00067203"/>
    <w:rsid w:val="0007054B"/>
    <w:rsid w:val="00070668"/>
    <w:rsid w:val="00070C62"/>
    <w:rsid w:val="00072506"/>
    <w:rsid w:val="0007440C"/>
    <w:rsid w:val="00074962"/>
    <w:rsid w:val="0007594B"/>
    <w:rsid w:val="00076278"/>
    <w:rsid w:val="00076422"/>
    <w:rsid w:val="00076AA0"/>
    <w:rsid w:val="00077AA6"/>
    <w:rsid w:val="00081C4C"/>
    <w:rsid w:val="0008296C"/>
    <w:rsid w:val="00082B25"/>
    <w:rsid w:val="00082D82"/>
    <w:rsid w:val="0008334C"/>
    <w:rsid w:val="00083BD0"/>
    <w:rsid w:val="00084851"/>
    <w:rsid w:val="000853DB"/>
    <w:rsid w:val="000855A7"/>
    <w:rsid w:val="00085664"/>
    <w:rsid w:val="00086182"/>
    <w:rsid w:val="00086257"/>
    <w:rsid w:val="00086383"/>
    <w:rsid w:val="0008668C"/>
    <w:rsid w:val="00087C0D"/>
    <w:rsid w:val="00087E46"/>
    <w:rsid w:val="00087FA7"/>
    <w:rsid w:val="00090C13"/>
    <w:rsid w:val="00091146"/>
    <w:rsid w:val="0009141B"/>
    <w:rsid w:val="0009174A"/>
    <w:rsid w:val="00091FFC"/>
    <w:rsid w:val="00093A40"/>
    <w:rsid w:val="00093CBF"/>
    <w:rsid w:val="00093E3A"/>
    <w:rsid w:val="00094515"/>
    <w:rsid w:val="000953D3"/>
    <w:rsid w:val="00096C9C"/>
    <w:rsid w:val="00097D5A"/>
    <w:rsid w:val="000A003B"/>
    <w:rsid w:val="000A0979"/>
    <w:rsid w:val="000A0C20"/>
    <w:rsid w:val="000A1603"/>
    <w:rsid w:val="000A1660"/>
    <w:rsid w:val="000A1AFA"/>
    <w:rsid w:val="000A1B47"/>
    <w:rsid w:val="000A1FCA"/>
    <w:rsid w:val="000A202A"/>
    <w:rsid w:val="000A2150"/>
    <w:rsid w:val="000A23F5"/>
    <w:rsid w:val="000A49A4"/>
    <w:rsid w:val="000A634C"/>
    <w:rsid w:val="000A6BFA"/>
    <w:rsid w:val="000A7367"/>
    <w:rsid w:val="000B0A67"/>
    <w:rsid w:val="000B3940"/>
    <w:rsid w:val="000B3F1B"/>
    <w:rsid w:val="000B4EC5"/>
    <w:rsid w:val="000B53B1"/>
    <w:rsid w:val="000B5C93"/>
    <w:rsid w:val="000B6825"/>
    <w:rsid w:val="000B6B78"/>
    <w:rsid w:val="000C2567"/>
    <w:rsid w:val="000C47AA"/>
    <w:rsid w:val="000C4E05"/>
    <w:rsid w:val="000C682D"/>
    <w:rsid w:val="000C6AFC"/>
    <w:rsid w:val="000C6FFF"/>
    <w:rsid w:val="000C7C03"/>
    <w:rsid w:val="000D041E"/>
    <w:rsid w:val="000D0824"/>
    <w:rsid w:val="000D0D8A"/>
    <w:rsid w:val="000D1C31"/>
    <w:rsid w:val="000D246E"/>
    <w:rsid w:val="000D28F7"/>
    <w:rsid w:val="000D56A1"/>
    <w:rsid w:val="000D5A1A"/>
    <w:rsid w:val="000D61D0"/>
    <w:rsid w:val="000D6AB0"/>
    <w:rsid w:val="000D76C3"/>
    <w:rsid w:val="000E0059"/>
    <w:rsid w:val="000E05FD"/>
    <w:rsid w:val="000E11A9"/>
    <w:rsid w:val="000E1243"/>
    <w:rsid w:val="000E16A0"/>
    <w:rsid w:val="000E251E"/>
    <w:rsid w:val="000E2955"/>
    <w:rsid w:val="000E2B6C"/>
    <w:rsid w:val="000E4895"/>
    <w:rsid w:val="000E4A5E"/>
    <w:rsid w:val="000E5D58"/>
    <w:rsid w:val="000E6245"/>
    <w:rsid w:val="000E79CF"/>
    <w:rsid w:val="000F0270"/>
    <w:rsid w:val="000F07CE"/>
    <w:rsid w:val="000F0AF0"/>
    <w:rsid w:val="000F0C17"/>
    <w:rsid w:val="000F0F23"/>
    <w:rsid w:val="000F1D22"/>
    <w:rsid w:val="000F2C6A"/>
    <w:rsid w:val="000F32F6"/>
    <w:rsid w:val="000F33C1"/>
    <w:rsid w:val="000F43A9"/>
    <w:rsid w:val="000F55D2"/>
    <w:rsid w:val="000F6444"/>
    <w:rsid w:val="000F6846"/>
    <w:rsid w:val="000F6ACA"/>
    <w:rsid w:val="000F6D53"/>
    <w:rsid w:val="000F724C"/>
    <w:rsid w:val="001016A6"/>
    <w:rsid w:val="00101B15"/>
    <w:rsid w:val="001031E5"/>
    <w:rsid w:val="001032B8"/>
    <w:rsid w:val="00103BC3"/>
    <w:rsid w:val="00103DAD"/>
    <w:rsid w:val="00104ACF"/>
    <w:rsid w:val="00105135"/>
    <w:rsid w:val="001056A9"/>
    <w:rsid w:val="00105CE5"/>
    <w:rsid w:val="001069F4"/>
    <w:rsid w:val="0010723C"/>
    <w:rsid w:val="00107268"/>
    <w:rsid w:val="0011189B"/>
    <w:rsid w:val="00113937"/>
    <w:rsid w:val="00113DC5"/>
    <w:rsid w:val="00114185"/>
    <w:rsid w:val="00114802"/>
    <w:rsid w:val="001149F4"/>
    <w:rsid w:val="001163FB"/>
    <w:rsid w:val="001173FB"/>
    <w:rsid w:val="00117A35"/>
    <w:rsid w:val="0012030B"/>
    <w:rsid w:val="00120A62"/>
    <w:rsid w:val="00121C29"/>
    <w:rsid w:val="00122376"/>
    <w:rsid w:val="00122583"/>
    <w:rsid w:val="001225B1"/>
    <w:rsid w:val="001228C5"/>
    <w:rsid w:val="00123126"/>
    <w:rsid w:val="00123D5A"/>
    <w:rsid w:val="0012415F"/>
    <w:rsid w:val="00124221"/>
    <w:rsid w:val="00125020"/>
    <w:rsid w:val="001257A6"/>
    <w:rsid w:val="00126255"/>
    <w:rsid w:val="00126BF8"/>
    <w:rsid w:val="0012750C"/>
    <w:rsid w:val="0012752B"/>
    <w:rsid w:val="00127A07"/>
    <w:rsid w:val="0013048B"/>
    <w:rsid w:val="00130EEA"/>
    <w:rsid w:val="00131CBA"/>
    <w:rsid w:val="00131EC6"/>
    <w:rsid w:val="00132673"/>
    <w:rsid w:val="001326AA"/>
    <w:rsid w:val="00133315"/>
    <w:rsid w:val="00136D64"/>
    <w:rsid w:val="001403FA"/>
    <w:rsid w:val="001407D8"/>
    <w:rsid w:val="0014087D"/>
    <w:rsid w:val="001424A8"/>
    <w:rsid w:val="0014298A"/>
    <w:rsid w:val="00142E3F"/>
    <w:rsid w:val="00144B2F"/>
    <w:rsid w:val="00144ECC"/>
    <w:rsid w:val="00145DB1"/>
    <w:rsid w:val="001460BB"/>
    <w:rsid w:val="001466DA"/>
    <w:rsid w:val="00146CD9"/>
    <w:rsid w:val="00147260"/>
    <w:rsid w:val="00147B39"/>
    <w:rsid w:val="001500A3"/>
    <w:rsid w:val="00150113"/>
    <w:rsid w:val="00150FFB"/>
    <w:rsid w:val="00151A04"/>
    <w:rsid w:val="00152AE5"/>
    <w:rsid w:val="00152C40"/>
    <w:rsid w:val="00152E4E"/>
    <w:rsid w:val="0015388E"/>
    <w:rsid w:val="00153D1C"/>
    <w:rsid w:val="00154F45"/>
    <w:rsid w:val="0015554A"/>
    <w:rsid w:val="00155BAD"/>
    <w:rsid w:val="001563A0"/>
    <w:rsid w:val="00156883"/>
    <w:rsid w:val="001578CA"/>
    <w:rsid w:val="001608F2"/>
    <w:rsid w:val="00162ADF"/>
    <w:rsid w:val="00162DBC"/>
    <w:rsid w:val="001630AD"/>
    <w:rsid w:val="001639CA"/>
    <w:rsid w:val="00163BDD"/>
    <w:rsid w:val="00163DA7"/>
    <w:rsid w:val="001642EC"/>
    <w:rsid w:val="00164597"/>
    <w:rsid w:val="00164B58"/>
    <w:rsid w:val="00164C43"/>
    <w:rsid w:val="001670DA"/>
    <w:rsid w:val="0017152E"/>
    <w:rsid w:val="00171A68"/>
    <w:rsid w:val="001739AD"/>
    <w:rsid w:val="00173C28"/>
    <w:rsid w:val="0017408C"/>
    <w:rsid w:val="0017457B"/>
    <w:rsid w:val="00175134"/>
    <w:rsid w:val="001767E5"/>
    <w:rsid w:val="0018153F"/>
    <w:rsid w:val="0018160E"/>
    <w:rsid w:val="00181800"/>
    <w:rsid w:val="001818F9"/>
    <w:rsid w:val="0018574F"/>
    <w:rsid w:val="00185B3C"/>
    <w:rsid w:val="00186072"/>
    <w:rsid w:val="0018620F"/>
    <w:rsid w:val="001864C9"/>
    <w:rsid w:val="00186C9C"/>
    <w:rsid w:val="00187303"/>
    <w:rsid w:val="001903A2"/>
    <w:rsid w:val="001905DD"/>
    <w:rsid w:val="001908AB"/>
    <w:rsid w:val="00190927"/>
    <w:rsid w:val="00190F6E"/>
    <w:rsid w:val="001919F5"/>
    <w:rsid w:val="00191FD5"/>
    <w:rsid w:val="0019335B"/>
    <w:rsid w:val="00193B69"/>
    <w:rsid w:val="00193D4E"/>
    <w:rsid w:val="00193F34"/>
    <w:rsid w:val="0019486C"/>
    <w:rsid w:val="00195DC1"/>
    <w:rsid w:val="001962FE"/>
    <w:rsid w:val="001A038F"/>
    <w:rsid w:val="001A0497"/>
    <w:rsid w:val="001A1C96"/>
    <w:rsid w:val="001A301E"/>
    <w:rsid w:val="001A354B"/>
    <w:rsid w:val="001A354F"/>
    <w:rsid w:val="001A47B2"/>
    <w:rsid w:val="001A4F2B"/>
    <w:rsid w:val="001A4F78"/>
    <w:rsid w:val="001A510C"/>
    <w:rsid w:val="001A5C75"/>
    <w:rsid w:val="001A5FCE"/>
    <w:rsid w:val="001A621D"/>
    <w:rsid w:val="001B0448"/>
    <w:rsid w:val="001B07E5"/>
    <w:rsid w:val="001B0EFF"/>
    <w:rsid w:val="001B1199"/>
    <w:rsid w:val="001B1726"/>
    <w:rsid w:val="001B1E70"/>
    <w:rsid w:val="001B2160"/>
    <w:rsid w:val="001B25B6"/>
    <w:rsid w:val="001B3741"/>
    <w:rsid w:val="001B3846"/>
    <w:rsid w:val="001B4721"/>
    <w:rsid w:val="001B544A"/>
    <w:rsid w:val="001B5720"/>
    <w:rsid w:val="001B62B5"/>
    <w:rsid w:val="001B6A65"/>
    <w:rsid w:val="001B6C75"/>
    <w:rsid w:val="001B7DF4"/>
    <w:rsid w:val="001C27A9"/>
    <w:rsid w:val="001C2967"/>
    <w:rsid w:val="001C3235"/>
    <w:rsid w:val="001C39E0"/>
    <w:rsid w:val="001C39FD"/>
    <w:rsid w:val="001C4801"/>
    <w:rsid w:val="001C508D"/>
    <w:rsid w:val="001C5A48"/>
    <w:rsid w:val="001D0737"/>
    <w:rsid w:val="001D13D4"/>
    <w:rsid w:val="001D1E3F"/>
    <w:rsid w:val="001D33E2"/>
    <w:rsid w:val="001D3B5C"/>
    <w:rsid w:val="001D3BFF"/>
    <w:rsid w:val="001D433F"/>
    <w:rsid w:val="001D44DA"/>
    <w:rsid w:val="001D5F46"/>
    <w:rsid w:val="001D5F9D"/>
    <w:rsid w:val="001D71ED"/>
    <w:rsid w:val="001D7E99"/>
    <w:rsid w:val="001E0A8D"/>
    <w:rsid w:val="001E0EF4"/>
    <w:rsid w:val="001E1450"/>
    <w:rsid w:val="001E1C3D"/>
    <w:rsid w:val="001E2F38"/>
    <w:rsid w:val="001E34DF"/>
    <w:rsid w:val="001E3D69"/>
    <w:rsid w:val="001E66CE"/>
    <w:rsid w:val="001E6B82"/>
    <w:rsid w:val="001E72AD"/>
    <w:rsid w:val="001E7B65"/>
    <w:rsid w:val="001F0482"/>
    <w:rsid w:val="001F090A"/>
    <w:rsid w:val="001F0A9C"/>
    <w:rsid w:val="001F17B4"/>
    <w:rsid w:val="001F2D98"/>
    <w:rsid w:val="001F2F68"/>
    <w:rsid w:val="001F33AE"/>
    <w:rsid w:val="001F3D96"/>
    <w:rsid w:val="001F4080"/>
    <w:rsid w:val="001F467E"/>
    <w:rsid w:val="001F4D84"/>
    <w:rsid w:val="001F53FD"/>
    <w:rsid w:val="001F6CFD"/>
    <w:rsid w:val="001F7124"/>
    <w:rsid w:val="0020139B"/>
    <w:rsid w:val="002022A3"/>
    <w:rsid w:val="002034B9"/>
    <w:rsid w:val="00203567"/>
    <w:rsid w:val="00203947"/>
    <w:rsid w:val="00205880"/>
    <w:rsid w:val="00205AB9"/>
    <w:rsid w:val="00205B89"/>
    <w:rsid w:val="00205EB5"/>
    <w:rsid w:val="00206FBB"/>
    <w:rsid w:val="00207153"/>
    <w:rsid w:val="002075FF"/>
    <w:rsid w:val="0020779A"/>
    <w:rsid w:val="002103E0"/>
    <w:rsid w:val="0021048A"/>
    <w:rsid w:val="002105D7"/>
    <w:rsid w:val="0021132D"/>
    <w:rsid w:val="002119CC"/>
    <w:rsid w:val="002122CD"/>
    <w:rsid w:val="00212300"/>
    <w:rsid w:val="00213B80"/>
    <w:rsid w:val="00214454"/>
    <w:rsid w:val="0021452B"/>
    <w:rsid w:val="002160B9"/>
    <w:rsid w:val="00216CDF"/>
    <w:rsid w:val="002173B6"/>
    <w:rsid w:val="00221241"/>
    <w:rsid w:val="00222CC3"/>
    <w:rsid w:val="00223404"/>
    <w:rsid w:val="002236A0"/>
    <w:rsid w:val="00223FA0"/>
    <w:rsid w:val="002243A0"/>
    <w:rsid w:val="002243A5"/>
    <w:rsid w:val="002249B6"/>
    <w:rsid w:val="00226714"/>
    <w:rsid w:val="002278CC"/>
    <w:rsid w:val="00230207"/>
    <w:rsid w:val="00230B63"/>
    <w:rsid w:val="00230C6B"/>
    <w:rsid w:val="00231311"/>
    <w:rsid w:val="002314A5"/>
    <w:rsid w:val="002318A0"/>
    <w:rsid w:val="002327D9"/>
    <w:rsid w:val="00232967"/>
    <w:rsid w:val="00233542"/>
    <w:rsid w:val="0023379C"/>
    <w:rsid w:val="00233C59"/>
    <w:rsid w:val="00235103"/>
    <w:rsid w:val="002351A4"/>
    <w:rsid w:val="002353B1"/>
    <w:rsid w:val="00236537"/>
    <w:rsid w:val="00237D91"/>
    <w:rsid w:val="0024061C"/>
    <w:rsid w:val="00240C67"/>
    <w:rsid w:val="00240FAB"/>
    <w:rsid w:val="002416FC"/>
    <w:rsid w:val="0024184A"/>
    <w:rsid w:val="002427C2"/>
    <w:rsid w:val="00244227"/>
    <w:rsid w:val="00244248"/>
    <w:rsid w:val="0024457B"/>
    <w:rsid w:val="00244ABD"/>
    <w:rsid w:val="00245654"/>
    <w:rsid w:val="00245FDA"/>
    <w:rsid w:val="0024640D"/>
    <w:rsid w:val="00247264"/>
    <w:rsid w:val="00247497"/>
    <w:rsid w:val="00247AA4"/>
    <w:rsid w:val="00247E86"/>
    <w:rsid w:val="00250630"/>
    <w:rsid w:val="0025106B"/>
    <w:rsid w:val="002519F4"/>
    <w:rsid w:val="00251B6B"/>
    <w:rsid w:val="00251BB2"/>
    <w:rsid w:val="0025201B"/>
    <w:rsid w:val="00252A4A"/>
    <w:rsid w:val="00254F04"/>
    <w:rsid w:val="00255199"/>
    <w:rsid w:val="0025548F"/>
    <w:rsid w:val="00256111"/>
    <w:rsid w:val="00256345"/>
    <w:rsid w:val="002563FA"/>
    <w:rsid w:val="0026045F"/>
    <w:rsid w:val="00260468"/>
    <w:rsid w:val="00260992"/>
    <w:rsid w:val="002621FF"/>
    <w:rsid w:val="00262479"/>
    <w:rsid w:val="002625D6"/>
    <w:rsid w:val="002629B4"/>
    <w:rsid w:val="00262A6D"/>
    <w:rsid w:val="0026346A"/>
    <w:rsid w:val="002638D5"/>
    <w:rsid w:val="00264A0A"/>
    <w:rsid w:val="002657C3"/>
    <w:rsid w:val="0026611E"/>
    <w:rsid w:val="0026627E"/>
    <w:rsid w:val="00266A78"/>
    <w:rsid w:val="00266C02"/>
    <w:rsid w:val="00266CC5"/>
    <w:rsid w:val="002677A9"/>
    <w:rsid w:val="00270B26"/>
    <w:rsid w:val="00272A57"/>
    <w:rsid w:val="00272DD6"/>
    <w:rsid w:val="00272DD8"/>
    <w:rsid w:val="0027315C"/>
    <w:rsid w:val="00273666"/>
    <w:rsid w:val="00274D0C"/>
    <w:rsid w:val="00275C4C"/>
    <w:rsid w:val="00276854"/>
    <w:rsid w:val="00276E5B"/>
    <w:rsid w:val="002776BC"/>
    <w:rsid w:val="0028072E"/>
    <w:rsid w:val="00280939"/>
    <w:rsid w:val="0028113F"/>
    <w:rsid w:val="00281484"/>
    <w:rsid w:val="00283DBC"/>
    <w:rsid w:val="00284758"/>
    <w:rsid w:val="002852EE"/>
    <w:rsid w:val="00285A99"/>
    <w:rsid w:val="00286857"/>
    <w:rsid w:val="002903C0"/>
    <w:rsid w:val="002906A4"/>
    <w:rsid w:val="00291A08"/>
    <w:rsid w:val="002920A8"/>
    <w:rsid w:val="00292553"/>
    <w:rsid w:val="00292558"/>
    <w:rsid w:val="00292833"/>
    <w:rsid w:val="00292AA3"/>
    <w:rsid w:val="00292B86"/>
    <w:rsid w:val="00292CF2"/>
    <w:rsid w:val="0029335C"/>
    <w:rsid w:val="002937FB"/>
    <w:rsid w:val="002938F5"/>
    <w:rsid w:val="002946BD"/>
    <w:rsid w:val="002952D5"/>
    <w:rsid w:val="00295F88"/>
    <w:rsid w:val="00297251"/>
    <w:rsid w:val="0029747B"/>
    <w:rsid w:val="002A07D3"/>
    <w:rsid w:val="002A2451"/>
    <w:rsid w:val="002A33A8"/>
    <w:rsid w:val="002A3C2B"/>
    <w:rsid w:val="002A4944"/>
    <w:rsid w:val="002A598B"/>
    <w:rsid w:val="002A5DD2"/>
    <w:rsid w:val="002A62EC"/>
    <w:rsid w:val="002A68AE"/>
    <w:rsid w:val="002B01FD"/>
    <w:rsid w:val="002B0589"/>
    <w:rsid w:val="002B1FCF"/>
    <w:rsid w:val="002B3ED6"/>
    <w:rsid w:val="002B3FA2"/>
    <w:rsid w:val="002B46CC"/>
    <w:rsid w:val="002B4A21"/>
    <w:rsid w:val="002B4B4C"/>
    <w:rsid w:val="002B4DC6"/>
    <w:rsid w:val="002B5298"/>
    <w:rsid w:val="002B556C"/>
    <w:rsid w:val="002B5B13"/>
    <w:rsid w:val="002B681D"/>
    <w:rsid w:val="002B741C"/>
    <w:rsid w:val="002C1C42"/>
    <w:rsid w:val="002C1E38"/>
    <w:rsid w:val="002C2126"/>
    <w:rsid w:val="002C26E3"/>
    <w:rsid w:val="002C31C2"/>
    <w:rsid w:val="002C3457"/>
    <w:rsid w:val="002C393C"/>
    <w:rsid w:val="002C3FEE"/>
    <w:rsid w:val="002C431C"/>
    <w:rsid w:val="002C46BB"/>
    <w:rsid w:val="002C473E"/>
    <w:rsid w:val="002C4A09"/>
    <w:rsid w:val="002C72F3"/>
    <w:rsid w:val="002C7A72"/>
    <w:rsid w:val="002C7DC1"/>
    <w:rsid w:val="002D1189"/>
    <w:rsid w:val="002D1EA0"/>
    <w:rsid w:val="002D216A"/>
    <w:rsid w:val="002D2553"/>
    <w:rsid w:val="002D2D9C"/>
    <w:rsid w:val="002D3CB8"/>
    <w:rsid w:val="002D4680"/>
    <w:rsid w:val="002D50D6"/>
    <w:rsid w:val="002D580B"/>
    <w:rsid w:val="002D5B47"/>
    <w:rsid w:val="002D68A2"/>
    <w:rsid w:val="002D6CB2"/>
    <w:rsid w:val="002D7855"/>
    <w:rsid w:val="002D7BEE"/>
    <w:rsid w:val="002E096F"/>
    <w:rsid w:val="002E1EA0"/>
    <w:rsid w:val="002E2D86"/>
    <w:rsid w:val="002E36AC"/>
    <w:rsid w:val="002E3F25"/>
    <w:rsid w:val="002E5E7D"/>
    <w:rsid w:val="002E68AF"/>
    <w:rsid w:val="002F0685"/>
    <w:rsid w:val="002F1160"/>
    <w:rsid w:val="002F13BC"/>
    <w:rsid w:val="002F1F90"/>
    <w:rsid w:val="002F3403"/>
    <w:rsid w:val="002F3F94"/>
    <w:rsid w:val="002F40B3"/>
    <w:rsid w:val="002F58B5"/>
    <w:rsid w:val="002F7B7B"/>
    <w:rsid w:val="00300477"/>
    <w:rsid w:val="00300F79"/>
    <w:rsid w:val="00302DBE"/>
    <w:rsid w:val="00304584"/>
    <w:rsid w:val="00304793"/>
    <w:rsid w:val="003047E7"/>
    <w:rsid w:val="003051B4"/>
    <w:rsid w:val="00305369"/>
    <w:rsid w:val="00305412"/>
    <w:rsid w:val="00306DBC"/>
    <w:rsid w:val="00307F55"/>
    <w:rsid w:val="0031012A"/>
    <w:rsid w:val="00310835"/>
    <w:rsid w:val="00310B0A"/>
    <w:rsid w:val="0031156E"/>
    <w:rsid w:val="00311A79"/>
    <w:rsid w:val="00312472"/>
    <w:rsid w:val="00312785"/>
    <w:rsid w:val="00312A2C"/>
    <w:rsid w:val="00312A4E"/>
    <w:rsid w:val="00313469"/>
    <w:rsid w:val="00313539"/>
    <w:rsid w:val="00314C54"/>
    <w:rsid w:val="00317276"/>
    <w:rsid w:val="003179E4"/>
    <w:rsid w:val="00317BF9"/>
    <w:rsid w:val="00320350"/>
    <w:rsid w:val="00320E71"/>
    <w:rsid w:val="00320FE0"/>
    <w:rsid w:val="003210F3"/>
    <w:rsid w:val="00321602"/>
    <w:rsid w:val="0032169F"/>
    <w:rsid w:val="00322C5C"/>
    <w:rsid w:val="00323017"/>
    <w:rsid w:val="00323170"/>
    <w:rsid w:val="00323392"/>
    <w:rsid w:val="0032363C"/>
    <w:rsid w:val="00323C2E"/>
    <w:rsid w:val="00324197"/>
    <w:rsid w:val="00325071"/>
    <w:rsid w:val="003268D7"/>
    <w:rsid w:val="00327CAF"/>
    <w:rsid w:val="00327FE5"/>
    <w:rsid w:val="0033263D"/>
    <w:rsid w:val="0033291B"/>
    <w:rsid w:val="0033465D"/>
    <w:rsid w:val="00335274"/>
    <w:rsid w:val="00335A4E"/>
    <w:rsid w:val="00335C44"/>
    <w:rsid w:val="00336460"/>
    <w:rsid w:val="00336499"/>
    <w:rsid w:val="0033663B"/>
    <w:rsid w:val="00336E08"/>
    <w:rsid w:val="00336F6F"/>
    <w:rsid w:val="003370D6"/>
    <w:rsid w:val="0033724A"/>
    <w:rsid w:val="00337391"/>
    <w:rsid w:val="00337888"/>
    <w:rsid w:val="00341038"/>
    <w:rsid w:val="0034105F"/>
    <w:rsid w:val="00342973"/>
    <w:rsid w:val="0034346C"/>
    <w:rsid w:val="0034378E"/>
    <w:rsid w:val="0034422C"/>
    <w:rsid w:val="003442D9"/>
    <w:rsid w:val="00345AFD"/>
    <w:rsid w:val="00346311"/>
    <w:rsid w:val="00346627"/>
    <w:rsid w:val="003507E9"/>
    <w:rsid w:val="00350845"/>
    <w:rsid w:val="00351168"/>
    <w:rsid w:val="00352C9C"/>
    <w:rsid w:val="0035304D"/>
    <w:rsid w:val="00354BFD"/>
    <w:rsid w:val="00354D1F"/>
    <w:rsid w:val="00355190"/>
    <w:rsid w:val="00357A31"/>
    <w:rsid w:val="00357D07"/>
    <w:rsid w:val="00360F8B"/>
    <w:rsid w:val="00361C58"/>
    <w:rsid w:val="00361FBE"/>
    <w:rsid w:val="00364EDB"/>
    <w:rsid w:val="00365092"/>
    <w:rsid w:val="003656A7"/>
    <w:rsid w:val="00365C24"/>
    <w:rsid w:val="003662F1"/>
    <w:rsid w:val="00366A50"/>
    <w:rsid w:val="00366F4D"/>
    <w:rsid w:val="0036711D"/>
    <w:rsid w:val="00367305"/>
    <w:rsid w:val="0036751A"/>
    <w:rsid w:val="003679CE"/>
    <w:rsid w:val="003712D6"/>
    <w:rsid w:val="00371710"/>
    <w:rsid w:val="003724C8"/>
    <w:rsid w:val="003730BD"/>
    <w:rsid w:val="00373967"/>
    <w:rsid w:val="00374CE2"/>
    <w:rsid w:val="003752B6"/>
    <w:rsid w:val="00376004"/>
    <w:rsid w:val="0037647A"/>
    <w:rsid w:val="00376480"/>
    <w:rsid w:val="00376771"/>
    <w:rsid w:val="0037765D"/>
    <w:rsid w:val="00380C91"/>
    <w:rsid w:val="0038131A"/>
    <w:rsid w:val="003817B3"/>
    <w:rsid w:val="00382270"/>
    <w:rsid w:val="003836E1"/>
    <w:rsid w:val="00384748"/>
    <w:rsid w:val="003849E1"/>
    <w:rsid w:val="00385431"/>
    <w:rsid w:val="00385743"/>
    <w:rsid w:val="00386D12"/>
    <w:rsid w:val="003874DC"/>
    <w:rsid w:val="00387AE4"/>
    <w:rsid w:val="003902B7"/>
    <w:rsid w:val="003902FB"/>
    <w:rsid w:val="00390444"/>
    <w:rsid w:val="00390851"/>
    <w:rsid w:val="0039109A"/>
    <w:rsid w:val="003914FA"/>
    <w:rsid w:val="00393655"/>
    <w:rsid w:val="00393F06"/>
    <w:rsid w:val="0039555E"/>
    <w:rsid w:val="003962F0"/>
    <w:rsid w:val="00397D5A"/>
    <w:rsid w:val="00397F9A"/>
    <w:rsid w:val="003A06BF"/>
    <w:rsid w:val="003A082D"/>
    <w:rsid w:val="003A0FC6"/>
    <w:rsid w:val="003A17C6"/>
    <w:rsid w:val="003A1EDA"/>
    <w:rsid w:val="003A230C"/>
    <w:rsid w:val="003A2A79"/>
    <w:rsid w:val="003A2D64"/>
    <w:rsid w:val="003A3081"/>
    <w:rsid w:val="003A4135"/>
    <w:rsid w:val="003A4422"/>
    <w:rsid w:val="003A5055"/>
    <w:rsid w:val="003A516D"/>
    <w:rsid w:val="003A5641"/>
    <w:rsid w:val="003A583B"/>
    <w:rsid w:val="003A67B2"/>
    <w:rsid w:val="003A6902"/>
    <w:rsid w:val="003A7F64"/>
    <w:rsid w:val="003B014F"/>
    <w:rsid w:val="003B044F"/>
    <w:rsid w:val="003B0EE9"/>
    <w:rsid w:val="003B2521"/>
    <w:rsid w:val="003B37EF"/>
    <w:rsid w:val="003B3A38"/>
    <w:rsid w:val="003B478F"/>
    <w:rsid w:val="003B5078"/>
    <w:rsid w:val="003B6CEF"/>
    <w:rsid w:val="003B7665"/>
    <w:rsid w:val="003B794B"/>
    <w:rsid w:val="003C0CEC"/>
    <w:rsid w:val="003C1120"/>
    <w:rsid w:val="003C1999"/>
    <w:rsid w:val="003C1A2D"/>
    <w:rsid w:val="003C31B3"/>
    <w:rsid w:val="003C3686"/>
    <w:rsid w:val="003C3AD5"/>
    <w:rsid w:val="003C46AB"/>
    <w:rsid w:val="003C4D36"/>
    <w:rsid w:val="003C594F"/>
    <w:rsid w:val="003C5C2A"/>
    <w:rsid w:val="003C6E83"/>
    <w:rsid w:val="003C79BE"/>
    <w:rsid w:val="003D073B"/>
    <w:rsid w:val="003D1CD9"/>
    <w:rsid w:val="003D24D6"/>
    <w:rsid w:val="003D2AE9"/>
    <w:rsid w:val="003D402A"/>
    <w:rsid w:val="003D4F06"/>
    <w:rsid w:val="003D68AB"/>
    <w:rsid w:val="003D7AC8"/>
    <w:rsid w:val="003D7ADF"/>
    <w:rsid w:val="003D7B40"/>
    <w:rsid w:val="003E0D0F"/>
    <w:rsid w:val="003E1888"/>
    <w:rsid w:val="003E3DE0"/>
    <w:rsid w:val="003E499D"/>
    <w:rsid w:val="003E4D7B"/>
    <w:rsid w:val="003E50E1"/>
    <w:rsid w:val="003E5215"/>
    <w:rsid w:val="003E524C"/>
    <w:rsid w:val="003E5A12"/>
    <w:rsid w:val="003E5B90"/>
    <w:rsid w:val="003E6D15"/>
    <w:rsid w:val="003E6FE6"/>
    <w:rsid w:val="003E70B9"/>
    <w:rsid w:val="003E711B"/>
    <w:rsid w:val="003E74F7"/>
    <w:rsid w:val="003E76BE"/>
    <w:rsid w:val="003F09D8"/>
    <w:rsid w:val="003F11DF"/>
    <w:rsid w:val="003F12FB"/>
    <w:rsid w:val="003F1864"/>
    <w:rsid w:val="003F1D3F"/>
    <w:rsid w:val="003F1F98"/>
    <w:rsid w:val="003F3312"/>
    <w:rsid w:val="003F480C"/>
    <w:rsid w:val="003F4D08"/>
    <w:rsid w:val="003F5392"/>
    <w:rsid w:val="003F5C06"/>
    <w:rsid w:val="003F5D26"/>
    <w:rsid w:val="003F5E53"/>
    <w:rsid w:val="003F5FAB"/>
    <w:rsid w:val="003F66F5"/>
    <w:rsid w:val="003F6EF1"/>
    <w:rsid w:val="003F6F0B"/>
    <w:rsid w:val="003F6F7E"/>
    <w:rsid w:val="003F7CD9"/>
    <w:rsid w:val="004004A9"/>
    <w:rsid w:val="00401A5E"/>
    <w:rsid w:val="00402835"/>
    <w:rsid w:val="004036D4"/>
    <w:rsid w:val="004037CC"/>
    <w:rsid w:val="00403D84"/>
    <w:rsid w:val="00403E71"/>
    <w:rsid w:val="00404FFF"/>
    <w:rsid w:val="00406F51"/>
    <w:rsid w:val="0040708F"/>
    <w:rsid w:val="00407DE5"/>
    <w:rsid w:val="00412203"/>
    <w:rsid w:val="00412CF6"/>
    <w:rsid w:val="00413EE7"/>
    <w:rsid w:val="00413FA9"/>
    <w:rsid w:val="004142CB"/>
    <w:rsid w:val="004145E0"/>
    <w:rsid w:val="0041468C"/>
    <w:rsid w:val="00415BFA"/>
    <w:rsid w:val="00415CB7"/>
    <w:rsid w:val="00415F69"/>
    <w:rsid w:val="00416421"/>
    <w:rsid w:val="00416EF8"/>
    <w:rsid w:val="00417AE2"/>
    <w:rsid w:val="00421A67"/>
    <w:rsid w:val="00421F7A"/>
    <w:rsid w:val="004220BE"/>
    <w:rsid w:val="00423DB5"/>
    <w:rsid w:val="00425249"/>
    <w:rsid w:val="00425DDE"/>
    <w:rsid w:val="00430063"/>
    <w:rsid w:val="00431042"/>
    <w:rsid w:val="00431504"/>
    <w:rsid w:val="00432908"/>
    <w:rsid w:val="00432E09"/>
    <w:rsid w:val="00433299"/>
    <w:rsid w:val="0043362D"/>
    <w:rsid w:val="00434263"/>
    <w:rsid w:val="0043430C"/>
    <w:rsid w:val="004348D6"/>
    <w:rsid w:val="00434C44"/>
    <w:rsid w:val="00436B3A"/>
    <w:rsid w:val="004407B0"/>
    <w:rsid w:val="004409F5"/>
    <w:rsid w:val="00441126"/>
    <w:rsid w:val="004424C2"/>
    <w:rsid w:val="004434D1"/>
    <w:rsid w:val="004443DB"/>
    <w:rsid w:val="00444478"/>
    <w:rsid w:val="0044561B"/>
    <w:rsid w:val="00445B89"/>
    <w:rsid w:val="00446986"/>
    <w:rsid w:val="00447011"/>
    <w:rsid w:val="004472D7"/>
    <w:rsid w:val="00447F78"/>
    <w:rsid w:val="004509DA"/>
    <w:rsid w:val="00450A96"/>
    <w:rsid w:val="00451772"/>
    <w:rsid w:val="00452EE2"/>
    <w:rsid w:val="00453117"/>
    <w:rsid w:val="00454775"/>
    <w:rsid w:val="0045582A"/>
    <w:rsid w:val="00455DBA"/>
    <w:rsid w:val="004569D8"/>
    <w:rsid w:val="00457D43"/>
    <w:rsid w:val="00457E13"/>
    <w:rsid w:val="004600C4"/>
    <w:rsid w:val="00461C9E"/>
    <w:rsid w:val="00461E9E"/>
    <w:rsid w:val="004623D3"/>
    <w:rsid w:val="004636AB"/>
    <w:rsid w:val="004639B2"/>
    <w:rsid w:val="00463B34"/>
    <w:rsid w:val="00465B50"/>
    <w:rsid w:val="00465C48"/>
    <w:rsid w:val="00465EB8"/>
    <w:rsid w:val="004670EB"/>
    <w:rsid w:val="0046721D"/>
    <w:rsid w:val="004672D7"/>
    <w:rsid w:val="00467651"/>
    <w:rsid w:val="004677A5"/>
    <w:rsid w:val="00470B5D"/>
    <w:rsid w:val="00470F7B"/>
    <w:rsid w:val="00471E9C"/>
    <w:rsid w:val="00472E84"/>
    <w:rsid w:val="00473BC1"/>
    <w:rsid w:val="00474E7F"/>
    <w:rsid w:val="00475AD3"/>
    <w:rsid w:val="00476200"/>
    <w:rsid w:val="00476F76"/>
    <w:rsid w:val="00477D8A"/>
    <w:rsid w:val="00480C0D"/>
    <w:rsid w:val="0048102A"/>
    <w:rsid w:val="00482395"/>
    <w:rsid w:val="004831C3"/>
    <w:rsid w:val="00484545"/>
    <w:rsid w:val="00484809"/>
    <w:rsid w:val="004859BB"/>
    <w:rsid w:val="00486251"/>
    <w:rsid w:val="0048680C"/>
    <w:rsid w:val="0048796A"/>
    <w:rsid w:val="00487EF9"/>
    <w:rsid w:val="00490155"/>
    <w:rsid w:val="00490629"/>
    <w:rsid w:val="0049475D"/>
    <w:rsid w:val="004947E2"/>
    <w:rsid w:val="00494C34"/>
    <w:rsid w:val="00494F33"/>
    <w:rsid w:val="004954CE"/>
    <w:rsid w:val="004966D8"/>
    <w:rsid w:val="004971AF"/>
    <w:rsid w:val="00497214"/>
    <w:rsid w:val="004A0635"/>
    <w:rsid w:val="004A16C0"/>
    <w:rsid w:val="004A267F"/>
    <w:rsid w:val="004A3D97"/>
    <w:rsid w:val="004A4A6C"/>
    <w:rsid w:val="004A538B"/>
    <w:rsid w:val="004A676E"/>
    <w:rsid w:val="004A6B9F"/>
    <w:rsid w:val="004A71B6"/>
    <w:rsid w:val="004B01E1"/>
    <w:rsid w:val="004B1197"/>
    <w:rsid w:val="004B2C58"/>
    <w:rsid w:val="004B37EA"/>
    <w:rsid w:val="004B3804"/>
    <w:rsid w:val="004B3885"/>
    <w:rsid w:val="004B3A6D"/>
    <w:rsid w:val="004B4737"/>
    <w:rsid w:val="004B4860"/>
    <w:rsid w:val="004B52D0"/>
    <w:rsid w:val="004B5B57"/>
    <w:rsid w:val="004B5FCB"/>
    <w:rsid w:val="004B64CC"/>
    <w:rsid w:val="004B67CE"/>
    <w:rsid w:val="004B6DAD"/>
    <w:rsid w:val="004B6FA0"/>
    <w:rsid w:val="004C0247"/>
    <w:rsid w:val="004C171A"/>
    <w:rsid w:val="004C3CBE"/>
    <w:rsid w:val="004C3CE4"/>
    <w:rsid w:val="004C4274"/>
    <w:rsid w:val="004C7C97"/>
    <w:rsid w:val="004D0092"/>
    <w:rsid w:val="004D0111"/>
    <w:rsid w:val="004D084D"/>
    <w:rsid w:val="004D2867"/>
    <w:rsid w:val="004D35EC"/>
    <w:rsid w:val="004D3876"/>
    <w:rsid w:val="004D4BAA"/>
    <w:rsid w:val="004D4E85"/>
    <w:rsid w:val="004D60C7"/>
    <w:rsid w:val="004D6958"/>
    <w:rsid w:val="004E1511"/>
    <w:rsid w:val="004E1A94"/>
    <w:rsid w:val="004E29A8"/>
    <w:rsid w:val="004E2ADA"/>
    <w:rsid w:val="004E381D"/>
    <w:rsid w:val="004E38CE"/>
    <w:rsid w:val="004E3ED9"/>
    <w:rsid w:val="004E4BB1"/>
    <w:rsid w:val="004E50C1"/>
    <w:rsid w:val="004E5638"/>
    <w:rsid w:val="004E56B5"/>
    <w:rsid w:val="004E5C10"/>
    <w:rsid w:val="004E72D5"/>
    <w:rsid w:val="004E7710"/>
    <w:rsid w:val="004F0E84"/>
    <w:rsid w:val="004F0FE1"/>
    <w:rsid w:val="004F121E"/>
    <w:rsid w:val="004F22CD"/>
    <w:rsid w:val="004F3AC9"/>
    <w:rsid w:val="004F5EF4"/>
    <w:rsid w:val="004F6B78"/>
    <w:rsid w:val="004F763F"/>
    <w:rsid w:val="004F7F26"/>
    <w:rsid w:val="005000DE"/>
    <w:rsid w:val="005005F8"/>
    <w:rsid w:val="0050100C"/>
    <w:rsid w:val="005021B9"/>
    <w:rsid w:val="00503712"/>
    <w:rsid w:val="005042C2"/>
    <w:rsid w:val="00505232"/>
    <w:rsid w:val="00505974"/>
    <w:rsid w:val="00505EA4"/>
    <w:rsid w:val="00505F7D"/>
    <w:rsid w:val="00506F31"/>
    <w:rsid w:val="00507E29"/>
    <w:rsid w:val="00510E72"/>
    <w:rsid w:val="0051119F"/>
    <w:rsid w:val="00511CFB"/>
    <w:rsid w:val="005132F6"/>
    <w:rsid w:val="00514495"/>
    <w:rsid w:val="00514C16"/>
    <w:rsid w:val="00515B45"/>
    <w:rsid w:val="0051644E"/>
    <w:rsid w:val="0051646E"/>
    <w:rsid w:val="005174E7"/>
    <w:rsid w:val="00517C0C"/>
    <w:rsid w:val="005213F6"/>
    <w:rsid w:val="00521621"/>
    <w:rsid w:val="00521C2D"/>
    <w:rsid w:val="00522893"/>
    <w:rsid w:val="005238E5"/>
    <w:rsid w:val="00523B2B"/>
    <w:rsid w:val="00523D61"/>
    <w:rsid w:val="00523D8F"/>
    <w:rsid w:val="00523ED3"/>
    <w:rsid w:val="00524818"/>
    <w:rsid w:val="005255AF"/>
    <w:rsid w:val="005256DB"/>
    <w:rsid w:val="00526122"/>
    <w:rsid w:val="0052626E"/>
    <w:rsid w:val="0052644A"/>
    <w:rsid w:val="00526794"/>
    <w:rsid w:val="00527A5D"/>
    <w:rsid w:val="00531185"/>
    <w:rsid w:val="0053380C"/>
    <w:rsid w:val="00533C5A"/>
    <w:rsid w:val="00533CAC"/>
    <w:rsid w:val="005344EF"/>
    <w:rsid w:val="00536F68"/>
    <w:rsid w:val="005373E7"/>
    <w:rsid w:val="00537423"/>
    <w:rsid w:val="00537ADE"/>
    <w:rsid w:val="005415C7"/>
    <w:rsid w:val="00542C03"/>
    <w:rsid w:val="00543671"/>
    <w:rsid w:val="005439C2"/>
    <w:rsid w:val="00543B55"/>
    <w:rsid w:val="005445E0"/>
    <w:rsid w:val="0054576E"/>
    <w:rsid w:val="00546498"/>
    <w:rsid w:val="0054699E"/>
    <w:rsid w:val="00547F88"/>
    <w:rsid w:val="00550EE7"/>
    <w:rsid w:val="0055123E"/>
    <w:rsid w:val="00551CA2"/>
    <w:rsid w:val="00551D58"/>
    <w:rsid w:val="0055237F"/>
    <w:rsid w:val="0055250D"/>
    <w:rsid w:val="00552761"/>
    <w:rsid w:val="00552AC7"/>
    <w:rsid w:val="00552CC4"/>
    <w:rsid w:val="005531B7"/>
    <w:rsid w:val="00553819"/>
    <w:rsid w:val="00554749"/>
    <w:rsid w:val="0055488B"/>
    <w:rsid w:val="005575A7"/>
    <w:rsid w:val="00557A9F"/>
    <w:rsid w:val="00557C8E"/>
    <w:rsid w:val="00557EC3"/>
    <w:rsid w:val="0056031B"/>
    <w:rsid w:val="005607D2"/>
    <w:rsid w:val="00560CC1"/>
    <w:rsid w:val="00560CD8"/>
    <w:rsid w:val="00560D7F"/>
    <w:rsid w:val="005622D9"/>
    <w:rsid w:val="005653A4"/>
    <w:rsid w:val="0056604E"/>
    <w:rsid w:val="005664FC"/>
    <w:rsid w:val="005665C8"/>
    <w:rsid w:val="00566CFC"/>
    <w:rsid w:val="00567329"/>
    <w:rsid w:val="005674C3"/>
    <w:rsid w:val="00570BCB"/>
    <w:rsid w:val="00570FB0"/>
    <w:rsid w:val="00571FA6"/>
    <w:rsid w:val="005728E3"/>
    <w:rsid w:val="00572BE2"/>
    <w:rsid w:val="00573F39"/>
    <w:rsid w:val="0057442A"/>
    <w:rsid w:val="005766DB"/>
    <w:rsid w:val="0058147E"/>
    <w:rsid w:val="00581653"/>
    <w:rsid w:val="00581705"/>
    <w:rsid w:val="00582195"/>
    <w:rsid w:val="00582A49"/>
    <w:rsid w:val="0058329D"/>
    <w:rsid w:val="00583D67"/>
    <w:rsid w:val="00583F7A"/>
    <w:rsid w:val="005842F5"/>
    <w:rsid w:val="00584B68"/>
    <w:rsid w:val="00584F8E"/>
    <w:rsid w:val="005870CF"/>
    <w:rsid w:val="00587245"/>
    <w:rsid w:val="0058741D"/>
    <w:rsid w:val="00587879"/>
    <w:rsid w:val="00587CED"/>
    <w:rsid w:val="005914A1"/>
    <w:rsid w:val="00591FEB"/>
    <w:rsid w:val="005921D6"/>
    <w:rsid w:val="00592404"/>
    <w:rsid w:val="00594156"/>
    <w:rsid w:val="00594234"/>
    <w:rsid w:val="00594F38"/>
    <w:rsid w:val="0059593D"/>
    <w:rsid w:val="005963FD"/>
    <w:rsid w:val="0059771D"/>
    <w:rsid w:val="0059776B"/>
    <w:rsid w:val="005A273E"/>
    <w:rsid w:val="005A2A33"/>
    <w:rsid w:val="005A2CD4"/>
    <w:rsid w:val="005A2E7A"/>
    <w:rsid w:val="005A2FF4"/>
    <w:rsid w:val="005A5744"/>
    <w:rsid w:val="005A6006"/>
    <w:rsid w:val="005A76FD"/>
    <w:rsid w:val="005B0440"/>
    <w:rsid w:val="005B0B4C"/>
    <w:rsid w:val="005B0E29"/>
    <w:rsid w:val="005B1D49"/>
    <w:rsid w:val="005B25AE"/>
    <w:rsid w:val="005B4BF2"/>
    <w:rsid w:val="005B5317"/>
    <w:rsid w:val="005B564F"/>
    <w:rsid w:val="005B5BC1"/>
    <w:rsid w:val="005B6AB6"/>
    <w:rsid w:val="005B74DC"/>
    <w:rsid w:val="005B7DED"/>
    <w:rsid w:val="005C07FD"/>
    <w:rsid w:val="005C1DC4"/>
    <w:rsid w:val="005C20F1"/>
    <w:rsid w:val="005C2158"/>
    <w:rsid w:val="005C22DA"/>
    <w:rsid w:val="005C4724"/>
    <w:rsid w:val="005C47B8"/>
    <w:rsid w:val="005C5B9C"/>
    <w:rsid w:val="005C5DB8"/>
    <w:rsid w:val="005C6DE8"/>
    <w:rsid w:val="005C7C55"/>
    <w:rsid w:val="005D2171"/>
    <w:rsid w:val="005D22D1"/>
    <w:rsid w:val="005D23E8"/>
    <w:rsid w:val="005D2D96"/>
    <w:rsid w:val="005D44A8"/>
    <w:rsid w:val="005D59A8"/>
    <w:rsid w:val="005D5E71"/>
    <w:rsid w:val="005D65AE"/>
    <w:rsid w:val="005D7320"/>
    <w:rsid w:val="005D7463"/>
    <w:rsid w:val="005D7BDD"/>
    <w:rsid w:val="005D7D43"/>
    <w:rsid w:val="005E3A9B"/>
    <w:rsid w:val="005E48A0"/>
    <w:rsid w:val="005E4B49"/>
    <w:rsid w:val="005E5241"/>
    <w:rsid w:val="005E5B1D"/>
    <w:rsid w:val="005E750B"/>
    <w:rsid w:val="005E7CEA"/>
    <w:rsid w:val="005F023A"/>
    <w:rsid w:val="005F02AF"/>
    <w:rsid w:val="005F1719"/>
    <w:rsid w:val="005F2817"/>
    <w:rsid w:val="005F3812"/>
    <w:rsid w:val="005F4451"/>
    <w:rsid w:val="005F52CE"/>
    <w:rsid w:val="005F6C87"/>
    <w:rsid w:val="005F73C2"/>
    <w:rsid w:val="005F79D9"/>
    <w:rsid w:val="005F7AE0"/>
    <w:rsid w:val="0060019F"/>
    <w:rsid w:val="006002B9"/>
    <w:rsid w:val="00600D7E"/>
    <w:rsid w:val="00603094"/>
    <w:rsid w:val="00603466"/>
    <w:rsid w:val="006036D2"/>
    <w:rsid w:val="006053CD"/>
    <w:rsid w:val="00605FC0"/>
    <w:rsid w:val="0060648C"/>
    <w:rsid w:val="00606E1F"/>
    <w:rsid w:val="0060747B"/>
    <w:rsid w:val="0060783C"/>
    <w:rsid w:val="00607EFD"/>
    <w:rsid w:val="006100B4"/>
    <w:rsid w:val="00610A23"/>
    <w:rsid w:val="00611F3F"/>
    <w:rsid w:val="00612A1B"/>
    <w:rsid w:val="00613C0E"/>
    <w:rsid w:val="00613C3B"/>
    <w:rsid w:val="006147EE"/>
    <w:rsid w:val="006158C5"/>
    <w:rsid w:val="00615E0A"/>
    <w:rsid w:val="00617A3C"/>
    <w:rsid w:val="00620134"/>
    <w:rsid w:val="0062061E"/>
    <w:rsid w:val="00620A19"/>
    <w:rsid w:val="00621934"/>
    <w:rsid w:val="006252E0"/>
    <w:rsid w:val="006262F0"/>
    <w:rsid w:val="00627B57"/>
    <w:rsid w:val="0063181F"/>
    <w:rsid w:val="00631A90"/>
    <w:rsid w:val="00631AAA"/>
    <w:rsid w:val="006323AE"/>
    <w:rsid w:val="00632774"/>
    <w:rsid w:val="00634210"/>
    <w:rsid w:val="00634487"/>
    <w:rsid w:val="00635516"/>
    <w:rsid w:val="0063631E"/>
    <w:rsid w:val="00640027"/>
    <w:rsid w:val="00640572"/>
    <w:rsid w:val="00642485"/>
    <w:rsid w:val="006424A1"/>
    <w:rsid w:val="006429BB"/>
    <w:rsid w:val="00642B9D"/>
    <w:rsid w:val="006434A5"/>
    <w:rsid w:val="00643EB1"/>
    <w:rsid w:val="00644728"/>
    <w:rsid w:val="00644F30"/>
    <w:rsid w:val="00647037"/>
    <w:rsid w:val="006528C5"/>
    <w:rsid w:val="00652F6A"/>
    <w:rsid w:val="006540AA"/>
    <w:rsid w:val="00654470"/>
    <w:rsid w:val="00656888"/>
    <w:rsid w:val="006568CA"/>
    <w:rsid w:val="006570EB"/>
    <w:rsid w:val="00657192"/>
    <w:rsid w:val="006571BE"/>
    <w:rsid w:val="0066071E"/>
    <w:rsid w:val="00660A24"/>
    <w:rsid w:val="00660B52"/>
    <w:rsid w:val="006614A1"/>
    <w:rsid w:val="0066206F"/>
    <w:rsid w:val="00662406"/>
    <w:rsid w:val="006633BC"/>
    <w:rsid w:val="006640EE"/>
    <w:rsid w:val="006646B8"/>
    <w:rsid w:val="006651AD"/>
    <w:rsid w:val="00670A54"/>
    <w:rsid w:val="00671103"/>
    <w:rsid w:val="00672426"/>
    <w:rsid w:val="006724A5"/>
    <w:rsid w:val="006726E6"/>
    <w:rsid w:val="00673A1B"/>
    <w:rsid w:val="0067431C"/>
    <w:rsid w:val="006745F3"/>
    <w:rsid w:val="0067485E"/>
    <w:rsid w:val="0067613C"/>
    <w:rsid w:val="00676334"/>
    <w:rsid w:val="00677844"/>
    <w:rsid w:val="00677C11"/>
    <w:rsid w:val="00677EED"/>
    <w:rsid w:val="006800C4"/>
    <w:rsid w:val="006803FE"/>
    <w:rsid w:val="0068073D"/>
    <w:rsid w:val="006815BE"/>
    <w:rsid w:val="006815CA"/>
    <w:rsid w:val="006829A7"/>
    <w:rsid w:val="00682CFC"/>
    <w:rsid w:val="00682D26"/>
    <w:rsid w:val="00683581"/>
    <w:rsid w:val="00683E8D"/>
    <w:rsid w:val="006844CE"/>
    <w:rsid w:val="00684B8B"/>
    <w:rsid w:val="00684C34"/>
    <w:rsid w:val="00685431"/>
    <w:rsid w:val="0068578F"/>
    <w:rsid w:val="006864ED"/>
    <w:rsid w:val="00686767"/>
    <w:rsid w:val="006867A3"/>
    <w:rsid w:val="00687269"/>
    <w:rsid w:val="006873DE"/>
    <w:rsid w:val="00687A8B"/>
    <w:rsid w:val="00690BF1"/>
    <w:rsid w:val="0069161F"/>
    <w:rsid w:val="00691717"/>
    <w:rsid w:val="00694570"/>
    <w:rsid w:val="0069492C"/>
    <w:rsid w:val="006949FC"/>
    <w:rsid w:val="006965BF"/>
    <w:rsid w:val="006A044B"/>
    <w:rsid w:val="006A194D"/>
    <w:rsid w:val="006A2825"/>
    <w:rsid w:val="006A3A2F"/>
    <w:rsid w:val="006A3AA8"/>
    <w:rsid w:val="006A3BD7"/>
    <w:rsid w:val="006A3FA9"/>
    <w:rsid w:val="006A43C7"/>
    <w:rsid w:val="006A5012"/>
    <w:rsid w:val="006A54D0"/>
    <w:rsid w:val="006A54FA"/>
    <w:rsid w:val="006A57EE"/>
    <w:rsid w:val="006A725A"/>
    <w:rsid w:val="006B045E"/>
    <w:rsid w:val="006B072C"/>
    <w:rsid w:val="006B0AFF"/>
    <w:rsid w:val="006B0CAD"/>
    <w:rsid w:val="006B1D1E"/>
    <w:rsid w:val="006B304B"/>
    <w:rsid w:val="006B5D86"/>
    <w:rsid w:val="006B63E5"/>
    <w:rsid w:val="006B69C4"/>
    <w:rsid w:val="006B6D0F"/>
    <w:rsid w:val="006B6E3A"/>
    <w:rsid w:val="006B7403"/>
    <w:rsid w:val="006C0190"/>
    <w:rsid w:val="006C0AA4"/>
    <w:rsid w:val="006C1D80"/>
    <w:rsid w:val="006C22BE"/>
    <w:rsid w:val="006C2576"/>
    <w:rsid w:val="006C2CEB"/>
    <w:rsid w:val="006C3248"/>
    <w:rsid w:val="006C3D07"/>
    <w:rsid w:val="006C4046"/>
    <w:rsid w:val="006C65FE"/>
    <w:rsid w:val="006C7039"/>
    <w:rsid w:val="006C78C0"/>
    <w:rsid w:val="006C78FD"/>
    <w:rsid w:val="006D0129"/>
    <w:rsid w:val="006D0383"/>
    <w:rsid w:val="006D23F1"/>
    <w:rsid w:val="006D2DD4"/>
    <w:rsid w:val="006D3EA8"/>
    <w:rsid w:val="006D44BA"/>
    <w:rsid w:val="006D6384"/>
    <w:rsid w:val="006D71BF"/>
    <w:rsid w:val="006D74CB"/>
    <w:rsid w:val="006E34E2"/>
    <w:rsid w:val="006E3B07"/>
    <w:rsid w:val="006E3B29"/>
    <w:rsid w:val="006E43A0"/>
    <w:rsid w:val="006E45CE"/>
    <w:rsid w:val="006E4B48"/>
    <w:rsid w:val="006E5756"/>
    <w:rsid w:val="006E5C8D"/>
    <w:rsid w:val="006E6DED"/>
    <w:rsid w:val="006E702C"/>
    <w:rsid w:val="006E7639"/>
    <w:rsid w:val="006E7AD9"/>
    <w:rsid w:val="006E7FC8"/>
    <w:rsid w:val="006F0A19"/>
    <w:rsid w:val="006F1CEC"/>
    <w:rsid w:val="006F201F"/>
    <w:rsid w:val="006F25F5"/>
    <w:rsid w:val="006F5124"/>
    <w:rsid w:val="006F5285"/>
    <w:rsid w:val="006F5942"/>
    <w:rsid w:val="006F63D2"/>
    <w:rsid w:val="006F6BBC"/>
    <w:rsid w:val="006F72C9"/>
    <w:rsid w:val="00700509"/>
    <w:rsid w:val="00700803"/>
    <w:rsid w:val="00700FF9"/>
    <w:rsid w:val="0070162F"/>
    <w:rsid w:val="00702273"/>
    <w:rsid w:val="007031A8"/>
    <w:rsid w:val="007042A3"/>
    <w:rsid w:val="00704315"/>
    <w:rsid w:val="00704B0B"/>
    <w:rsid w:val="00705171"/>
    <w:rsid w:val="0070547D"/>
    <w:rsid w:val="007060FF"/>
    <w:rsid w:val="00706C2D"/>
    <w:rsid w:val="00707258"/>
    <w:rsid w:val="0070758F"/>
    <w:rsid w:val="00707F9E"/>
    <w:rsid w:val="00710B18"/>
    <w:rsid w:val="00711EFA"/>
    <w:rsid w:val="0071250A"/>
    <w:rsid w:val="00712AEF"/>
    <w:rsid w:val="0071386C"/>
    <w:rsid w:val="007142C6"/>
    <w:rsid w:val="00715834"/>
    <w:rsid w:val="007159EF"/>
    <w:rsid w:val="007170EB"/>
    <w:rsid w:val="00717466"/>
    <w:rsid w:val="007178AE"/>
    <w:rsid w:val="00717C15"/>
    <w:rsid w:val="00720138"/>
    <w:rsid w:val="007211A2"/>
    <w:rsid w:val="00721CA9"/>
    <w:rsid w:val="00723A70"/>
    <w:rsid w:val="00723BD6"/>
    <w:rsid w:val="00723D39"/>
    <w:rsid w:val="007242E8"/>
    <w:rsid w:val="00724637"/>
    <w:rsid w:val="0072593C"/>
    <w:rsid w:val="00726523"/>
    <w:rsid w:val="00726AB8"/>
    <w:rsid w:val="007272C0"/>
    <w:rsid w:val="00730E23"/>
    <w:rsid w:val="00731E43"/>
    <w:rsid w:val="007320E2"/>
    <w:rsid w:val="00733A24"/>
    <w:rsid w:val="00735361"/>
    <w:rsid w:val="0073586B"/>
    <w:rsid w:val="00737585"/>
    <w:rsid w:val="0074024A"/>
    <w:rsid w:val="007415D4"/>
    <w:rsid w:val="00742514"/>
    <w:rsid w:val="00743CDA"/>
    <w:rsid w:val="00744E86"/>
    <w:rsid w:val="007460CB"/>
    <w:rsid w:val="007465EF"/>
    <w:rsid w:val="00746E97"/>
    <w:rsid w:val="007477C6"/>
    <w:rsid w:val="0075012C"/>
    <w:rsid w:val="00750A97"/>
    <w:rsid w:val="00750E4C"/>
    <w:rsid w:val="00751008"/>
    <w:rsid w:val="00751245"/>
    <w:rsid w:val="007517DA"/>
    <w:rsid w:val="00752631"/>
    <w:rsid w:val="00752E62"/>
    <w:rsid w:val="007546A7"/>
    <w:rsid w:val="007549A4"/>
    <w:rsid w:val="00754E29"/>
    <w:rsid w:val="00755B21"/>
    <w:rsid w:val="00756119"/>
    <w:rsid w:val="00756B0D"/>
    <w:rsid w:val="00757837"/>
    <w:rsid w:val="00757842"/>
    <w:rsid w:val="00760E20"/>
    <w:rsid w:val="00761093"/>
    <w:rsid w:val="007623D4"/>
    <w:rsid w:val="0076649E"/>
    <w:rsid w:val="00767C54"/>
    <w:rsid w:val="00770794"/>
    <w:rsid w:val="007709D9"/>
    <w:rsid w:val="007723B4"/>
    <w:rsid w:val="007731B4"/>
    <w:rsid w:val="007736E3"/>
    <w:rsid w:val="00773C00"/>
    <w:rsid w:val="007740F8"/>
    <w:rsid w:val="00774901"/>
    <w:rsid w:val="00774B6B"/>
    <w:rsid w:val="00776326"/>
    <w:rsid w:val="007765A0"/>
    <w:rsid w:val="00776644"/>
    <w:rsid w:val="00776F97"/>
    <w:rsid w:val="00777D2D"/>
    <w:rsid w:val="00777D47"/>
    <w:rsid w:val="00780375"/>
    <w:rsid w:val="0078128A"/>
    <w:rsid w:val="0078191C"/>
    <w:rsid w:val="00783E24"/>
    <w:rsid w:val="00784175"/>
    <w:rsid w:val="00784A6D"/>
    <w:rsid w:val="00785159"/>
    <w:rsid w:val="007851A6"/>
    <w:rsid w:val="00785755"/>
    <w:rsid w:val="00785C8E"/>
    <w:rsid w:val="00786991"/>
    <w:rsid w:val="00786ABF"/>
    <w:rsid w:val="0079015C"/>
    <w:rsid w:val="00790F8E"/>
    <w:rsid w:val="007918EF"/>
    <w:rsid w:val="007927AC"/>
    <w:rsid w:val="0079554D"/>
    <w:rsid w:val="0079590D"/>
    <w:rsid w:val="00796936"/>
    <w:rsid w:val="0079738C"/>
    <w:rsid w:val="0079774A"/>
    <w:rsid w:val="00797849"/>
    <w:rsid w:val="007A0E81"/>
    <w:rsid w:val="007A1B0C"/>
    <w:rsid w:val="007A2AD9"/>
    <w:rsid w:val="007A3660"/>
    <w:rsid w:val="007A3F61"/>
    <w:rsid w:val="007A4994"/>
    <w:rsid w:val="007A4A02"/>
    <w:rsid w:val="007A6CAD"/>
    <w:rsid w:val="007A728B"/>
    <w:rsid w:val="007A7A5A"/>
    <w:rsid w:val="007B08C4"/>
    <w:rsid w:val="007B1BC6"/>
    <w:rsid w:val="007B1C91"/>
    <w:rsid w:val="007B4520"/>
    <w:rsid w:val="007B496E"/>
    <w:rsid w:val="007B4A5F"/>
    <w:rsid w:val="007B4FE4"/>
    <w:rsid w:val="007B50D4"/>
    <w:rsid w:val="007B52AA"/>
    <w:rsid w:val="007B6059"/>
    <w:rsid w:val="007B612D"/>
    <w:rsid w:val="007B729D"/>
    <w:rsid w:val="007B7A6E"/>
    <w:rsid w:val="007C045F"/>
    <w:rsid w:val="007C0ABD"/>
    <w:rsid w:val="007C0C42"/>
    <w:rsid w:val="007C1DFA"/>
    <w:rsid w:val="007C1F5A"/>
    <w:rsid w:val="007C3721"/>
    <w:rsid w:val="007C5537"/>
    <w:rsid w:val="007C63B1"/>
    <w:rsid w:val="007C6DEB"/>
    <w:rsid w:val="007C7ECB"/>
    <w:rsid w:val="007D1CC2"/>
    <w:rsid w:val="007D1CC7"/>
    <w:rsid w:val="007D23AD"/>
    <w:rsid w:val="007D373A"/>
    <w:rsid w:val="007D389C"/>
    <w:rsid w:val="007D47E7"/>
    <w:rsid w:val="007D485E"/>
    <w:rsid w:val="007D4CA1"/>
    <w:rsid w:val="007D5C19"/>
    <w:rsid w:val="007D6205"/>
    <w:rsid w:val="007D621D"/>
    <w:rsid w:val="007D6FB5"/>
    <w:rsid w:val="007D7D7F"/>
    <w:rsid w:val="007E034D"/>
    <w:rsid w:val="007E1A81"/>
    <w:rsid w:val="007E1C2F"/>
    <w:rsid w:val="007E2C47"/>
    <w:rsid w:val="007E313E"/>
    <w:rsid w:val="007E32A3"/>
    <w:rsid w:val="007E34E1"/>
    <w:rsid w:val="007E4918"/>
    <w:rsid w:val="007E4BE3"/>
    <w:rsid w:val="007E516E"/>
    <w:rsid w:val="007E675B"/>
    <w:rsid w:val="007E67DF"/>
    <w:rsid w:val="007E76AB"/>
    <w:rsid w:val="007E78CA"/>
    <w:rsid w:val="007E7F55"/>
    <w:rsid w:val="007F0519"/>
    <w:rsid w:val="007F094C"/>
    <w:rsid w:val="007F1B27"/>
    <w:rsid w:val="007F20D5"/>
    <w:rsid w:val="007F3DB8"/>
    <w:rsid w:val="007F3E00"/>
    <w:rsid w:val="007F4B15"/>
    <w:rsid w:val="007F4D8F"/>
    <w:rsid w:val="007F7EAA"/>
    <w:rsid w:val="00800789"/>
    <w:rsid w:val="0080166B"/>
    <w:rsid w:val="008018E2"/>
    <w:rsid w:val="00802A42"/>
    <w:rsid w:val="0080341C"/>
    <w:rsid w:val="00803457"/>
    <w:rsid w:val="008035B9"/>
    <w:rsid w:val="00803C69"/>
    <w:rsid w:val="00803CD0"/>
    <w:rsid w:val="00804A9D"/>
    <w:rsid w:val="00804C8A"/>
    <w:rsid w:val="0080626A"/>
    <w:rsid w:val="0080741D"/>
    <w:rsid w:val="00807731"/>
    <w:rsid w:val="00807EAA"/>
    <w:rsid w:val="00811D10"/>
    <w:rsid w:val="00812EAC"/>
    <w:rsid w:val="008138EC"/>
    <w:rsid w:val="008138F0"/>
    <w:rsid w:val="00813AFE"/>
    <w:rsid w:val="00814D85"/>
    <w:rsid w:val="008151F5"/>
    <w:rsid w:val="00815C2E"/>
    <w:rsid w:val="00816D2F"/>
    <w:rsid w:val="00816EDB"/>
    <w:rsid w:val="00817855"/>
    <w:rsid w:val="008203B3"/>
    <w:rsid w:val="0082191D"/>
    <w:rsid w:val="00822DB3"/>
    <w:rsid w:val="008230CA"/>
    <w:rsid w:val="00826013"/>
    <w:rsid w:val="0082627D"/>
    <w:rsid w:val="00826C11"/>
    <w:rsid w:val="00827962"/>
    <w:rsid w:val="00827E97"/>
    <w:rsid w:val="00830713"/>
    <w:rsid w:val="00832A3B"/>
    <w:rsid w:val="008330EF"/>
    <w:rsid w:val="0083399D"/>
    <w:rsid w:val="00833C3C"/>
    <w:rsid w:val="00834AB3"/>
    <w:rsid w:val="0083537F"/>
    <w:rsid w:val="00835B75"/>
    <w:rsid w:val="008360FD"/>
    <w:rsid w:val="0083657F"/>
    <w:rsid w:val="00837DE9"/>
    <w:rsid w:val="00840196"/>
    <w:rsid w:val="008402AF"/>
    <w:rsid w:val="00840E43"/>
    <w:rsid w:val="00841401"/>
    <w:rsid w:val="00843605"/>
    <w:rsid w:val="00843CBC"/>
    <w:rsid w:val="00843F22"/>
    <w:rsid w:val="008452D6"/>
    <w:rsid w:val="00845F54"/>
    <w:rsid w:val="00847087"/>
    <w:rsid w:val="00847FA5"/>
    <w:rsid w:val="0085135A"/>
    <w:rsid w:val="00851884"/>
    <w:rsid w:val="00852701"/>
    <w:rsid w:val="00852AE4"/>
    <w:rsid w:val="00852C1A"/>
    <w:rsid w:val="00852E54"/>
    <w:rsid w:val="00852FC8"/>
    <w:rsid w:val="00854094"/>
    <w:rsid w:val="00855C0F"/>
    <w:rsid w:val="00855D48"/>
    <w:rsid w:val="00855F77"/>
    <w:rsid w:val="00856FC1"/>
    <w:rsid w:val="008570DA"/>
    <w:rsid w:val="00857CC7"/>
    <w:rsid w:val="00857D4C"/>
    <w:rsid w:val="00860E40"/>
    <w:rsid w:val="00862040"/>
    <w:rsid w:val="0086267F"/>
    <w:rsid w:val="00862897"/>
    <w:rsid w:val="008628EC"/>
    <w:rsid w:val="008631D7"/>
    <w:rsid w:val="008636EE"/>
    <w:rsid w:val="0086467A"/>
    <w:rsid w:val="0086479E"/>
    <w:rsid w:val="00864D1E"/>
    <w:rsid w:val="0086769C"/>
    <w:rsid w:val="008677ED"/>
    <w:rsid w:val="00867B2A"/>
    <w:rsid w:val="00867DB1"/>
    <w:rsid w:val="00870961"/>
    <w:rsid w:val="00870B32"/>
    <w:rsid w:val="008739B0"/>
    <w:rsid w:val="00874011"/>
    <w:rsid w:val="00875BF7"/>
    <w:rsid w:val="00876026"/>
    <w:rsid w:val="008767A1"/>
    <w:rsid w:val="00876C4E"/>
    <w:rsid w:val="008770B8"/>
    <w:rsid w:val="00877218"/>
    <w:rsid w:val="008772DD"/>
    <w:rsid w:val="00877BF4"/>
    <w:rsid w:val="0088072C"/>
    <w:rsid w:val="0088080A"/>
    <w:rsid w:val="00880BBE"/>
    <w:rsid w:val="00880D90"/>
    <w:rsid w:val="008811A6"/>
    <w:rsid w:val="00881EA4"/>
    <w:rsid w:val="00882B35"/>
    <w:rsid w:val="00882B3B"/>
    <w:rsid w:val="00882E6C"/>
    <w:rsid w:val="00882EED"/>
    <w:rsid w:val="00883F4A"/>
    <w:rsid w:val="00884166"/>
    <w:rsid w:val="00885B27"/>
    <w:rsid w:val="00886843"/>
    <w:rsid w:val="008869DB"/>
    <w:rsid w:val="00886E5A"/>
    <w:rsid w:val="00887726"/>
    <w:rsid w:val="00887833"/>
    <w:rsid w:val="00890A63"/>
    <w:rsid w:val="00890ACD"/>
    <w:rsid w:val="00891398"/>
    <w:rsid w:val="0089234D"/>
    <w:rsid w:val="00892971"/>
    <w:rsid w:val="0089467A"/>
    <w:rsid w:val="00894C8F"/>
    <w:rsid w:val="00894D05"/>
    <w:rsid w:val="00895192"/>
    <w:rsid w:val="00895DBE"/>
    <w:rsid w:val="00895E53"/>
    <w:rsid w:val="008A0587"/>
    <w:rsid w:val="008A16D5"/>
    <w:rsid w:val="008A1D25"/>
    <w:rsid w:val="008A21CE"/>
    <w:rsid w:val="008A2526"/>
    <w:rsid w:val="008A276C"/>
    <w:rsid w:val="008A2A50"/>
    <w:rsid w:val="008A3553"/>
    <w:rsid w:val="008A3A51"/>
    <w:rsid w:val="008A4055"/>
    <w:rsid w:val="008A5471"/>
    <w:rsid w:val="008A5A30"/>
    <w:rsid w:val="008A6374"/>
    <w:rsid w:val="008A692E"/>
    <w:rsid w:val="008A72C3"/>
    <w:rsid w:val="008A76F6"/>
    <w:rsid w:val="008A7B27"/>
    <w:rsid w:val="008A7DA7"/>
    <w:rsid w:val="008B0359"/>
    <w:rsid w:val="008B093E"/>
    <w:rsid w:val="008B09C2"/>
    <w:rsid w:val="008B0B30"/>
    <w:rsid w:val="008B1F4D"/>
    <w:rsid w:val="008B2461"/>
    <w:rsid w:val="008B2C23"/>
    <w:rsid w:val="008B3C31"/>
    <w:rsid w:val="008B3F06"/>
    <w:rsid w:val="008B48B0"/>
    <w:rsid w:val="008B50A6"/>
    <w:rsid w:val="008B5DD7"/>
    <w:rsid w:val="008B6C1E"/>
    <w:rsid w:val="008B7C77"/>
    <w:rsid w:val="008B7DF6"/>
    <w:rsid w:val="008C1535"/>
    <w:rsid w:val="008C18C7"/>
    <w:rsid w:val="008C1B3D"/>
    <w:rsid w:val="008C4DCF"/>
    <w:rsid w:val="008C4EE1"/>
    <w:rsid w:val="008C5DDB"/>
    <w:rsid w:val="008C6853"/>
    <w:rsid w:val="008C73C2"/>
    <w:rsid w:val="008C7A23"/>
    <w:rsid w:val="008D0520"/>
    <w:rsid w:val="008D0CFE"/>
    <w:rsid w:val="008D0F76"/>
    <w:rsid w:val="008D11C0"/>
    <w:rsid w:val="008D194F"/>
    <w:rsid w:val="008D35ED"/>
    <w:rsid w:val="008D4328"/>
    <w:rsid w:val="008D4801"/>
    <w:rsid w:val="008D60D0"/>
    <w:rsid w:val="008D7006"/>
    <w:rsid w:val="008D7C67"/>
    <w:rsid w:val="008E0F93"/>
    <w:rsid w:val="008E11A3"/>
    <w:rsid w:val="008E284F"/>
    <w:rsid w:val="008E2B11"/>
    <w:rsid w:val="008E2C35"/>
    <w:rsid w:val="008E332B"/>
    <w:rsid w:val="008E33D6"/>
    <w:rsid w:val="008E5715"/>
    <w:rsid w:val="008E5AF2"/>
    <w:rsid w:val="008E63F1"/>
    <w:rsid w:val="008E7080"/>
    <w:rsid w:val="008E77AE"/>
    <w:rsid w:val="008E7834"/>
    <w:rsid w:val="008F0723"/>
    <w:rsid w:val="008F0815"/>
    <w:rsid w:val="008F11C5"/>
    <w:rsid w:val="008F122D"/>
    <w:rsid w:val="008F3174"/>
    <w:rsid w:val="009004AF"/>
    <w:rsid w:val="00900824"/>
    <w:rsid w:val="00900F43"/>
    <w:rsid w:val="009041CD"/>
    <w:rsid w:val="009047C9"/>
    <w:rsid w:val="00905401"/>
    <w:rsid w:val="009058CF"/>
    <w:rsid w:val="009062D9"/>
    <w:rsid w:val="00906C05"/>
    <w:rsid w:val="0090776C"/>
    <w:rsid w:val="00907A0E"/>
    <w:rsid w:val="00911372"/>
    <w:rsid w:val="009113F4"/>
    <w:rsid w:val="00911E31"/>
    <w:rsid w:val="00911F96"/>
    <w:rsid w:val="00912091"/>
    <w:rsid w:val="009126F0"/>
    <w:rsid w:val="009134C8"/>
    <w:rsid w:val="00914D4E"/>
    <w:rsid w:val="00917213"/>
    <w:rsid w:val="009175A9"/>
    <w:rsid w:val="00920C58"/>
    <w:rsid w:val="00921525"/>
    <w:rsid w:val="0092155F"/>
    <w:rsid w:val="00924388"/>
    <w:rsid w:val="009249B6"/>
    <w:rsid w:val="00924FAE"/>
    <w:rsid w:val="00925270"/>
    <w:rsid w:val="00926FB0"/>
    <w:rsid w:val="009323A4"/>
    <w:rsid w:val="00933A64"/>
    <w:rsid w:val="00934B11"/>
    <w:rsid w:val="00934B71"/>
    <w:rsid w:val="00934B87"/>
    <w:rsid w:val="00935002"/>
    <w:rsid w:val="00935015"/>
    <w:rsid w:val="0093507D"/>
    <w:rsid w:val="00935224"/>
    <w:rsid w:val="00936266"/>
    <w:rsid w:val="00936ADA"/>
    <w:rsid w:val="00936F7D"/>
    <w:rsid w:val="0093767F"/>
    <w:rsid w:val="009407FC"/>
    <w:rsid w:val="0094174C"/>
    <w:rsid w:val="009431FC"/>
    <w:rsid w:val="009449F2"/>
    <w:rsid w:val="00944B22"/>
    <w:rsid w:val="00945BAA"/>
    <w:rsid w:val="00945D39"/>
    <w:rsid w:val="009464CD"/>
    <w:rsid w:val="0095077E"/>
    <w:rsid w:val="0095103C"/>
    <w:rsid w:val="00951072"/>
    <w:rsid w:val="00953942"/>
    <w:rsid w:val="009539E6"/>
    <w:rsid w:val="009545F5"/>
    <w:rsid w:val="009557B1"/>
    <w:rsid w:val="00955FE7"/>
    <w:rsid w:val="009566AB"/>
    <w:rsid w:val="00956AB3"/>
    <w:rsid w:val="009572BA"/>
    <w:rsid w:val="0095748D"/>
    <w:rsid w:val="009576EA"/>
    <w:rsid w:val="009577E9"/>
    <w:rsid w:val="00957D9F"/>
    <w:rsid w:val="00960DE2"/>
    <w:rsid w:val="00961E9C"/>
    <w:rsid w:val="009624A1"/>
    <w:rsid w:val="00964761"/>
    <w:rsid w:val="009647EC"/>
    <w:rsid w:val="00967284"/>
    <w:rsid w:val="0096775C"/>
    <w:rsid w:val="009711B8"/>
    <w:rsid w:val="009719FB"/>
    <w:rsid w:val="00972192"/>
    <w:rsid w:val="00972664"/>
    <w:rsid w:val="00973C73"/>
    <w:rsid w:val="0097538D"/>
    <w:rsid w:val="00975E74"/>
    <w:rsid w:val="00976911"/>
    <w:rsid w:val="00977742"/>
    <w:rsid w:val="009806F0"/>
    <w:rsid w:val="00981181"/>
    <w:rsid w:val="009812FD"/>
    <w:rsid w:val="009813D5"/>
    <w:rsid w:val="009816C4"/>
    <w:rsid w:val="0098346B"/>
    <w:rsid w:val="00985A43"/>
    <w:rsid w:val="009860B9"/>
    <w:rsid w:val="00990B9A"/>
    <w:rsid w:val="00991165"/>
    <w:rsid w:val="00991306"/>
    <w:rsid w:val="00991FB7"/>
    <w:rsid w:val="00992060"/>
    <w:rsid w:val="009929EB"/>
    <w:rsid w:val="00992F75"/>
    <w:rsid w:val="00993080"/>
    <w:rsid w:val="00993543"/>
    <w:rsid w:val="00993B0E"/>
    <w:rsid w:val="00993B25"/>
    <w:rsid w:val="009940EE"/>
    <w:rsid w:val="0099413B"/>
    <w:rsid w:val="009941AE"/>
    <w:rsid w:val="009945AA"/>
    <w:rsid w:val="00994F4D"/>
    <w:rsid w:val="009958AC"/>
    <w:rsid w:val="00995936"/>
    <w:rsid w:val="00996BB4"/>
    <w:rsid w:val="009A0B3D"/>
    <w:rsid w:val="009A19F9"/>
    <w:rsid w:val="009A2199"/>
    <w:rsid w:val="009A26DA"/>
    <w:rsid w:val="009A3AEF"/>
    <w:rsid w:val="009A410B"/>
    <w:rsid w:val="009A5C27"/>
    <w:rsid w:val="009A5F5C"/>
    <w:rsid w:val="009A65CC"/>
    <w:rsid w:val="009A6776"/>
    <w:rsid w:val="009A7601"/>
    <w:rsid w:val="009B0412"/>
    <w:rsid w:val="009B05E8"/>
    <w:rsid w:val="009B0F84"/>
    <w:rsid w:val="009B2761"/>
    <w:rsid w:val="009B3428"/>
    <w:rsid w:val="009B37BD"/>
    <w:rsid w:val="009B3D86"/>
    <w:rsid w:val="009B4360"/>
    <w:rsid w:val="009B4E51"/>
    <w:rsid w:val="009B5DF4"/>
    <w:rsid w:val="009B735C"/>
    <w:rsid w:val="009B76C6"/>
    <w:rsid w:val="009C05BE"/>
    <w:rsid w:val="009C0D36"/>
    <w:rsid w:val="009C172B"/>
    <w:rsid w:val="009C18AE"/>
    <w:rsid w:val="009C1D95"/>
    <w:rsid w:val="009C2096"/>
    <w:rsid w:val="009C276A"/>
    <w:rsid w:val="009C3624"/>
    <w:rsid w:val="009C3A47"/>
    <w:rsid w:val="009C4922"/>
    <w:rsid w:val="009C58CA"/>
    <w:rsid w:val="009C5E0F"/>
    <w:rsid w:val="009C6DED"/>
    <w:rsid w:val="009C73C3"/>
    <w:rsid w:val="009C7B5D"/>
    <w:rsid w:val="009C7E54"/>
    <w:rsid w:val="009D21E6"/>
    <w:rsid w:val="009D2CED"/>
    <w:rsid w:val="009D38D0"/>
    <w:rsid w:val="009D396B"/>
    <w:rsid w:val="009D3BB9"/>
    <w:rsid w:val="009D3EBC"/>
    <w:rsid w:val="009D451B"/>
    <w:rsid w:val="009D4A51"/>
    <w:rsid w:val="009D54BF"/>
    <w:rsid w:val="009D6235"/>
    <w:rsid w:val="009D68C5"/>
    <w:rsid w:val="009D6B01"/>
    <w:rsid w:val="009E0547"/>
    <w:rsid w:val="009E087F"/>
    <w:rsid w:val="009E0ADF"/>
    <w:rsid w:val="009E0B56"/>
    <w:rsid w:val="009E0C9F"/>
    <w:rsid w:val="009E11AF"/>
    <w:rsid w:val="009E21FE"/>
    <w:rsid w:val="009E3BA3"/>
    <w:rsid w:val="009E55FE"/>
    <w:rsid w:val="009E6461"/>
    <w:rsid w:val="009E6669"/>
    <w:rsid w:val="009E6747"/>
    <w:rsid w:val="009F062F"/>
    <w:rsid w:val="009F2311"/>
    <w:rsid w:val="009F2575"/>
    <w:rsid w:val="009F25DB"/>
    <w:rsid w:val="009F449D"/>
    <w:rsid w:val="009F5C8D"/>
    <w:rsid w:val="009F6736"/>
    <w:rsid w:val="00A0041B"/>
    <w:rsid w:val="00A005FE"/>
    <w:rsid w:val="00A0084A"/>
    <w:rsid w:val="00A008B6"/>
    <w:rsid w:val="00A012B3"/>
    <w:rsid w:val="00A01F48"/>
    <w:rsid w:val="00A021A8"/>
    <w:rsid w:val="00A0272F"/>
    <w:rsid w:val="00A03209"/>
    <w:rsid w:val="00A05A59"/>
    <w:rsid w:val="00A06161"/>
    <w:rsid w:val="00A064E7"/>
    <w:rsid w:val="00A065C7"/>
    <w:rsid w:val="00A07942"/>
    <w:rsid w:val="00A103DD"/>
    <w:rsid w:val="00A10DD1"/>
    <w:rsid w:val="00A11645"/>
    <w:rsid w:val="00A11E52"/>
    <w:rsid w:val="00A1209C"/>
    <w:rsid w:val="00A12914"/>
    <w:rsid w:val="00A13870"/>
    <w:rsid w:val="00A13C47"/>
    <w:rsid w:val="00A14A82"/>
    <w:rsid w:val="00A15392"/>
    <w:rsid w:val="00A15511"/>
    <w:rsid w:val="00A15712"/>
    <w:rsid w:val="00A16290"/>
    <w:rsid w:val="00A16484"/>
    <w:rsid w:val="00A16626"/>
    <w:rsid w:val="00A223B5"/>
    <w:rsid w:val="00A2274F"/>
    <w:rsid w:val="00A234CB"/>
    <w:rsid w:val="00A235CA"/>
    <w:rsid w:val="00A235D3"/>
    <w:rsid w:val="00A2485F"/>
    <w:rsid w:val="00A257FC"/>
    <w:rsid w:val="00A301AA"/>
    <w:rsid w:val="00A30480"/>
    <w:rsid w:val="00A3049D"/>
    <w:rsid w:val="00A30E9C"/>
    <w:rsid w:val="00A32C7B"/>
    <w:rsid w:val="00A33128"/>
    <w:rsid w:val="00A35A71"/>
    <w:rsid w:val="00A35C38"/>
    <w:rsid w:val="00A36446"/>
    <w:rsid w:val="00A36D74"/>
    <w:rsid w:val="00A36EC6"/>
    <w:rsid w:val="00A37B99"/>
    <w:rsid w:val="00A4034A"/>
    <w:rsid w:val="00A4089B"/>
    <w:rsid w:val="00A41593"/>
    <w:rsid w:val="00A45695"/>
    <w:rsid w:val="00A45B7F"/>
    <w:rsid w:val="00A466F9"/>
    <w:rsid w:val="00A478C6"/>
    <w:rsid w:val="00A479A5"/>
    <w:rsid w:val="00A501EE"/>
    <w:rsid w:val="00A5044E"/>
    <w:rsid w:val="00A50493"/>
    <w:rsid w:val="00A506AC"/>
    <w:rsid w:val="00A50BEB"/>
    <w:rsid w:val="00A50E84"/>
    <w:rsid w:val="00A518FC"/>
    <w:rsid w:val="00A52E0A"/>
    <w:rsid w:val="00A53B30"/>
    <w:rsid w:val="00A56BC6"/>
    <w:rsid w:val="00A574A8"/>
    <w:rsid w:val="00A614C8"/>
    <w:rsid w:val="00A62ED0"/>
    <w:rsid w:val="00A63C89"/>
    <w:rsid w:val="00A65750"/>
    <w:rsid w:val="00A658BB"/>
    <w:rsid w:val="00A66D94"/>
    <w:rsid w:val="00A67372"/>
    <w:rsid w:val="00A6749B"/>
    <w:rsid w:val="00A701D3"/>
    <w:rsid w:val="00A70315"/>
    <w:rsid w:val="00A70A85"/>
    <w:rsid w:val="00A71909"/>
    <w:rsid w:val="00A7200E"/>
    <w:rsid w:val="00A7203A"/>
    <w:rsid w:val="00A724DC"/>
    <w:rsid w:val="00A73C59"/>
    <w:rsid w:val="00A752E0"/>
    <w:rsid w:val="00A75312"/>
    <w:rsid w:val="00A75544"/>
    <w:rsid w:val="00A759C8"/>
    <w:rsid w:val="00A75BAC"/>
    <w:rsid w:val="00A762C2"/>
    <w:rsid w:val="00A766DB"/>
    <w:rsid w:val="00A80423"/>
    <w:rsid w:val="00A8218B"/>
    <w:rsid w:val="00A841CF"/>
    <w:rsid w:val="00A8488C"/>
    <w:rsid w:val="00A84C55"/>
    <w:rsid w:val="00A854BA"/>
    <w:rsid w:val="00A86693"/>
    <w:rsid w:val="00A86D98"/>
    <w:rsid w:val="00A9012C"/>
    <w:rsid w:val="00A90667"/>
    <w:rsid w:val="00A90FC7"/>
    <w:rsid w:val="00A91F90"/>
    <w:rsid w:val="00A92946"/>
    <w:rsid w:val="00A9339E"/>
    <w:rsid w:val="00A9518C"/>
    <w:rsid w:val="00A95FA1"/>
    <w:rsid w:val="00A97107"/>
    <w:rsid w:val="00A97D2D"/>
    <w:rsid w:val="00AA060D"/>
    <w:rsid w:val="00AA07E5"/>
    <w:rsid w:val="00AA15A2"/>
    <w:rsid w:val="00AA2D2A"/>
    <w:rsid w:val="00AA3115"/>
    <w:rsid w:val="00AA365B"/>
    <w:rsid w:val="00AA4DBD"/>
    <w:rsid w:val="00AA5585"/>
    <w:rsid w:val="00AA6666"/>
    <w:rsid w:val="00AA67D9"/>
    <w:rsid w:val="00AA783E"/>
    <w:rsid w:val="00AB0B3C"/>
    <w:rsid w:val="00AB0C40"/>
    <w:rsid w:val="00AB2783"/>
    <w:rsid w:val="00AB3CE8"/>
    <w:rsid w:val="00AB3EAA"/>
    <w:rsid w:val="00AB44AA"/>
    <w:rsid w:val="00AB44B2"/>
    <w:rsid w:val="00AB472D"/>
    <w:rsid w:val="00AB4DE8"/>
    <w:rsid w:val="00AB5C1B"/>
    <w:rsid w:val="00AB6084"/>
    <w:rsid w:val="00AB659F"/>
    <w:rsid w:val="00AB6D7B"/>
    <w:rsid w:val="00AB6DF9"/>
    <w:rsid w:val="00AB6FFE"/>
    <w:rsid w:val="00AB73C0"/>
    <w:rsid w:val="00AB7893"/>
    <w:rsid w:val="00AC042E"/>
    <w:rsid w:val="00AC0BC2"/>
    <w:rsid w:val="00AC0ECB"/>
    <w:rsid w:val="00AC1436"/>
    <w:rsid w:val="00AC193A"/>
    <w:rsid w:val="00AC1EAC"/>
    <w:rsid w:val="00AC2400"/>
    <w:rsid w:val="00AC279D"/>
    <w:rsid w:val="00AC2C0D"/>
    <w:rsid w:val="00AC2E86"/>
    <w:rsid w:val="00AC365B"/>
    <w:rsid w:val="00AC4522"/>
    <w:rsid w:val="00AC4C57"/>
    <w:rsid w:val="00AC5510"/>
    <w:rsid w:val="00AC58B5"/>
    <w:rsid w:val="00AC6BE5"/>
    <w:rsid w:val="00AC6CC1"/>
    <w:rsid w:val="00AC6D17"/>
    <w:rsid w:val="00AC6D7A"/>
    <w:rsid w:val="00AC7AB7"/>
    <w:rsid w:val="00AC7C99"/>
    <w:rsid w:val="00AD1C1F"/>
    <w:rsid w:val="00AD26F4"/>
    <w:rsid w:val="00AD3679"/>
    <w:rsid w:val="00AD37D5"/>
    <w:rsid w:val="00AD43A1"/>
    <w:rsid w:val="00AD56D2"/>
    <w:rsid w:val="00AD6721"/>
    <w:rsid w:val="00AD6D61"/>
    <w:rsid w:val="00AD6F6B"/>
    <w:rsid w:val="00AD721F"/>
    <w:rsid w:val="00AD7985"/>
    <w:rsid w:val="00AE126B"/>
    <w:rsid w:val="00AE1757"/>
    <w:rsid w:val="00AE1811"/>
    <w:rsid w:val="00AE2237"/>
    <w:rsid w:val="00AE289B"/>
    <w:rsid w:val="00AE2B82"/>
    <w:rsid w:val="00AE326C"/>
    <w:rsid w:val="00AE3954"/>
    <w:rsid w:val="00AE3E63"/>
    <w:rsid w:val="00AE3EE7"/>
    <w:rsid w:val="00AE4CB8"/>
    <w:rsid w:val="00AE5602"/>
    <w:rsid w:val="00AE58D3"/>
    <w:rsid w:val="00AE5F1F"/>
    <w:rsid w:val="00AE61B5"/>
    <w:rsid w:val="00AE6E0E"/>
    <w:rsid w:val="00AE7332"/>
    <w:rsid w:val="00AF0B6E"/>
    <w:rsid w:val="00AF1CCD"/>
    <w:rsid w:val="00AF2888"/>
    <w:rsid w:val="00AF2C59"/>
    <w:rsid w:val="00AF3198"/>
    <w:rsid w:val="00AF3D2C"/>
    <w:rsid w:val="00AF41A0"/>
    <w:rsid w:val="00AF576F"/>
    <w:rsid w:val="00AF66DA"/>
    <w:rsid w:val="00AF69D4"/>
    <w:rsid w:val="00AF6AA4"/>
    <w:rsid w:val="00AF6D34"/>
    <w:rsid w:val="00AF7167"/>
    <w:rsid w:val="00B00E46"/>
    <w:rsid w:val="00B01AF8"/>
    <w:rsid w:val="00B02C39"/>
    <w:rsid w:val="00B04015"/>
    <w:rsid w:val="00B0467C"/>
    <w:rsid w:val="00B04DF0"/>
    <w:rsid w:val="00B06028"/>
    <w:rsid w:val="00B064D2"/>
    <w:rsid w:val="00B06536"/>
    <w:rsid w:val="00B06AC6"/>
    <w:rsid w:val="00B06B37"/>
    <w:rsid w:val="00B078A4"/>
    <w:rsid w:val="00B106BB"/>
    <w:rsid w:val="00B118BE"/>
    <w:rsid w:val="00B11EDC"/>
    <w:rsid w:val="00B125E7"/>
    <w:rsid w:val="00B13A31"/>
    <w:rsid w:val="00B13B53"/>
    <w:rsid w:val="00B15424"/>
    <w:rsid w:val="00B16070"/>
    <w:rsid w:val="00B1625B"/>
    <w:rsid w:val="00B16594"/>
    <w:rsid w:val="00B16A2E"/>
    <w:rsid w:val="00B1726E"/>
    <w:rsid w:val="00B20183"/>
    <w:rsid w:val="00B20918"/>
    <w:rsid w:val="00B20DE0"/>
    <w:rsid w:val="00B22299"/>
    <w:rsid w:val="00B23455"/>
    <w:rsid w:val="00B23EF7"/>
    <w:rsid w:val="00B243AB"/>
    <w:rsid w:val="00B25AA3"/>
    <w:rsid w:val="00B25C68"/>
    <w:rsid w:val="00B25D02"/>
    <w:rsid w:val="00B26346"/>
    <w:rsid w:val="00B27C9D"/>
    <w:rsid w:val="00B3102D"/>
    <w:rsid w:val="00B326F3"/>
    <w:rsid w:val="00B33524"/>
    <w:rsid w:val="00B33791"/>
    <w:rsid w:val="00B3439F"/>
    <w:rsid w:val="00B348E7"/>
    <w:rsid w:val="00B3584E"/>
    <w:rsid w:val="00B35DDB"/>
    <w:rsid w:val="00B35FDD"/>
    <w:rsid w:val="00B371AA"/>
    <w:rsid w:val="00B373B3"/>
    <w:rsid w:val="00B37A74"/>
    <w:rsid w:val="00B37BB7"/>
    <w:rsid w:val="00B37BCD"/>
    <w:rsid w:val="00B424AB"/>
    <w:rsid w:val="00B42853"/>
    <w:rsid w:val="00B44B37"/>
    <w:rsid w:val="00B44F9F"/>
    <w:rsid w:val="00B45524"/>
    <w:rsid w:val="00B46999"/>
    <w:rsid w:val="00B4709F"/>
    <w:rsid w:val="00B47157"/>
    <w:rsid w:val="00B47200"/>
    <w:rsid w:val="00B475F1"/>
    <w:rsid w:val="00B502AD"/>
    <w:rsid w:val="00B5037E"/>
    <w:rsid w:val="00B52941"/>
    <w:rsid w:val="00B5304E"/>
    <w:rsid w:val="00B539FA"/>
    <w:rsid w:val="00B543F6"/>
    <w:rsid w:val="00B54525"/>
    <w:rsid w:val="00B54B78"/>
    <w:rsid w:val="00B550D2"/>
    <w:rsid w:val="00B5579D"/>
    <w:rsid w:val="00B56100"/>
    <w:rsid w:val="00B6063F"/>
    <w:rsid w:val="00B60BDF"/>
    <w:rsid w:val="00B60E75"/>
    <w:rsid w:val="00B60EED"/>
    <w:rsid w:val="00B6237B"/>
    <w:rsid w:val="00B63709"/>
    <w:rsid w:val="00B6403A"/>
    <w:rsid w:val="00B645CD"/>
    <w:rsid w:val="00B647D9"/>
    <w:rsid w:val="00B65605"/>
    <w:rsid w:val="00B658FE"/>
    <w:rsid w:val="00B66539"/>
    <w:rsid w:val="00B66632"/>
    <w:rsid w:val="00B6680E"/>
    <w:rsid w:val="00B673D8"/>
    <w:rsid w:val="00B67436"/>
    <w:rsid w:val="00B708AF"/>
    <w:rsid w:val="00B71262"/>
    <w:rsid w:val="00B73014"/>
    <w:rsid w:val="00B740D5"/>
    <w:rsid w:val="00B746CD"/>
    <w:rsid w:val="00B747DF"/>
    <w:rsid w:val="00B7661F"/>
    <w:rsid w:val="00B76C21"/>
    <w:rsid w:val="00B76FE0"/>
    <w:rsid w:val="00B77108"/>
    <w:rsid w:val="00B80690"/>
    <w:rsid w:val="00B8175A"/>
    <w:rsid w:val="00B818E9"/>
    <w:rsid w:val="00B81A86"/>
    <w:rsid w:val="00B81E08"/>
    <w:rsid w:val="00B82350"/>
    <w:rsid w:val="00B83ACB"/>
    <w:rsid w:val="00B84377"/>
    <w:rsid w:val="00B84518"/>
    <w:rsid w:val="00B85627"/>
    <w:rsid w:val="00B85CC9"/>
    <w:rsid w:val="00B8617A"/>
    <w:rsid w:val="00B87554"/>
    <w:rsid w:val="00B87643"/>
    <w:rsid w:val="00B90BAF"/>
    <w:rsid w:val="00B90D14"/>
    <w:rsid w:val="00B926DC"/>
    <w:rsid w:val="00B93032"/>
    <w:rsid w:val="00B9322F"/>
    <w:rsid w:val="00B935B9"/>
    <w:rsid w:val="00B93718"/>
    <w:rsid w:val="00B959EE"/>
    <w:rsid w:val="00B95F41"/>
    <w:rsid w:val="00B9691A"/>
    <w:rsid w:val="00B96CC9"/>
    <w:rsid w:val="00B97DE2"/>
    <w:rsid w:val="00BA0058"/>
    <w:rsid w:val="00BA095C"/>
    <w:rsid w:val="00BA0D26"/>
    <w:rsid w:val="00BA23A1"/>
    <w:rsid w:val="00BA23BE"/>
    <w:rsid w:val="00BA266D"/>
    <w:rsid w:val="00BA3917"/>
    <w:rsid w:val="00BA4674"/>
    <w:rsid w:val="00BA4DF9"/>
    <w:rsid w:val="00BA576A"/>
    <w:rsid w:val="00BA62C5"/>
    <w:rsid w:val="00BA7E8A"/>
    <w:rsid w:val="00BB0826"/>
    <w:rsid w:val="00BB0FDB"/>
    <w:rsid w:val="00BB1700"/>
    <w:rsid w:val="00BB2A6D"/>
    <w:rsid w:val="00BB3376"/>
    <w:rsid w:val="00BB34F9"/>
    <w:rsid w:val="00BB38D1"/>
    <w:rsid w:val="00BB3EB4"/>
    <w:rsid w:val="00BB4FFF"/>
    <w:rsid w:val="00BB5820"/>
    <w:rsid w:val="00BB5CCE"/>
    <w:rsid w:val="00BB5D61"/>
    <w:rsid w:val="00BB6215"/>
    <w:rsid w:val="00BB6CAB"/>
    <w:rsid w:val="00BB7934"/>
    <w:rsid w:val="00BC1538"/>
    <w:rsid w:val="00BC1912"/>
    <w:rsid w:val="00BC1EAC"/>
    <w:rsid w:val="00BC254D"/>
    <w:rsid w:val="00BC3175"/>
    <w:rsid w:val="00BC3523"/>
    <w:rsid w:val="00BC42E9"/>
    <w:rsid w:val="00BC52CB"/>
    <w:rsid w:val="00BC654B"/>
    <w:rsid w:val="00BC6B43"/>
    <w:rsid w:val="00BC7CB8"/>
    <w:rsid w:val="00BC7DAF"/>
    <w:rsid w:val="00BD0BB9"/>
    <w:rsid w:val="00BD0D0A"/>
    <w:rsid w:val="00BD1890"/>
    <w:rsid w:val="00BD2D25"/>
    <w:rsid w:val="00BD3FC7"/>
    <w:rsid w:val="00BD513C"/>
    <w:rsid w:val="00BD5DC5"/>
    <w:rsid w:val="00BD5F31"/>
    <w:rsid w:val="00BD70AC"/>
    <w:rsid w:val="00BE01E9"/>
    <w:rsid w:val="00BE02B8"/>
    <w:rsid w:val="00BE0AAC"/>
    <w:rsid w:val="00BE373C"/>
    <w:rsid w:val="00BE39DB"/>
    <w:rsid w:val="00BE41B7"/>
    <w:rsid w:val="00BE5441"/>
    <w:rsid w:val="00BE6138"/>
    <w:rsid w:val="00BF02F6"/>
    <w:rsid w:val="00BF084F"/>
    <w:rsid w:val="00BF0EA0"/>
    <w:rsid w:val="00BF11C9"/>
    <w:rsid w:val="00BF1472"/>
    <w:rsid w:val="00BF1B75"/>
    <w:rsid w:val="00BF1C5C"/>
    <w:rsid w:val="00BF2FF9"/>
    <w:rsid w:val="00BF3937"/>
    <w:rsid w:val="00BF42CE"/>
    <w:rsid w:val="00BF56D5"/>
    <w:rsid w:val="00BF5865"/>
    <w:rsid w:val="00BF67C4"/>
    <w:rsid w:val="00BF68A0"/>
    <w:rsid w:val="00BF77A7"/>
    <w:rsid w:val="00BF7F9E"/>
    <w:rsid w:val="00C004C1"/>
    <w:rsid w:val="00C00B5D"/>
    <w:rsid w:val="00C00C20"/>
    <w:rsid w:val="00C00DFC"/>
    <w:rsid w:val="00C01736"/>
    <w:rsid w:val="00C01E27"/>
    <w:rsid w:val="00C02228"/>
    <w:rsid w:val="00C02307"/>
    <w:rsid w:val="00C02DAD"/>
    <w:rsid w:val="00C042DF"/>
    <w:rsid w:val="00C04FFC"/>
    <w:rsid w:val="00C06A20"/>
    <w:rsid w:val="00C079FE"/>
    <w:rsid w:val="00C07B8A"/>
    <w:rsid w:val="00C10778"/>
    <w:rsid w:val="00C10AD5"/>
    <w:rsid w:val="00C1304F"/>
    <w:rsid w:val="00C13B82"/>
    <w:rsid w:val="00C15A38"/>
    <w:rsid w:val="00C15CCC"/>
    <w:rsid w:val="00C1675A"/>
    <w:rsid w:val="00C1732A"/>
    <w:rsid w:val="00C17AEB"/>
    <w:rsid w:val="00C20029"/>
    <w:rsid w:val="00C2196F"/>
    <w:rsid w:val="00C21EE0"/>
    <w:rsid w:val="00C22F82"/>
    <w:rsid w:val="00C2428B"/>
    <w:rsid w:val="00C258B1"/>
    <w:rsid w:val="00C26B69"/>
    <w:rsid w:val="00C27046"/>
    <w:rsid w:val="00C277A8"/>
    <w:rsid w:val="00C27A54"/>
    <w:rsid w:val="00C32822"/>
    <w:rsid w:val="00C337A0"/>
    <w:rsid w:val="00C341A0"/>
    <w:rsid w:val="00C35900"/>
    <w:rsid w:val="00C3722B"/>
    <w:rsid w:val="00C4065D"/>
    <w:rsid w:val="00C4143B"/>
    <w:rsid w:val="00C46297"/>
    <w:rsid w:val="00C46A93"/>
    <w:rsid w:val="00C470F0"/>
    <w:rsid w:val="00C473EA"/>
    <w:rsid w:val="00C47F11"/>
    <w:rsid w:val="00C50260"/>
    <w:rsid w:val="00C509D1"/>
    <w:rsid w:val="00C514A1"/>
    <w:rsid w:val="00C516F8"/>
    <w:rsid w:val="00C528D1"/>
    <w:rsid w:val="00C52A57"/>
    <w:rsid w:val="00C52AE8"/>
    <w:rsid w:val="00C531DF"/>
    <w:rsid w:val="00C53C85"/>
    <w:rsid w:val="00C54BDB"/>
    <w:rsid w:val="00C55F17"/>
    <w:rsid w:val="00C56532"/>
    <w:rsid w:val="00C56ACF"/>
    <w:rsid w:val="00C571BC"/>
    <w:rsid w:val="00C57B8D"/>
    <w:rsid w:val="00C60807"/>
    <w:rsid w:val="00C60A1C"/>
    <w:rsid w:val="00C615DA"/>
    <w:rsid w:val="00C621A0"/>
    <w:rsid w:val="00C62AB8"/>
    <w:rsid w:val="00C62E86"/>
    <w:rsid w:val="00C6491C"/>
    <w:rsid w:val="00C64D1E"/>
    <w:rsid w:val="00C650F0"/>
    <w:rsid w:val="00C65542"/>
    <w:rsid w:val="00C65FF2"/>
    <w:rsid w:val="00C667F6"/>
    <w:rsid w:val="00C670F1"/>
    <w:rsid w:val="00C67FAC"/>
    <w:rsid w:val="00C70A22"/>
    <w:rsid w:val="00C70E62"/>
    <w:rsid w:val="00C71581"/>
    <w:rsid w:val="00C717C1"/>
    <w:rsid w:val="00C72511"/>
    <w:rsid w:val="00C725EA"/>
    <w:rsid w:val="00C7326D"/>
    <w:rsid w:val="00C738AF"/>
    <w:rsid w:val="00C73B6E"/>
    <w:rsid w:val="00C73D0C"/>
    <w:rsid w:val="00C7425A"/>
    <w:rsid w:val="00C7458A"/>
    <w:rsid w:val="00C74E02"/>
    <w:rsid w:val="00C74FE3"/>
    <w:rsid w:val="00C7506F"/>
    <w:rsid w:val="00C750AB"/>
    <w:rsid w:val="00C75486"/>
    <w:rsid w:val="00C75737"/>
    <w:rsid w:val="00C76181"/>
    <w:rsid w:val="00C764F3"/>
    <w:rsid w:val="00C767F0"/>
    <w:rsid w:val="00C7723B"/>
    <w:rsid w:val="00C803CF"/>
    <w:rsid w:val="00C818F2"/>
    <w:rsid w:val="00C81C56"/>
    <w:rsid w:val="00C82638"/>
    <w:rsid w:val="00C828E4"/>
    <w:rsid w:val="00C82C1A"/>
    <w:rsid w:val="00C840E3"/>
    <w:rsid w:val="00C8480F"/>
    <w:rsid w:val="00C852D6"/>
    <w:rsid w:val="00C8634A"/>
    <w:rsid w:val="00C86886"/>
    <w:rsid w:val="00C874B9"/>
    <w:rsid w:val="00C879B5"/>
    <w:rsid w:val="00C879F5"/>
    <w:rsid w:val="00C87D15"/>
    <w:rsid w:val="00C87F69"/>
    <w:rsid w:val="00C902D1"/>
    <w:rsid w:val="00C904CA"/>
    <w:rsid w:val="00C90EA0"/>
    <w:rsid w:val="00C91A02"/>
    <w:rsid w:val="00C91A32"/>
    <w:rsid w:val="00C92140"/>
    <w:rsid w:val="00C93A24"/>
    <w:rsid w:val="00C94685"/>
    <w:rsid w:val="00C94737"/>
    <w:rsid w:val="00C95582"/>
    <w:rsid w:val="00C9563C"/>
    <w:rsid w:val="00C957B9"/>
    <w:rsid w:val="00C9648D"/>
    <w:rsid w:val="00C96680"/>
    <w:rsid w:val="00C9723C"/>
    <w:rsid w:val="00CA26EF"/>
    <w:rsid w:val="00CA3E70"/>
    <w:rsid w:val="00CA3FBA"/>
    <w:rsid w:val="00CA42F9"/>
    <w:rsid w:val="00CA55FE"/>
    <w:rsid w:val="00CA647C"/>
    <w:rsid w:val="00CA6F0A"/>
    <w:rsid w:val="00CA720B"/>
    <w:rsid w:val="00CA7485"/>
    <w:rsid w:val="00CA7890"/>
    <w:rsid w:val="00CA7984"/>
    <w:rsid w:val="00CA7C71"/>
    <w:rsid w:val="00CB0A01"/>
    <w:rsid w:val="00CB22B1"/>
    <w:rsid w:val="00CB3159"/>
    <w:rsid w:val="00CB357E"/>
    <w:rsid w:val="00CB3642"/>
    <w:rsid w:val="00CB41A7"/>
    <w:rsid w:val="00CB4B35"/>
    <w:rsid w:val="00CB50BF"/>
    <w:rsid w:val="00CB52C8"/>
    <w:rsid w:val="00CB54A3"/>
    <w:rsid w:val="00CB5AD4"/>
    <w:rsid w:val="00CB5AF3"/>
    <w:rsid w:val="00CB70C8"/>
    <w:rsid w:val="00CC058C"/>
    <w:rsid w:val="00CC1169"/>
    <w:rsid w:val="00CC13AB"/>
    <w:rsid w:val="00CC1E7B"/>
    <w:rsid w:val="00CC211A"/>
    <w:rsid w:val="00CC30C9"/>
    <w:rsid w:val="00CC3800"/>
    <w:rsid w:val="00CC3E5A"/>
    <w:rsid w:val="00CC51CE"/>
    <w:rsid w:val="00CC54AC"/>
    <w:rsid w:val="00CC76BF"/>
    <w:rsid w:val="00CC78FD"/>
    <w:rsid w:val="00CD0750"/>
    <w:rsid w:val="00CD1B64"/>
    <w:rsid w:val="00CD2DA7"/>
    <w:rsid w:val="00CD43AB"/>
    <w:rsid w:val="00CD4AD6"/>
    <w:rsid w:val="00CD4B93"/>
    <w:rsid w:val="00CD50E8"/>
    <w:rsid w:val="00CD5180"/>
    <w:rsid w:val="00CD5E33"/>
    <w:rsid w:val="00CE009B"/>
    <w:rsid w:val="00CE04EA"/>
    <w:rsid w:val="00CE09AD"/>
    <w:rsid w:val="00CE146B"/>
    <w:rsid w:val="00CE2068"/>
    <w:rsid w:val="00CE36A3"/>
    <w:rsid w:val="00CE49AF"/>
    <w:rsid w:val="00CE5265"/>
    <w:rsid w:val="00CE52C4"/>
    <w:rsid w:val="00CE5377"/>
    <w:rsid w:val="00CE57B3"/>
    <w:rsid w:val="00CE5A7A"/>
    <w:rsid w:val="00CE64EB"/>
    <w:rsid w:val="00CE6DFA"/>
    <w:rsid w:val="00CE6F97"/>
    <w:rsid w:val="00CE7C5E"/>
    <w:rsid w:val="00CF0878"/>
    <w:rsid w:val="00CF1FA3"/>
    <w:rsid w:val="00CF30C0"/>
    <w:rsid w:val="00CF4145"/>
    <w:rsid w:val="00CF5447"/>
    <w:rsid w:val="00CF5619"/>
    <w:rsid w:val="00CF57AE"/>
    <w:rsid w:val="00CF58E7"/>
    <w:rsid w:val="00CF5FB4"/>
    <w:rsid w:val="00CF69DE"/>
    <w:rsid w:val="00CF6BE4"/>
    <w:rsid w:val="00D0077C"/>
    <w:rsid w:val="00D01DB2"/>
    <w:rsid w:val="00D01E01"/>
    <w:rsid w:val="00D02ED7"/>
    <w:rsid w:val="00D044AE"/>
    <w:rsid w:val="00D06C7B"/>
    <w:rsid w:val="00D07613"/>
    <w:rsid w:val="00D10853"/>
    <w:rsid w:val="00D1136B"/>
    <w:rsid w:val="00D11AD5"/>
    <w:rsid w:val="00D11CA6"/>
    <w:rsid w:val="00D11F90"/>
    <w:rsid w:val="00D12097"/>
    <w:rsid w:val="00D126D2"/>
    <w:rsid w:val="00D12A5D"/>
    <w:rsid w:val="00D12AC8"/>
    <w:rsid w:val="00D13AFE"/>
    <w:rsid w:val="00D143C4"/>
    <w:rsid w:val="00D149DA"/>
    <w:rsid w:val="00D14F94"/>
    <w:rsid w:val="00D15017"/>
    <w:rsid w:val="00D150D6"/>
    <w:rsid w:val="00D152C5"/>
    <w:rsid w:val="00D15B7E"/>
    <w:rsid w:val="00D15E86"/>
    <w:rsid w:val="00D16326"/>
    <w:rsid w:val="00D2068B"/>
    <w:rsid w:val="00D209F3"/>
    <w:rsid w:val="00D21257"/>
    <w:rsid w:val="00D2129C"/>
    <w:rsid w:val="00D21BE6"/>
    <w:rsid w:val="00D21CBC"/>
    <w:rsid w:val="00D21FBD"/>
    <w:rsid w:val="00D220C7"/>
    <w:rsid w:val="00D22538"/>
    <w:rsid w:val="00D2298C"/>
    <w:rsid w:val="00D22A2E"/>
    <w:rsid w:val="00D24312"/>
    <w:rsid w:val="00D24882"/>
    <w:rsid w:val="00D24FEC"/>
    <w:rsid w:val="00D2603A"/>
    <w:rsid w:val="00D26331"/>
    <w:rsid w:val="00D26EDD"/>
    <w:rsid w:val="00D26FCA"/>
    <w:rsid w:val="00D27C24"/>
    <w:rsid w:val="00D30566"/>
    <w:rsid w:val="00D30B59"/>
    <w:rsid w:val="00D30D38"/>
    <w:rsid w:val="00D327F0"/>
    <w:rsid w:val="00D33046"/>
    <w:rsid w:val="00D337BE"/>
    <w:rsid w:val="00D3390C"/>
    <w:rsid w:val="00D33AA5"/>
    <w:rsid w:val="00D34ABB"/>
    <w:rsid w:val="00D34EEF"/>
    <w:rsid w:val="00D3558F"/>
    <w:rsid w:val="00D3756D"/>
    <w:rsid w:val="00D40020"/>
    <w:rsid w:val="00D4020E"/>
    <w:rsid w:val="00D408CF"/>
    <w:rsid w:val="00D41961"/>
    <w:rsid w:val="00D437B1"/>
    <w:rsid w:val="00D45B32"/>
    <w:rsid w:val="00D47116"/>
    <w:rsid w:val="00D508CA"/>
    <w:rsid w:val="00D5097C"/>
    <w:rsid w:val="00D51338"/>
    <w:rsid w:val="00D51651"/>
    <w:rsid w:val="00D51A75"/>
    <w:rsid w:val="00D52E56"/>
    <w:rsid w:val="00D52EFB"/>
    <w:rsid w:val="00D55CF0"/>
    <w:rsid w:val="00D56B2C"/>
    <w:rsid w:val="00D56FBA"/>
    <w:rsid w:val="00D57408"/>
    <w:rsid w:val="00D57607"/>
    <w:rsid w:val="00D57EA5"/>
    <w:rsid w:val="00D6095A"/>
    <w:rsid w:val="00D60C00"/>
    <w:rsid w:val="00D62726"/>
    <w:rsid w:val="00D62BA5"/>
    <w:rsid w:val="00D65754"/>
    <w:rsid w:val="00D666CF"/>
    <w:rsid w:val="00D66749"/>
    <w:rsid w:val="00D6692B"/>
    <w:rsid w:val="00D6693A"/>
    <w:rsid w:val="00D66ED7"/>
    <w:rsid w:val="00D70FCE"/>
    <w:rsid w:val="00D7131B"/>
    <w:rsid w:val="00D73A81"/>
    <w:rsid w:val="00D73AFE"/>
    <w:rsid w:val="00D74F1B"/>
    <w:rsid w:val="00D75BA0"/>
    <w:rsid w:val="00D7611D"/>
    <w:rsid w:val="00D7762F"/>
    <w:rsid w:val="00D81003"/>
    <w:rsid w:val="00D81447"/>
    <w:rsid w:val="00D82813"/>
    <w:rsid w:val="00D82AC6"/>
    <w:rsid w:val="00D840CB"/>
    <w:rsid w:val="00D84F08"/>
    <w:rsid w:val="00D84F38"/>
    <w:rsid w:val="00D85699"/>
    <w:rsid w:val="00D85B2F"/>
    <w:rsid w:val="00D861A2"/>
    <w:rsid w:val="00D86C94"/>
    <w:rsid w:val="00D90FDA"/>
    <w:rsid w:val="00D917F9"/>
    <w:rsid w:val="00D92564"/>
    <w:rsid w:val="00D926FA"/>
    <w:rsid w:val="00D94457"/>
    <w:rsid w:val="00D95608"/>
    <w:rsid w:val="00D958C0"/>
    <w:rsid w:val="00D95D3A"/>
    <w:rsid w:val="00DA0133"/>
    <w:rsid w:val="00DA113B"/>
    <w:rsid w:val="00DA1220"/>
    <w:rsid w:val="00DA16F4"/>
    <w:rsid w:val="00DA223E"/>
    <w:rsid w:val="00DA2278"/>
    <w:rsid w:val="00DA271E"/>
    <w:rsid w:val="00DA2DBF"/>
    <w:rsid w:val="00DA313C"/>
    <w:rsid w:val="00DA46CB"/>
    <w:rsid w:val="00DA5140"/>
    <w:rsid w:val="00DA51FD"/>
    <w:rsid w:val="00DA539E"/>
    <w:rsid w:val="00DA5684"/>
    <w:rsid w:val="00DA5A72"/>
    <w:rsid w:val="00DA5F64"/>
    <w:rsid w:val="00DA6152"/>
    <w:rsid w:val="00DA63D1"/>
    <w:rsid w:val="00DA69B9"/>
    <w:rsid w:val="00DB0018"/>
    <w:rsid w:val="00DB02CD"/>
    <w:rsid w:val="00DB0428"/>
    <w:rsid w:val="00DB1B00"/>
    <w:rsid w:val="00DB1D68"/>
    <w:rsid w:val="00DB1EB5"/>
    <w:rsid w:val="00DB2967"/>
    <w:rsid w:val="00DB32C0"/>
    <w:rsid w:val="00DB3352"/>
    <w:rsid w:val="00DB3D02"/>
    <w:rsid w:val="00DB402F"/>
    <w:rsid w:val="00DB5DB2"/>
    <w:rsid w:val="00DB662A"/>
    <w:rsid w:val="00DB67CE"/>
    <w:rsid w:val="00DB69AF"/>
    <w:rsid w:val="00DB71B9"/>
    <w:rsid w:val="00DB7ED2"/>
    <w:rsid w:val="00DC09BB"/>
    <w:rsid w:val="00DC11C3"/>
    <w:rsid w:val="00DC17A2"/>
    <w:rsid w:val="00DC1D48"/>
    <w:rsid w:val="00DC1FA8"/>
    <w:rsid w:val="00DC2125"/>
    <w:rsid w:val="00DC2DC3"/>
    <w:rsid w:val="00DC5C40"/>
    <w:rsid w:val="00DC6164"/>
    <w:rsid w:val="00DC63C0"/>
    <w:rsid w:val="00DC6A7A"/>
    <w:rsid w:val="00DC6CF6"/>
    <w:rsid w:val="00DC7034"/>
    <w:rsid w:val="00DC75B2"/>
    <w:rsid w:val="00DC76F9"/>
    <w:rsid w:val="00DC7890"/>
    <w:rsid w:val="00DC7A68"/>
    <w:rsid w:val="00DD03CF"/>
    <w:rsid w:val="00DD2495"/>
    <w:rsid w:val="00DD3686"/>
    <w:rsid w:val="00DD378C"/>
    <w:rsid w:val="00DD3E88"/>
    <w:rsid w:val="00DD5114"/>
    <w:rsid w:val="00DD5248"/>
    <w:rsid w:val="00DD5479"/>
    <w:rsid w:val="00DD5F43"/>
    <w:rsid w:val="00DD707F"/>
    <w:rsid w:val="00DD78B2"/>
    <w:rsid w:val="00DD792D"/>
    <w:rsid w:val="00DE015B"/>
    <w:rsid w:val="00DE0C57"/>
    <w:rsid w:val="00DE1410"/>
    <w:rsid w:val="00DE26B7"/>
    <w:rsid w:val="00DE2E7A"/>
    <w:rsid w:val="00DE3492"/>
    <w:rsid w:val="00DE3946"/>
    <w:rsid w:val="00DE3CD1"/>
    <w:rsid w:val="00DE41EA"/>
    <w:rsid w:val="00DE6026"/>
    <w:rsid w:val="00DE6116"/>
    <w:rsid w:val="00DE6821"/>
    <w:rsid w:val="00DE6AF9"/>
    <w:rsid w:val="00DE6E27"/>
    <w:rsid w:val="00DE7739"/>
    <w:rsid w:val="00DF0396"/>
    <w:rsid w:val="00DF0888"/>
    <w:rsid w:val="00DF21D9"/>
    <w:rsid w:val="00DF23EF"/>
    <w:rsid w:val="00DF2C18"/>
    <w:rsid w:val="00DF3D79"/>
    <w:rsid w:val="00DF47EE"/>
    <w:rsid w:val="00DF502B"/>
    <w:rsid w:val="00DF54BB"/>
    <w:rsid w:val="00DF62E0"/>
    <w:rsid w:val="00DF7435"/>
    <w:rsid w:val="00DF7D77"/>
    <w:rsid w:val="00E00060"/>
    <w:rsid w:val="00E00431"/>
    <w:rsid w:val="00E00CC8"/>
    <w:rsid w:val="00E00E12"/>
    <w:rsid w:val="00E0376B"/>
    <w:rsid w:val="00E03F1F"/>
    <w:rsid w:val="00E04254"/>
    <w:rsid w:val="00E0594F"/>
    <w:rsid w:val="00E06166"/>
    <w:rsid w:val="00E06BE5"/>
    <w:rsid w:val="00E07795"/>
    <w:rsid w:val="00E07A3B"/>
    <w:rsid w:val="00E07FF6"/>
    <w:rsid w:val="00E10DF0"/>
    <w:rsid w:val="00E11F2A"/>
    <w:rsid w:val="00E125FC"/>
    <w:rsid w:val="00E1304B"/>
    <w:rsid w:val="00E147A0"/>
    <w:rsid w:val="00E201ED"/>
    <w:rsid w:val="00E21BC0"/>
    <w:rsid w:val="00E21C53"/>
    <w:rsid w:val="00E21CFC"/>
    <w:rsid w:val="00E21D16"/>
    <w:rsid w:val="00E227A8"/>
    <w:rsid w:val="00E23508"/>
    <w:rsid w:val="00E23E26"/>
    <w:rsid w:val="00E250D5"/>
    <w:rsid w:val="00E25958"/>
    <w:rsid w:val="00E25EB4"/>
    <w:rsid w:val="00E3048B"/>
    <w:rsid w:val="00E30FFE"/>
    <w:rsid w:val="00E3120A"/>
    <w:rsid w:val="00E319F1"/>
    <w:rsid w:val="00E31B70"/>
    <w:rsid w:val="00E3284A"/>
    <w:rsid w:val="00E32B86"/>
    <w:rsid w:val="00E32F8A"/>
    <w:rsid w:val="00E3450F"/>
    <w:rsid w:val="00E35150"/>
    <w:rsid w:val="00E35603"/>
    <w:rsid w:val="00E36441"/>
    <w:rsid w:val="00E40A55"/>
    <w:rsid w:val="00E40BD9"/>
    <w:rsid w:val="00E41A3C"/>
    <w:rsid w:val="00E427EA"/>
    <w:rsid w:val="00E42915"/>
    <w:rsid w:val="00E43501"/>
    <w:rsid w:val="00E445F3"/>
    <w:rsid w:val="00E45076"/>
    <w:rsid w:val="00E45EC6"/>
    <w:rsid w:val="00E47096"/>
    <w:rsid w:val="00E47297"/>
    <w:rsid w:val="00E47572"/>
    <w:rsid w:val="00E47746"/>
    <w:rsid w:val="00E47C0C"/>
    <w:rsid w:val="00E51017"/>
    <w:rsid w:val="00E512E5"/>
    <w:rsid w:val="00E51C05"/>
    <w:rsid w:val="00E51E7C"/>
    <w:rsid w:val="00E51FF3"/>
    <w:rsid w:val="00E520D4"/>
    <w:rsid w:val="00E52503"/>
    <w:rsid w:val="00E52EDE"/>
    <w:rsid w:val="00E5416C"/>
    <w:rsid w:val="00E54809"/>
    <w:rsid w:val="00E54EAC"/>
    <w:rsid w:val="00E551D1"/>
    <w:rsid w:val="00E5574E"/>
    <w:rsid w:val="00E56D72"/>
    <w:rsid w:val="00E60486"/>
    <w:rsid w:val="00E60783"/>
    <w:rsid w:val="00E619D0"/>
    <w:rsid w:val="00E635C3"/>
    <w:rsid w:val="00E63F62"/>
    <w:rsid w:val="00E64AD6"/>
    <w:rsid w:val="00E6584B"/>
    <w:rsid w:val="00E65BC7"/>
    <w:rsid w:val="00E6626C"/>
    <w:rsid w:val="00E663DA"/>
    <w:rsid w:val="00E663EC"/>
    <w:rsid w:val="00E66BAA"/>
    <w:rsid w:val="00E66E32"/>
    <w:rsid w:val="00E671D9"/>
    <w:rsid w:val="00E6777C"/>
    <w:rsid w:val="00E677BA"/>
    <w:rsid w:val="00E67A03"/>
    <w:rsid w:val="00E723C5"/>
    <w:rsid w:val="00E72584"/>
    <w:rsid w:val="00E72A21"/>
    <w:rsid w:val="00E73116"/>
    <w:rsid w:val="00E73369"/>
    <w:rsid w:val="00E741A2"/>
    <w:rsid w:val="00E7481D"/>
    <w:rsid w:val="00E76096"/>
    <w:rsid w:val="00E77ABA"/>
    <w:rsid w:val="00E77E24"/>
    <w:rsid w:val="00E81029"/>
    <w:rsid w:val="00E814F0"/>
    <w:rsid w:val="00E827B2"/>
    <w:rsid w:val="00E83678"/>
    <w:rsid w:val="00E84A19"/>
    <w:rsid w:val="00E84B9A"/>
    <w:rsid w:val="00E8694E"/>
    <w:rsid w:val="00E907C5"/>
    <w:rsid w:val="00E907EE"/>
    <w:rsid w:val="00E909E3"/>
    <w:rsid w:val="00E90EFD"/>
    <w:rsid w:val="00E911DB"/>
    <w:rsid w:val="00E91206"/>
    <w:rsid w:val="00E91283"/>
    <w:rsid w:val="00E91363"/>
    <w:rsid w:val="00E91FAD"/>
    <w:rsid w:val="00E93425"/>
    <w:rsid w:val="00E934D3"/>
    <w:rsid w:val="00E93A9C"/>
    <w:rsid w:val="00E93D79"/>
    <w:rsid w:val="00E93F6E"/>
    <w:rsid w:val="00E93FFC"/>
    <w:rsid w:val="00E948A2"/>
    <w:rsid w:val="00E95C23"/>
    <w:rsid w:val="00E96EF4"/>
    <w:rsid w:val="00E970B9"/>
    <w:rsid w:val="00E97543"/>
    <w:rsid w:val="00EA0910"/>
    <w:rsid w:val="00EA0B82"/>
    <w:rsid w:val="00EA0C58"/>
    <w:rsid w:val="00EA0CD7"/>
    <w:rsid w:val="00EA1B99"/>
    <w:rsid w:val="00EA1D7E"/>
    <w:rsid w:val="00EA1F5C"/>
    <w:rsid w:val="00EA1FD4"/>
    <w:rsid w:val="00EA2232"/>
    <w:rsid w:val="00EA2B23"/>
    <w:rsid w:val="00EA3514"/>
    <w:rsid w:val="00EA40C7"/>
    <w:rsid w:val="00EA436F"/>
    <w:rsid w:val="00EA51D0"/>
    <w:rsid w:val="00EA521D"/>
    <w:rsid w:val="00EA5559"/>
    <w:rsid w:val="00EA63B2"/>
    <w:rsid w:val="00EA7D35"/>
    <w:rsid w:val="00EB0493"/>
    <w:rsid w:val="00EB17AB"/>
    <w:rsid w:val="00EB1F0B"/>
    <w:rsid w:val="00EB2E69"/>
    <w:rsid w:val="00EB36BE"/>
    <w:rsid w:val="00EB4726"/>
    <w:rsid w:val="00EB536D"/>
    <w:rsid w:val="00EB72A8"/>
    <w:rsid w:val="00EC13FD"/>
    <w:rsid w:val="00EC16DC"/>
    <w:rsid w:val="00EC2624"/>
    <w:rsid w:val="00EC28CB"/>
    <w:rsid w:val="00EC34FE"/>
    <w:rsid w:val="00EC3D97"/>
    <w:rsid w:val="00EC3F1F"/>
    <w:rsid w:val="00EC4022"/>
    <w:rsid w:val="00EC4718"/>
    <w:rsid w:val="00EC5262"/>
    <w:rsid w:val="00EC5974"/>
    <w:rsid w:val="00EC636E"/>
    <w:rsid w:val="00EC6448"/>
    <w:rsid w:val="00EC7751"/>
    <w:rsid w:val="00EC7F4E"/>
    <w:rsid w:val="00ED0231"/>
    <w:rsid w:val="00ED02EF"/>
    <w:rsid w:val="00ED0831"/>
    <w:rsid w:val="00ED1C4A"/>
    <w:rsid w:val="00ED2254"/>
    <w:rsid w:val="00ED2C8D"/>
    <w:rsid w:val="00ED314B"/>
    <w:rsid w:val="00ED37D0"/>
    <w:rsid w:val="00ED439F"/>
    <w:rsid w:val="00ED526A"/>
    <w:rsid w:val="00ED55C0"/>
    <w:rsid w:val="00ED71D5"/>
    <w:rsid w:val="00ED74F5"/>
    <w:rsid w:val="00EE042C"/>
    <w:rsid w:val="00EE0913"/>
    <w:rsid w:val="00EE0A0B"/>
    <w:rsid w:val="00EE25D9"/>
    <w:rsid w:val="00EE2C59"/>
    <w:rsid w:val="00EE2E0D"/>
    <w:rsid w:val="00EE3C92"/>
    <w:rsid w:val="00EE3D95"/>
    <w:rsid w:val="00EE7E4F"/>
    <w:rsid w:val="00EF006C"/>
    <w:rsid w:val="00EF009D"/>
    <w:rsid w:val="00EF083D"/>
    <w:rsid w:val="00EF0962"/>
    <w:rsid w:val="00EF0F18"/>
    <w:rsid w:val="00EF209D"/>
    <w:rsid w:val="00EF233D"/>
    <w:rsid w:val="00EF26EA"/>
    <w:rsid w:val="00EF3590"/>
    <w:rsid w:val="00EF6277"/>
    <w:rsid w:val="00EF6FDB"/>
    <w:rsid w:val="00F00420"/>
    <w:rsid w:val="00F00E39"/>
    <w:rsid w:val="00F0127B"/>
    <w:rsid w:val="00F01B9E"/>
    <w:rsid w:val="00F0229E"/>
    <w:rsid w:val="00F0302D"/>
    <w:rsid w:val="00F03244"/>
    <w:rsid w:val="00F034BC"/>
    <w:rsid w:val="00F03FCD"/>
    <w:rsid w:val="00F05134"/>
    <w:rsid w:val="00F05BD3"/>
    <w:rsid w:val="00F0627D"/>
    <w:rsid w:val="00F06AF5"/>
    <w:rsid w:val="00F07C7C"/>
    <w:rsid w:val="00F07FE2"/>
    <w:rsid w:val="00F10903"/>
    <w:rsid w:val="00F117BC"/>
    <w:rsid w:val="00F11DCF"/>
    <w:rsid w:val="00F1248E"/>
    <w:rsid w:val="00F12BCB"/>
    <w:rsid w:val="00F14E40"/>
    <w:rsid w:val="00F1515F"/>
    <w:rsid w:val="00F15DDB"/>
    <w:rsid w:val="00F16098"/>
    <w:rsid w:val="00F16779"/>
    <w:rsid w:val="00F17131"/>
    <w:rsid w:val="00F20D61"/>
    <w:rsid w:val="00F21854"/>
    <w:rsid w:val="00F21EAD"/>
    <w:rsid w:val="00F24C39"/>
    <w:rsid w:val="00F24CA5"/>
    <w:rsid w:val="00F279A6"/>
    <w:rsid w:val="00F27B39"/>
    <w:rsid w:val="00F30812"/>
    <w:rsid w:val="00F30FB2"/>
    <w:rsid w:val="00F313CA"/>
    <w:rsid w:val="00F31A9A"/>
    <w:rsid w:val="00F32236"/>
    <w:rsid w:val="00F325C1"/>
    <w:rsid w:val="00F332C3"/>
    <w:rsid w:val="00F34A42"/>
    <w:rsid w:val="00F35074"/>
    <w:rsid w:val="00F35505"/>
    <w:rsid w:val="00F358AF"/>
    <w:rsid w:val="00F35AF8"/>
    <w:rsid w:val="00F35E29"/>
    <w:rsid w:val="00F36479"/>
    <w:rsid w:val="00F36BC3"/>
    <w:rsid w:val="00F36FB1"/>
    <w:rsid w:val="00F3715D"/>
    <w:rsid w:val="00F3729E"/>
    <w:rsid w:val="00F37A57"/>
    <w:rsid w:val="00F40263"/>
    <w:rsid w:val="00F40CAB"/>
    <w:rsid w:val="00F41740"/>
    <w:rsid w:val="00F417D4"/>
    <w:rsid w:val="00F41895"/>
    <w:rsid w:val="00F41AFC"/>
    <w:rsid w:val="00F41CFE"/>
    <w:rsid w:val="00F42D37"/>
    <w:rsid w:val="00F432FB"/>
    <w:rsid w:val="00F44B84"/>
    <w:rsid w:val="00F45144"/>
    <w:rsid w:val="00F45F42"/>
    <w:rsid w:val="00F47FF8"/>
    <w:rsid w:val="00F50A31"/>
    <w:rsid w:val="00F51C04"/>
    <w:rsid w:val="00F53111"/>
    <w:rsid w:val="00F53406"/>
    <w:rsid w:val="00F5395D"/>
    <w:rsid w:val="00F53A99"/>
    <w:rsid w:val="00F55983"/>
    <w:rsid w:val="00F55991"/>
    <w:rsid w:val="00F55E2C"/>
    <w:rsid w:val="00F56579"/>
    <w:rsid w:val="00F56887"/>
    <w:rsid w:val="00F620DD"/>
    <w:rsid w:val="00F623D8"/>
    <w:rsid w:val="00F6277C"/>
    <w:rsid w:val="00F647F9"/>
    <w:rsid w:val="00F64B62"/>
    <w:rsid w:val="00F661C7"/>
    <w:rsid w:val="00F66588"/>
    <w:rsid w:val="00F67FD8"/>
    <w:rsid w:val="00F70838"/>
    <w:rsid w:val="00F71D5C"/>
    <w:rsid w:val="00F71E7A"/>
    <w:rsid w:val="00F720C1"/>
    <w:rsid w:val="00F727AF"/>
    <w:rsid w:val="00F72B0B"/>
    <w:rsid w:val="00F72C8D"/>
    <w:rsid w:val="00F73D97"/>
    <w:rsid w:val="00F74D56"/>
    <w:rsid w:val="00F7593E"/>
    <w:rsid w:val="00F76078"/>
    <w:rsid w:val="00F760EB"/>
    <w:rsid w:val="00F76F9D"/>
    <w:rsid w:val="00F800B9"/>
    <w:rsid w:val="00F8076E"/>
    <w:rsid w:val="00F80B77"/>
    <w:rsid w:val="00F80FBC"/>
    <w:rsid w:val="00F8153F"/>
    <w:rsid w:val="00F8163A"/>
    <w:rsid w:val="00F81C9D"/>
    <w:rsid w:val="00F8208F"/>
    <w:rsid w:val="00F8218E"/>
    <w:rsid w:val="00F82F71"/>
    <w:rsid w:val="00F833DC"/>
    <w:rsid w:val="00F83F8F"/>
    <w:rsid w:val="00F840FB"/>
    <w:rsid w:val="00F862D0"/>
    <w:rsid w:val="00F86B60"/>
    <w:rsid w:val="00F87092"/>
    <w:rsid w:val="00F87A56"/>
    <w:rsid w:val="00F87CD7"/>
    <w:rsid w:val="00F87D5F"/>
    <w:rsid w:val="00F90760"/>
    <w:rsid w:val="00F91869"/>
    <w:rsid w:val="00F91CFE"/>
    <w:rsid w:val="00F9374F"/>
    <w:rsid w:val="00F93D8D"/>
    <w:rsid w:val="00F93E96"/>
    <w:rsid w:val="00F9525F"/>
    <w:rsid w:val="00F96269"/>
    <w:rsid w:val="00F968A3"/>
    <w:rsid w:val="00F96A2B"/>
    <w:rsid w:val="00FA0219"/>
    <w:rsid w:val="00FA1431"/>
    <w:rsid w:val="00FA1A82"/>
    <w:rsid w:val="00FA30A2"/>
    <w:rsid w:val="00FA389D"/>
    <w:rsid w:val="00FA3CCE"/>
    <w:rsid w:val="00FA5273"/>
    <w:rsid w:val="00FA5BFD"/>
    <w:rsid w:val="00FA5E36"/>
    <w:rsid w:val="00FA641D"/>
    <w:rsid w:val="00FA6F79"/>
    <w:rsid w:val="00FA71F0"/>
    <w:rsid w:val="00FB02FF"/>
    <w:rsid w:val="00FB0AF5"/>
    <w:rsid w:val="00FB25C5"/>
    <w:rsid w:val="00FB2C5B"/>
    <w:rsid w:val="00FB2FBC"/>
    <w:rsid w:val="00FB4813"/>
    <w:rsid w:val="00FB4AF7"/>
    <w:rsid w:val="00FB5965"/>
    <w:rsid w:val="00FB71AA"/>
    <w:rsid w:val="00FC01F5"/>
    <w:rsid w:val="00FC0E9A"/>
    <w:rsid w:val="00FC2426"/>
    <w:rsid w:val="00FC2723"/>
    <w:rsid w:val="00FC2D25"/>
    <w:rsid w:val="00FC30B1"/>
    <w:rsid w:val="00FC3259"/>
    <w:rsid w:val="00FC3DF3"/>
    <w:rsid w:val="00FC4084"/>
    <w:rsid w:val="00FC4453"/>
    <w:rsid w:val="00FC7687"/>
    <w:rsid w:val="00FC76D9"/>
    <w:rsid w:val="00FC7EC6"/>
    <w:rsid w:val="00FD0814"/>
    <w:rsid w:val="00FD248D"/>
    <w:rsid w:val="00FD285D"/>
    <w:rsid w:val="00FD332A"/>
    <w:rsid w:val="00FD33E5"/>
    <w:rsid w:val="00FD3840"/>
    <w:rsid w:val="00FD49DA"/>
    <w:rsid w:val="00FD4B20"/>
    <w:rsid w:val="00FD5589"/>
    <w:rsid w:val="00FD570A"/>
    <w:rsid w:val="00FD5847"/>
    <w:rsid w:val="00FD5E12"/>
    <w:rsid w:val="00FD656E"/>
    <w:rsid w:val="00FD7143"/>
    <w:rsid w:val="00FD7C4B"/>
    <w:rsid w:val="00FE0AF7"/>
    <w:rsid w:val="00FE0ECD"/>
    <w:rsid w:val="00FE1323"/>
    <w:rsid w:val="00FE1DB5"/>
    <w:rsid w:val="00FE1F5E"/>
    <w:rsid w:val="00FE26AD"/>
    <w:rsid w:val="00FE28BE"/>
    <w:rsid w:val="00FE3142"/>
    <w:rsid w:val="00FE3CB1"/>
    <w:rsid w:val="00FE4342"/>
    <w:rsid w:val="00FE52E2"/>
    <w:rsid w:val="00FE5F99"/>
    <w:rsid w:val="00FE63F3"/>
    <w:rsid w:val="00FE6A9A"/>
    <w:rsid w:val="00FE79C1"/>
    <w:rsid w:val="00FE7B87"/>
    <w:rsid w:val="00FF00E1"/>
    <w:rsid w:val="00FF0587"/>
    <w:rsid w:val="00FF1F49"/>
    <w:rsid w:val="00FF3335"/>
    <w:rsid w:val="00FF3C71"/>
    <w:rsid w:val="00FF3DEC"/>
    <w:rsid w:val="00FF47F6"/>
    <w:rsid w:val="00FF4A83"/>
    <w:rsid w:val="00FF52CF"/>
    <w:rsid w:val="00FF5CC9"/>
    <w:rsid w:val="00FF6D43"/>
    <w:rsid w:val="00FF73E8"/>
    <w:rsid w:val="00FF7CC0"/>
    <w:rsid w:val="09D05DEC"/>
    <w:rsid w:val="09F63639"/>
    <w:rsid w:val="2111136A"/>
    <w:rsid w:val="30604045"/>
    <w:rsid w:val="5691777E"/>
    <w:rsid w:val="5F0B5C21"/>
    <w:rsid w:val="60723523"/>
    <w:rsid w:val="68DA2FED"/>
    <w:rsid w:val="72D4487B"/>
    <w:rsid w:val="78E244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weight="1.25pt" color="#739CC3"/>
    </o:shapedefaults>
    <o:shapelayout v:ext="edit">
      <o:idmap v:ext="edit" data="1"/>
      <o:rules v:ext="edit">
        <o:r id="V:Rule1" type="connector" idref="#Straight Connector 2"/>
        <o:r id="V:Rule2" type="connector" idref="#Straight Connector 4"/>
        <o:r id="V:Rule3" type="connector" idref="#Straight Connector 5"/>
        <o:r id="V:Rule4" type="connector" idref="#Straight Connector 3"/>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99" w:semiHidden="0"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qFormat="1"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9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2"/>
    <w:basedOn w:val="1"/>
    <w:next w:val="1"/>
    <w:link w:val="22"/>
    <w:qFormat/>
    <w:uiPriority w:val="9"/>
    <w:pPr>
      <w:widowControl/>
      <w:spacing w:before="100" w:beforeAutospacing="1" w:after="100" w:afterAutospacing="1"/>
      <w:jc w:val="left"/>
      <w:outlineLvl w:val="1"/>
    </w:pPr>
    <w:rPr>
      <w:rFonts w:ascii="宋体" w:hAnsi="宋体" w:cs="宋体"/>
      <w:kern w:val="0"/>
      <w:sz w:val="36"/>
      <w:szCs w:val="36"/>
    </w:rPr>
  </w:style>
  <w:style w:type="paragraph" w:styleId="3">
    <w:name w:val="heading 4"/>
    <w:basedOn w:val="1"/>
    <w:next w:val="1"/>
    <w:link w:val="23"/>
    <w:qFormat/>
    <w:uiPriority w:val="9"/>
    <w:pPr>
      <w:widowControl/>
      <w:spacing w:before="100" w:beforeAutospacing="1" w:after="100" w:afterAutospacing="1"/>
      <w:jc w:val="left"/>
      <w:outlineLvl w:val="3"/>
    </w:pPr>
    <w:rPr>
      <w:rFonts w:ascii="宋体" w:hAnsi="宋体" w:cs="宋体"/>
      <w:kern w:val="0"/>
      <w:sz w:val="24"/>
      <w:szCs w:val="24"/>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Date"/>
    <w:basedOn w:val="1"/>
    <w:next w:val="1"/>
    <w:link w:val="33"/>
    <w:semiHidden/>
    <w:unhideWhenUsed/>
    <w:qFormat/>
    <w:uiPriority w:val="0"/>
    <w:pPr>
      <w:ind w:left="100" w:leftChars="2500"/>
    </w:pPr>
  </w:style>
  <w:style w:type="paragraph" w:styleId="5">
    <w:name w:val="Balloon Text"/>
    <w:basedOn w:val="1"/>
    <w:link w:val="15"/>
    <w:unhideWhenUsed/>
    <w:qFormat/>
    <w:uiPriority w:val="99"/>
    <w:rPr>
      <w:sz w:val="18"/>
      <w:szCs w:val="18"/>
    </w:rPr>
  </w:style>
  <w:style w:type="paragraph" w:styleId="6">
    <w:name w:val="footer"/>
    <w:basedOn w:val="1"/>
    <w:link w:val="17"/>
    <w:unhideWhenUsed/>
    <w:qFormat/>
    <w:uiPriority w:val="99"/>
    <w:pPr>
      <w:tabs>
        <w:tab w:val="center" w:pos="4153"/>
        <w:tab w:val="right" w:pos="8306"/>
      </w:tabs>
      <w:snapToGrid w:val="0"/>
      <w:jc w:val="left"/>
    </w:pPr>
    <w:rPr>
      <w:sz w:val="18"/>
      <w:szCs w:val="18"/>
    </w:rPr>
  </w:style>
  <w:style w:type="paragraph" w:styleId="7">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table" w:styleId="10">
    <w:name w:val="Table Grid"/>
    <w:basedOn w:val="9"/>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2">
    <w:name w:val="Strong"/>
    <w:basedOn w:val="11"/>
    <w:qFormat/>
    <w:uiPriority w:val="22"/>
    <w:rPr>
      <w:b/>
      <w:bCs/>
    </w:rPr>
  </w:style>
  <w:style w:type="character" w:styleId="13">
    <w:name w:val="Emphasis"/>
    <w:basedOn w:val="11"/>
    <w:qFormat/>
    <w:uiPriority w:val="20"/>
    <w:rPr>
      <w:i/>
      <w:iCs/>
    </w:rPr>
  </w:style>
  <w:style w:type="character" w:styleId="14">
    <w:name w:val="Hyperlink"/>
    <w:basedOn w:val="11"/>
    <w:unhideWhenUsed/>
    <w:qFormat/>
    <w:uiPriority w:val="99"/>
    <w:rPr>
      <w:color w:val="0000FF"/>
      <w:u w:val="single"/>
    </w:rPr>
  </w:style>
  <w:style w:type="character" w:customStyle="1" w:styleId="15">
    <w:name w:val="批注框文本 Char"/>
    <w:basedOn w:val="11"/>
    <w:link w:val="5"/>
    <w:semiHidden/>
    <w:qFormat/>
    <w:uiPriority w:val="99"/>
    <w:rPr>
      <w:sz w:val="18"/>
      <w:szCs w:val="18"/>
    </w:rPr>
  </w:style>
  <w:style w:type="character" w:customStyle="1" w:styleId="16">
    <w:name w:val="页眉 Char"/>
    <w:basedOn w:val="11"/>
    <w:link w:val="7"/>
    <w:semiHidden/>
    <w:qFormat/>
    <w:uiPriority w:val="99"/>
    <w:rPr>
      <w:sz w:val="18"/>
      <w:szCs w:val="18"/>
    </w:rPr>
  </w:style>
  <w:style w:type="character" w:customStyle="1" w:styleId="17">
    <w:name w:val="页脚 Char"/>
    <w:basedOn w:val="11"/>
    <w:link w:val="6"/>
    <w:qFormat/>
    <w:uiPriority w:val="99"/>
    <w:rPr>
      <w:sz w:val="18"/>
      <w:szCs w:val="18"/>
    </w:rPr>
  </w:style>
  <w:style w:type="paragraph" w:styleId="18">
    <w:name w:val="No Spacing"/>
    <w:link w:val="19"/>
    <w:qFormat/>
    <w:uiPriority w:val="1"/>
    <w:rPr>
      <w:rFonts w:asciiTheme="minorHAnsi" w:hAnsiTheme="minorHAnsi" w:eastAsiaTheme="minorEastAsia" w:cstheme="minorBidi"/>
      <w:sz w:val="22"/>
      <w:szCs w:val="22"/>
      <w:lang w:val="en-US" w:eastAsia="zh-CN" w:bidi="ar-SA"/>
    </w:rPr>
  </w:style>
  <w:style w:type="character" w:customStyle="1" w:styleId="19">
    <w:name w:val="无间隔 Char"/>
    <w:basedOn w:val="11"/>
    <w:link w:val="18"/>
    <w:qFormat/>
    <w:uiPriority w:val="1"/>
    <w:rPr>
      <w:rFonts w:asciiTheme="minorHAnsi" w:hAnsiTheme="minorHAnsi" w:eastAsiaTheme="minorEastAsia" w:cstheme="minorBidi"/>
      <w:sz w:val="22"/>
      <w:szCs w:val="22"/>
    </w:rPr>
  </w:style>
  <w:style w:type="paragraph" w:styleId="20">
    <w:name w:val="List Paragraph"/>
    <w:basedOn w:val="1"/>
    <w:unhideWhenUsed/>
    <w:qFormat/>
    <w:uiPriority w:val="34"/>
    <w:pPr>
      <w:ind w:firstLine="420" w:firstLineChars="200"/>
    </w:pPr>
  </w:style>
  <w:style w:type="paragraph" w:customStyle="1" w:styleId="21">
    <w:name w:val="cont-summary"/>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22">
    <w:name w:val="标题 2 Char"/>
    <w:basedOn w:val="11"/>
    <w:link w:val="2"/>
    <w:qFormat/>
    <w:uiPriority w:val="9"/>
    <w:rPr>
      <w:rFonts w:ascii="宋体" w:hAnsi="宋体" w:cs="宋体"/>
      <w:sz w:val="36"/>
      <w:szCs w:val="36"/>
    </w:rPr>
  </w:style>
  <w:style w:type="character" w:customStyle="1" w:styleId="23">
    <w:name w:val="标题 4 Char"/>
    <w:basedOn w:val="11"/>
    <w:link w:val="3"/>
    <w:qFormat/>
    <w:uiPriority w:val="9"/>
    <w:rPr>
      <w:rFonts w:ascii="宋体" w:hAnsi="宋体" w:cs="宋体"/>
      <w:sz w:val="24"/>
      <w:szCs w:val="24"/>
    </w:rPr>
  </w:style>
  <w:style w:type="paragraph" w:customStyle="1" w:styleId="24">
    <w:name w:val="summary"/>
    <w:basedOn w:val="1"/>
    <w:qFormat/>
    <w:uiPriority w:val="0"/>
    <w:pPr>
      <w:widowControl/>
      <w:spacing w:before="100" w:beforeAutospacing="1" w:after="480" w:line="375" w:lineRule="atLeast"/>
      <w:jc w:val="left"/>
    </w:pPr>
    <w:rPr>
      <w:rFonts w:ascii="宋体" w:hAnsi="宋体" w:cs="宋体"/>
      <w:kern w:val="0"/>
      <w:sz w:val="24"/>
      <w:szCs w:val="24"/>
    </w:rPr>
  </w:style>
  <w:style w:type="character" w:customStyle="1" w:styleId="25">
    <w:name w:val="articlel"/>
    <w:basedOn w:val="11"/>
    <w:qFormat/>
    <w:uiPriority w:val="0"/>
  </w:style>
  <w:style w:type="character" w:customStyle="1" w:styleId="26">
    <w:name w:val="articler"/>
    <w:basedOn w:val="11"/>
    <w:qFormat/>
    <w:uiPriority w:val="0"/>
  </w:style>
  <w:style w:type="paragraph" w:customStyle="1" w:styleId="27">
    <w:name w:val="profile_meta"/>
    <w:basedOn w:val="1"/>
    <w:qFormat/>
    <w:uiPriority w:val="0"/>
    <w:pPr>
      <w:widowControl/>
      <w:spacing w:before="75" w:after="100" w:afterAutospacing="1"/>
      <w:jc w:val="left"/>
    </w:pPr>
    <w:rPr>
      <w:rFonts w:ascii="宋体" w:hAnsi="宋体" w:cs="宋体"/>
      <w:kern w:val="0"/>
      <w:sz w:val="24"/>
      <w:szCs w:val="24"/>
    </w:rPr>
  </w:style>
  <w:style w:type="character" w:customStyle="1" w:styleId="28">
    <w:name w:val="rich_media_meta1"/>
    <w:basedOn w:val="11"/>
    <w:qFormat/>
    <w:uiPriority w:val="0"/>
    <w:rPr>
      <w:sz w:val="24"/>
      <w:szCs w:val="24"/>
    </w:rPr>
  </w:style>
  <w:style w:type="character" w:customStyle="1" w:styleId="29">
    <w:name w:val="profile_meta_value1"/>
    <w:basedOn w:val="11"/>
    <w:qFormat/>
    <w:uiPriority w:val="0"/>
    <w:rPr>
      <w:color w:val="ADADAD"/>
    </w:rPr>
  </w:style>
  <w:style w:type="character" w:customStyle="1" w:styleId="30">
    <w:name w:val="apple-converted-space"/>
    <w:basedOn w:val="11"/>
    <w:qFormat/>
    <w:uiPriority w:val="0"/>
  </w:style>
  <w:style w:type="character" w:customStyle="1" w:styleId="31">
    <w:name w:val="rich_media_meta"/>
    <w:basedOn w:val="11"/>
    <w:qFormat/>
    <w:uiPriority w:val="0"/>
  </w:style>
  <w:style w:type="character" w:customStyle="1" w:styleId="32">
    <w:name w:val="blue"/>
    <w:basedOn w:val="11"/>
    <w:qFormat/>
    <w:uiPriority w:val="0"/>
  </w:style>
  <w:style w:type="character" w:customStyle="1" w:styleId="33">
    <w:name w:val="日期 Char"/>
    <w:basedOn w:val="11"/>
    <w:link w:val="4"/>
    <w:semiHidden/>
    <w:qFormat/>
    <w:uiPriority w:val="0"/>
    <w:rPr>
      <w:rFonts w:ascii="Calibri" w:hAnsi="Calibri"/>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33"/>
    <customShpInfo spid="_x0000_s1032"/>
    <customShpInfo spid="_x0000_s1027"/>
    <customShpInfo spid="_x0000_s1031"/>
    <customShpInfo spid="_x0000_s1028"/>
    <customShpInfo spid="_x0000_s1029"/>
    <customShpInfo spid="_x0000_s1030"/>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2A45B3-66E2-4338-8F19-4FCD87919FD5}">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54</Pages>
  <Words>2181</Words>
  <Characters>12432</Characters>
  <Lines>103</Lines>
  <Paragraphs>29</Paragraphs>
  <TotalTime>488</TotalTime>
  <ScaleCrop>false</ScaleCrop>
  <LinksUpToDate>false</LinksUpToDate>
  <CharactersWithSpaces>14584</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2018-04-26T07:53:00Z</dcterms:created>
  <dc:creator>FtpDown</dc:creator>
  <cp:lastModifiedBy>王麒懿</cp:lastModifiedBy>
  <cp:lastPrinted>2018-09-29T05:55:00Z</cp:lastPrinted>
  <dcterms:modified xsi:type="dcterms:W3CDTF">2021-02-20T00:20:02Z</dcterms:modified>
  <dc:subject>2015年7月29日</dc:subject>
  <dc:title>2015年第一期</dc:title>
  <cp:revision>4402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