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9"/>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8"/>
                  <w:rPr>
                    <w:color w:val="4F81BD" w:themeColor="accent1"/>
                  </w:rPr>
                </w:pPr>
              </w:p>
              <w:p>
                <w:pPr>
                  <w:pStyle w:val="18"/>
                  <w:rPr>
                    <w:color w:val="4F81BD" w:themeColor="accent1"/>
                  </w:rPr>
                </w:pPr>
              </w:p>
              <w:p>
                <w:pPr>
                  <w:pStyle w:val="18"/>
                  <w:rPr>
                    <w:color w:val="4F81BD" w:themeColor="accent1"/>
                  </w:rPr>
                </w:pPr>
              </w:p>
              <w:p>
                <w:pPr>
                  <w:pStyle w:val="18"/>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（2021年第</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期） 2021年</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9</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v:path arrowok="t"/>
            <v:fill on="f" focussize="0,0"/>
            <v:stroke weight="3pt" color="#548DD4"/>
            <v:imagedata o:title=""/>
            <o:lock v:ext="edit"/>
          </v:shape>
        </w:pict>
      </w:r>
      <w:r>
        <w:pict>
          <v:shape id="Straight Connector 3" o:spid="_x0000_s1033" o:spt="32" type="#_x0000_t32" style="position:absolute;left:0pt;margin-left:102pt;margin-top:0.8pt;height:692.95pt;width:0.05pt;z-index:251660288;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upmvDZAAAACgEAAA8AAAAAAAAAAQAgAAAAIgAAAGRy&#10;cy9kb3ducmV2LnhtbFBLAQIUABQAAAAIAIdO4kAZl0HqywEAAJ4DAAAOAAAAAAAAAAEAIAAAACgB&#10;AABkcnMvZTJvRG9jLnhtbFBLBQYAAAAABgAGAFkBAABlBQAAAAA=&#10;">
            <v:path arrowok="t"/>
            <v:fill on="f" focussize="0,0"/>
            <v:stroke weight="2.5pt" color="#548DD4"/>
            <v:imagedata o:title=""/>
            <o:lock v:ext="edit"/>
          </v:shape>
        </w:pict>
      </w:r>
      <w:r>
        <w:rPr>
          <w:rFonts w:hint="eastAsia"/>
        </w:rPr>
        <w:t xml:space="preserve"> </w:t>
      </w:r>
    </w:p>
    <w:p>
      <w:pPr>
        <w:tabs>
          <w:tab w:val="center" w:pos="4156"/>
        </w:tabs>
      </w:pPr>
      <w:r>
        <w:pict>
          <v:shape id="文本框 14" o:spid="_x0000_s1032" o:spt="202" type="#_x0000_t202" style="position:absolute;left:0pt;margin-left:122.4pt;margin-top:8.4pt;height:660.6pt;width:331.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v:path/>
            <v:fill on="f" focussize="0,0"/>
            <v:stroke on="f" weight="1.25pt" joinstyle="miter"/>
            <v:imagedata o:title=""/>
            <o:lock v:ext="edit"/>
            <v:textbox>
              <w:txbxContent>
                <w:p>
                  <w:pPr>
                    <w:widowControl/>
                    <w:shd w:val="clear" w:color="auto" w:fill="FFFFFF"/>
                    <w:spacing w:after="169"/>
                    <w:jc w:val="left"/>
                    <w:outlineLvl w:val="1"/>
                    <w:rPr>
                      <w:b/>
                      <w:sz w:val="36"/>
                      <w:szCs w:val="36"/>
                    </w:rPr>
                  </w:pPr>
                </w:p>
                <w:p>
                  <w:pPr>
                    <w:widowControl/>
                    <w:shd w:val="clear" w:color="auto" w:fill="FFFFFF"/>
                    <w:spacing w:after="169"/>
                    <w:jc w:val="left"/>
                    <w:outlineLvl w:val="1"/>
                    <w:rPr>
                      <w:rFonts w:ascii="微软雅黑" w:hAnsi="微软雅黑" w:eastAsia="微软雅黑" w:cs="宋体"/>
                      <w:b/>
                      <w:bCs/>
                      <w:color w:val="333333"/>
                      <w:spacing w:val="7"/>
                      <w:kern w:val="0"/>
                      <w:sz w:val="27"/>
                      <w:szCs w:val="27"/>
                    </w:rPr>
                  </w:pPr>
                  <w:r>
                    <w:rPr>
                      <w:rFonts w:hint="eastAsia"/>
                      <w:b/>
                      <w:sz w:val="36"/>
                      <w:szCs w:val="36"/>
                    </w:rPr>
                    <w:t>1.</w:t>
                  </w:r>
                  <w:r>
                    <w:rPr>
                      <w:b/>
                      <w:sz w:val="36"/>
                      <w:szCs w:val="36"/>
                    </w:rPr>
                    <w:t xml:space="preserve"> </w:t>
                  </w:r>
                  <w:r>
                    <w:rPr>
                      <w:rFonts w:hint="eastAsia"/>
                      <w:b/>
                      <w:sz w:val="36"/>
                      <w:szCs w:val="36"/>
                    </w:rPr>
                    <w:t>“两会”声音预示处方外流新变化，药店要抓住两大突破口</w:t>
                  </w:r>
                </w:p>
                <w:p>
                  <w:pPr>
                    <w:rPr>
                      <w:b/>
                      <w:sz w:val="36"/>
                      <w:szCs w:val="36"/>
                    </w:rPr>
                  </w:pPr>
                </w:p>
                <w:p>
                  <w:pPr>
                    <w:rPr>
                      <w:b/>
                      <w:sz w:val="36"/>
                      <w:szCs w:val="36"/>
                    </w:rPr>
                  </w:pPr>
                </w:p>
                <w:p>
                  <w:pPr>
                    <w:rPr>
                      <w:b/>
                      <w:sz w:val="36"/>
                      <w:szCs w:val="36"/>
                    </w:rPr>
                  </w:pPr>
                  <w:r>
                    <w:rPr>
                      <w:rFonts w:hint="eastAsia"/>
                      <w:b/>
                      <w:sz w:val="36"/>
                      <w:szCs w:val="36"/>
                    </w:rPr>
                    <w:t>2. 快报！2020年医保统计数据出炉</w:t>
                  </w:r>
                </w:p>
                <w:p>
                  <w:pPr>
                    <w:rPr>
                      <w:b/>
                      <w:sz w:val="36"/>
                      <w:szCs w:val="36"/>
                    </w:rPr>
                  </w:pPr>
                </w:p>
                <w:p>
                  <w:pPr>
                    <w:rPr>
                      <w:b/>
                      <w:sz w:val="36"/>
                      <w:szCs w:val="36"/>
                    </w:rPr>
                  </w:pPr>
                </w:p>
                <w:p>
                  <w:pPr>
                    <w:widowControl/>
                    <w:shd w:val="clear" w:color="auto" w:fill="FFFFFF"/>
                    <w:spacing w:before="102" w:line="582" w:lineRule="atLeast"/>
                    <w:jc w:val="left"/>
                    <w:outlineLvl w:val="1"/>
                    <w:rPr>
                      <w:rFonts w:hint="eastAsia" w:ascii="Arial" w:hAnsi="Arial" w:cs="Arial"/>
                      <w:b/>
                      <w:color w:val="ED6D00"/>
                      <w:kern w:val="0"/>
                      <w:sz w:val="36"/>
                      <w:szCs w:val="36"/>
                    </w:rPr>
                  </w:pPr>
                  <w:r>
                    <w:rPr>
                      <w:rFonts w:hint="eastAsia"/>
                      <w:b/>
                      <w:sz w:val="36"/>
                      <w:szCs w:val="36"/>
                    </w:rPr>
                    <w:t>3. 40个大品种，带量采购开始(附名单)</w:t>
                  </w:r>
                </w:p>
                <w:p>
                  <w:pPr>
                    <w:rPr>
                      <w:b/>
                      <w:sz w:val="36"/>
                      <w:szCs w:val="36"/>
                    </w:rPr>
                  </w:pPr>
                </w:p>
                <w:p>
                  <w:pPr>
                    <w:rPr>
                      <w:b/>
                      <w:sz w:val="36"/>
                      <w:szCs w:val="36"/>
                    </w:rPr>
                  </w:pPr>
                </w:p>
                <w:p>
                  <w:pPr>
                    <w:rPr>
                      <w:b/>
                      <w:sz w:val="44"/>
                      <w:szCs w:val="44"/>
                    </w:rPr>
                  </w:pPr>
                  <w:r>
                    <w:rPr>
                      <w:rFonts w:hint="eastAsia"/>
                      <w:b/>
                      <w:sz w:val="36"/>
                      <w:szCs w:val="36"/>
                    </w:rPr>
                    <w:t>4. 【重磅】40亿抗肿瘤注射剂，领军企业恒瑞过评，齐鲁再下一城</w:t>
                  </w:r>
                </w:p>
                <w:p>
                  <w:pPr>
                    <w:rPr>
                      <w:b/>
                      <w:sz w:val="44"/>
                      <w:szCs w:val="44"/>
                    </w:rPr>
                  </w:pPr>
                </w:p>
                <w:p>
                  <w:pPr>
                    <w:rPr>
                      <w:b/>
                      <w:sz w:val="44"/>
                      <w:szCs w:val="44"/>
                    </w:rPr>
                  </w:pPr>
                </w:p>
                <w:p>
                  <w:pPr>
                    <w:widowControl/>
                    <w:spacing w:after="210"/>
                    <w:jc w:val="left"/>
                    <w:outlineLvl w:val="1"/>
                    <w:rPr>
                      <w:rFonts w:hint="eastAsia" w:ascii="宋体" w:hAnsi="宋体" w:cs="宋体"/>
                      <w:b/>
                      <w:bCs/>
                      <w:kern w:val="0"/>
                      <w:sz w:val="36"/>
                      <w:szCs w:val="36"/>
                    </w:rPr>
                  </w:pPr>
                  <w:r>
                    <w:rPr>
                      <w:rFonts w:hint="eastAsia"/>
                      <w:b/>
                      <w:sz w:val="36"/>
                      <w:szCs w:val="36"/>
                    </w:rPr>
                    <w:t>5. 医疗器械监督管理条例发布！（附全文）</w:t>
                  </w:r>
                </w:p>
              </w:txbxContent>
            </v:textbox>
          </v:shape>
        </w:pict>
      </w:r>
      <w:r>
        <w:pict>
          <v:shape id="文本框 11" o:spid="_x0000_s1027" o:spt="202" type="#_x0000_t202" style="position:absolute;left:0pt;margin-left:-62.1pt;margin-top:3.15pt;height:251.25pt;width:156.1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v:path/>
            <v:fill on="f" focussize="0,0"/>
            <v:stroke on="f" weight="1.25pt" joinstyle="miter"/>
            <v:imagedata o:title=""/>
            <o:lock v:ext="edit"/>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3</w:t>
                  </w:r>
                  <w:r>
                    <w:rPr>
                      <w:rFonts w:hint="eastAsia"/>
                      <w:b/>
                      <w:sz w:val="36"/>
                      <w:szCs w:val="36"/>
                    </w:rPr>
                    <w:t>月第</w:t>
                  </w:r>
                  <w:r>
                    <w:rPr>
                      <w:rFonts w:hint="eastAsia"/>
                      <w:b/>
                      <w:sz w:val="36"/>
                      <w:szCs w:val="36"/>
                      <w:lang w:val="en-US" w:eastAsia="zh-CN"/>
                    </w:rPr>
                    <w:t>3</w:t>
                  </w:r>
                  <w:r>
                    <w:rPr>
                      <w:rFonts w:hint="eastAsia"/>
                      <w:b/>
                      <w:sz w:val="36"/>
                      <w:szCs w:val="36"/>
                    </w:rPr>
                    <w:t>期）</w:t>
                  </w:r>
                </w:p>
              </w:txbxContent>
            </v:textbox>
          </v:shape>
        </w:pic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5" o:spid="_x0000_s1031"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v:path arrowok="t"/>
            <v:fill on="f" focussize="0,0"/>
            <v:stroke weight="2.75pt" color="#548DD4"/>
            <v:imagedata o:title=""/>
            <o:lock v:ext="edit"/>
          </v:shape>
        </w:pict>
      </w:r>
    </w:p>
    <w:p>
      <w:pPr>
        <w:tabs>
          <w:tab w:val="left" w:pos="5245"/>
        </w:tabs>
      </w:pPr>
    </w:p>
    <w:p>
      <w:pPr>
        <w:tabs>
          <w:tab w:val="left" w:pos="5245"/>
        </w:tabs>
      </w:pPr>
    </w:p>
    <w:p>
      <w:pPr>
        <w:tabs>
          <w:tab w:val="left" w:pos="5245"/>
        </w:tabs>
      </w:pPr>
    </w:p>
    <w:p>
      <w:pPr>
        <w:tabs>
          <w:tab w:val="left" w:pos="5245"/>
        </w:tabs>
      </w:pPr>
      <w:r>
        <w:pict>
          <v:shape id="文本框 12" o:spid="_x0000_s1028" o:spt="202" type="#_x0000_t202" style="position:absolute;left:0pt;margin-left:-53.1pt;margin-top:10.65pt;height:60pt;width:140.2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v:path/>
            <v:fill on="f" focussize="0,0"/>
            <v:stroke on="f" weight="1.25pt" joinstyle="miter"/>
            <v:imagedata o:title=""/>
            <o:lock v:ext="edit"/>
            <v:textbox>
              <w:txbxContent>
                <w:p>
                  <w:pPr>
                    <w:jc w:val="center"/>
                    <w:rPr>
                      <w:rFonts w:hint="eastAsia" w:eastAsia="宋体"/>
                      <w:sz w:val="44"/>
                      <w:szCs w:val="44"/>
                      <w:lang w:eastAsia="zh-CN"/>
                    </w:rPr>
                  </w:pPr>
                  <w:r>
                    <w:rPr>
                      <w:rFonts w:hint="eastAsia"/>
                      <w:sz w:val="44"/>
                      <w:szCs w:val="44"/>
                    </w:rPr>
                    <w:t>2021.</w:t>
                  </w:r>
                  <w:r>
                    <w:rPr>
                      <w:rFonts w:hint="eastAsia"/>
                      <w:sz w:val="44"/>
                      <w:szCs w:val="44"/>
                      <w:lang w:val="en-US" w:eastAsia="zh-CN"/>
                    </w:rPr>
                    <w:t>3</w:t>
                  </w:r>
                  <w:r>
                    <w:rPr>
                      <w:rFonts w:hint="eastAsia"/>
                      <w:sz w:val="44"/>
                      <w:szCs w:val="44"/>
                    </w:rPr>
                    <w:t>.2</w:t>
                  </w:r>
                  <w:r>
                    <w:rPr>
                      <w:rFonts w:hint="eastAsia"/>
                      <w:sz w:val="44"/>
                      <w:szCs w:val="44"/>
                      <w:lang w:val="en-US" w:eastAsia="zh-CN"/>
                    </w:rPr>
                    <w:t>9</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文本框 13" o:spid="_x0000_s1029" o:spt="202" type="#_x0000_t202" style="position:absolute;left:0pt;margin-left:-46.2pt;margin-top:12pt;height:201.75pt;width:133.5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v:path/>
            <v:fill on="f" focussize="0,0"/>
            <v:stroke on="f" weight="1.25pt" joinstyle="miter"/>
            <v:imagedata o:title=""/>
            <o:lock v:ext="edit"/>
            <v:textbox>
              <w:txbxContent>
                <w:p/>
                <w:p/>
                <w:p/>
                <w:p>
                  <w:pPr>
                    <w:rPr>
                      <w:b/>
                      <w:sz w:val="32"/>
                      <w:szCs w:val="32"/>
                    </w:rPr>
                  </w:pPr>
                  <w:r>
                    <w:rPr>
                      <w:rFonts w:hint="eastAsia"/>
                      <w:b/>
                      <w:sz w:val="32"/>
                      <w:szCs w:val="32"/>
                    </w:rPr>
                    <w:t>总  编  朱卫东副总编  李厚佳  责任编辑车成刚</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4" o:spid="_x0000_s1030" o:spt="32" type="#_x0000_t32" style="position:absolute;left:0pt;margin-left:-67.5pt;margin-top:38.5pt;height:0.05pt;width:534pt;z-index:251661312;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v:path arrowok="t"/>
            <v:fill on="f" focussize="0,0"/>
            <v:stroke weight="3pt" color="#548DD4"/>
            <v:imagedata o:title=""/>
            <o:lock v:ext="edit"/>
          </v:shape>
        </w:pict>
      </w:r>
      <w:r>
        <w:rPr>
          <w:rFonts w:hint="eastAsia"/>
        </w:rPr>
        <w:t xml:space="preserve">                               </w:t>
      </w: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27" w:type="dxa"/>
            <w:vAlign w:val="center"/>
          </w:tcPr>
          <w:p>
            <w:pPr>
              <w:tabs>
                <w:tab w:val="left" w:pos="7088"/>
              </w:tabs>
              <w:jc w:val="center"/>
              <w:rPr>
                <w:b/>
                <w:sz w:val="30"/>
                <w:szCs w:val="30"/>
              </w:rPr>
            </w:pPr>
            <w:r>
              <w:rPr>
                <w:rFonts w:hint="eastAsia"/>
                <w:b/>
                <w:sz w:val="30"/>
                <w:szCs w:val="30"/>
              </w:rPr>
              <w:t>信息01</w:t>
            </w:r>
          </w:p>
        </w:tc>
        <w:tc>
          <w:tcPr>
            <w:tcW w:w="6662"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Calibri" w:hAnsi="Calibri" w:eastAsia="宋体" w:cs="Times New Roman"/>
                <w:b/>
                <w:kern w:val="2"/>
                <w:sz w:val="32"/>
                <w:szCs w:val="32"/>
                <w:lang w:val="en-US" w:eastAsia="zh-CN" w:bidi="ar-SA"/>
              </w:rPr>
            </w:pPr>
            <w:r>
              <w:rPr>
                <w:rFonts w:hint="eastAsia" w:ascii="Calibri" w:hAnsi="Calibri" w:eastAsia="宋体" w:cs="Times New Roman"/>
                <w:b/>
                <w:kern w:val="2"/>
                <w:sz w:val="32"/>
                <w:szCs w:val="32"/>
                <w:lang w:val="en-US" w:eastAsia="zh-CN" w:bidi="ar-SA"/>
              </w:rPr>
              <w:t>“两会”声音预示处方外流新变化，药店要抓住两大突破口</w:t>
            </w:r>
          </w:p>
          <w:p>
            <w:pPr>
              <w:rPr>
                <w:rFonts w:cs="宋体" w:asciiTheme="minorEastAsia" w:hAnsiTheme="minorEastAsia" w:eastAsiaTheme="minorEastAsia"/>
                <w:b/>
                <w:color w:val="000000"/>
                <w:kern w:val="0"/>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vAlign w:val="center"/>
          </w:tcPr>
          <w:p>
            <w:pPr>
              <w:tabs>
                <w:tab w:val="left" w:pos="7088"/>
              </w:tabs>
              <w:ind w:firstLine="280" w:firstLineChars="1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2021-</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3</w:t>
            </w:r>
          </w:p>
        </w:tc>
        <w:tc>
          <w:tcPr>
            <w:tcW w:w="1985" w:type="dxa"/>
            <w:vAlign w:val="center"/>
          </w:tcPr>
          <w:p>
            <w:pPr>
              <w:tabs>
                <w:tab w:val="left" w:pos="7088"/>
              </w:tabs>
              <w:jc w:val="center"/>
              <w:rPr>
                <w:b/>
                <w:sz w:val="28"/>
                <w:szCs w:val="28"/>
              </w:rPr>
            </w:pPr>
            <w:r>
              <w:rPr>
                <w:rFonts w:hint="eastAsia"/>
                <w:b/>
                <w:sz w:val="30"/>
                <w:szCs w:val="30"/>
              </w:rPr>
              <w:t>信息来源</w:t>
            </w:r>
          </w:p>
        </w:tc>
        <w:tc>
          <w:tcPr>
            <w:tcW w:w="2409" w:type="dxa"/>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eastAsiaTheme="minorEastAsia"/>
                <w:sz w:val="28"/>
                <w:szCs w:val="28"/>
                <w:lang w:val="en-US" w:eastAsia="zh-CN"/>
              </w:rPr>
              <w:t>21世纪药店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27" w:type="dxa"/>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tcPr>
          <w:p>
            <w:pPr>
              <w:tabs>
                <w:tab w:val="left" w:pos="7088"/>
              </w:tabs>
              <w:jc w:val="center"/>
              <w:rPr>
                <w:b/>
                <w:sz w:val="28"/>
                <w:szCs w:val="28"/>
              </w:rPr>
            </w:pPr>
            <w:r>
              <w:rPr>
                <w:rFonts w:hint="eastAsia"/>
                <w:b/>
                <w:sz w:val="30"/>
                <w:szCs w:val="30"/>
              </w:rPr>
              <w:t>信息确认</w:t>
            </w:r>
          </w:p>
        </w:tc>
        <w:tc>
          <w:tcPr>
            <w:tcW w:w="2409"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662"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eastAsiaTheme="minorEastAsia"/>
                <w:sz w:val="28"/>
                <w:szCs w:val="28"/>
                <w:lang w:val="en-US" w:eastAsia="zh-CN"/>
              </w:rPr>
              <w:t>21世纪药店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662"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lang w:eastAsia="zh-CN"/>
              </w:rPr>
              <w:t>“两会”</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处方药外流</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27" w:type="dxa"/>
            <w:vAlign w:val="center"/>
          </w:tcPr>
          <w:p>
            <w:pPr>
              <w:tabs>
                <w:tab w:val="left" w:pos="7088"/>
              </w:tabs>
              <w:jc w:val="center"/>
              <w:rPr>
                <w:b/>
                <w:sz w:val="30"/>
                <w:szCs w:val="30"/>
              </w:rPr>
            </w:pPr>
            <w:r>
              <w:rPr>
                <w:b/>
                <w:sz w:val="30"/>
                <w:szCs w:val="30"/>
              </w:rPr>
              <w:t>内容概要</w:t>
            </w:r>
          </w:p>
        </w:tc>
        <w:tc>
          <w:tcPr>
            <w:tcW w:w="6662" w:type="dxa"/>
            <w:gridSpan w:val="3"/>
            <w:vAlign w:val="center"/>
          </w:tcPr>
          <w:p>
            <w:pPr>
              <w:ind w:firstLine="560" w:firstLineChars="200"/>
              <w:rPr>
                <w:rFonts w:asciiTheme="minorEastAsia" w:hAnsiTheme="minorEastAsia" w:eastAsiaTheme="minorEastAsia"/>
                <w:sz w:val="28"/>
                <w:szCs w:val="28"/>
              </w:rPr>
            </w:pPr>
            <w:r>
              <w:rPr>
                <w:rFonts w:hint="eastAsia" w:cs="Times New Roman" w:asciiTheme="minorEastAsia" w:hAnsiTheme="minorEastAsia" w:eastAsiaTheme="minorEastAsia"/>
                <w:kern w:val="2"/>
                <w:sz w:val="28"/>
                <w:szCs w:val="28"/>
                <w:lang w:val="en-US" w:eastAsia="zh-CN" w:bidi="ar-SA"/>
              </w:rPr>
              <w:t>近期，全国各地的“两会”纷纷闭幕，全国“两会”将于4日、5日正式拉开帷幕。包括处方外流在内的医改等民生关切，将是今年全国“两会”热点。</w:t>
            </w:r>
          </w:p>
          <w:p>
            <w:pPr>
              <w:pStyle w:val="20"/>
              <w:numPr>
                <w:ilvl w:val="0"/>
                <w:numId w:val="1"/>
              </w:numPr>
              <w:ind w:left="1350" w:leftChars="0" w:firstLineChars="0"/>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“两会”热点</w:t>
            </w:r>
            <w:r>
              <w:rPr>
                <w:rFonts w:hint="eastAsia" w:asciiTheme="minorEastAsia" w:hAnsiTheme="minorEastAsia" w:eastAsiaTheme="minorEastAsia"/>
                <w:sz w:val="28"/>
                <w:szCs w:val="28"/>
              </w:rPr>
              <w:t>；</w:t>
            </w:r>
          </w:p>
          <w:p>
            <w:pPr>
              <w:pStyle w:val="20"/>
              <w:numPr>
                <w:ilvl w:val="0"/>
                <w:numId w:val="1"/>
              </w:numPr>
              <w:ind w:left="1350" w:leftChars="0" w:firstLineChars="0"/>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各地探索突破口。</w:t>
            </w:r>
          </w:p>
          <w:p>
            <w:pPr>
              <w:pStyle w:val="20"/>
              <w:ind w:left="1280" w:firstLine="0" w:firstLineChars="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ind w:firstLine="280" w:firstLineChars="100"/>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widowControl/>
              <w:shd w:val="clear" w:color="auto" w:fill="FFFFFF"/>
              <w:spacing w:after="190"/>
              <w:jc w:val="left"/>
              <w:outlineLvl w:val="1"/>
              <w:rPr>
                <w:rFonts w:asciiTheme="minorEastAsia" w:hAnsiTheme="minorEastAsia" w:eastAsiaTheme="minorEastAsia"/>
                <w:sz w:val="28"/>
                <w:szCs w:val="28"/>
              </w:rPr>
            </w:pPr>
            <w:r>
              <w:rPr>
                <w:rFonts w:hint="eastAsia"/>
              </w:rPr>
              <w:t>附件1: “两会”声音预示处方外流新变化，药店要抓住两大突破口</w:t>
            </w:r>
          </w:p>
        </w:tc>
      </w:tr>
    </w:tbl>
    <w:p>
      <w:pPr>
        <w:tabs>
          <w:tab w:val="left" w:pos="5245"/>
        </w:tabs>
      </w:pPr>
    </w:p>
    <w:p>
      <w:pPr>
        <w:tabs>
          <w:tab w:val="left" w:pos="5245"/>
        </w:tabs>
      </w:pPr>
    </w:p>
    <w:p>
      <w:pPr>
        <w:tabs>
          <w:tab w:val="left" w:pos="5245"/>
        </w:tabs>
      </w:pP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快报！2020年医保统计数据出炉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asciiTheme="minorEastAsia" w:hAnsiTheme="minorEastAsia" w:eastAsiaTheme="minorEastAsia"/>
                <w:sz w:val="28"/>
                <w:szCs w:val="28"/>
              </w:rPr>
            </w:pPr>
            <w:r>
              <w:rPr>
                <w:rFonts w:hint="eastAsia" w:cs="Helvetica" w:asciiTheme="minorEastAsia" w:hAnsiTheme="minorEastAsia" w:eastAsiaTheme="minorEastAsia"/>
                <w:kern w:val="0"/>
                <w:sz w:val="28"/>
                <w:szCs w:val="28"/>
              </w:rPr>
              <w:t>2021-</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8</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eastAsia="宋体"/>
                <w:sz w:val="28"/>
                <w:szCs w:val="28"/>
                <w:lang w:eastAsia="zh-CN"/>
              </w:rPr>
            </w:pPr>
            <w:r>
              <w:rPr>
                <w:rFonts w:hint="eastAsia"/>
                <w:sz w:val="28"/>
                <w:szCs w:val="28"/>
                <w:lang w:eastAsia="zh-CN"/>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center"/>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cs="Helvetica" w:asciiTheme="minorEastAsia" w:hAnsiTheme="minorEastAsia" w:eastAsiaTheme="minorEastAsia"/>
                <w:kern w:val="0"/>
                <w:sz w:val="32"/>
                <w:szCs w:val="32"/>
              </w:rPr>
              <w:t xml:space="preserve"> </w:t>
            </w:r>
            <w:r>
              <w:rPr>
                <w:rFonts w:hint="eastAsia"/>
                <w:sz w:val="28"/>
                <w:szCs w:val="28"/>
                <w:lang w:eastAsia="zh-CN"/>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rPr>
              <w:t>国家医保局</w:t>
            </w:r>
            <w:r>
              <w:rPr>
                <w:rFonts w:hint="eastAsia"/>
                <w:sz w:val="28"/>
                <w:szCs w:val="28"/>
              </w:rPr>
              <w:t>，</w:t>
            </w:r>
            <w:r>
              <w:rPr>
                <w:rFonts w:hint="eastAsia"/>
                <w:sz w:val="28"/>
                <w:szCs w:val="28"/>
                <w:lang w:eastAsia="zh-CN"/>
              </w:rPr>
              <w:t>《统计快报》</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widowControl/>
              <w:spacing w:line="420" w:lineRule="atLeas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月8日，国家医保局发布《2020年医疗保障事业发展统计快报》（下称《统计快报》），公布了我国2020年基本医疗保险、生育保险、医保扶贫、医保药品目录、药品采购、医保支付改革、跨省异地就医直接结算、医疗保障基金监管、疫情防控和减征缓缴等情况。</w:t>
            </w:r>
          </w:p>
          <w:p>
            <w:pPr>
              <w:widowControl/>
              <w:spacing w:line="420" w:lineRule="atLeast"/>
              <w:ind w:firstLine="560" w:firstLineChars="200"/>
              <w:jc w:val="left"/>
              <w:rPr>
                <w:rFonts w:asciiTheme="minorEastAsia" w:hAnsiTheme="minorEastAsia" w:eastAsiaTheme="minorEastAsia"/>
              </w:rPr>
            </w:pPr>
            <w:r>
              <w:rPr>
                <w:rFonts w:hint="eastAsia" w:asciiTheme="minorEastAsia" w:hAnsiTheme="minorEastAsia" w:eastAsiaTheme="minorEastAsia"/>
                <w:sz w:val="28"/>
                <w:szCs w:val="28"/>
              </w:rPr>
              <w:t>1、</w:t>
            </w:r>
            <w:r>
              <w:rPr>
                <w:rFonts w:hint="eastAsia" w:asciiTheme="minorEastAsia" w:hAnsiTheme="minorEastAsia" w:eastAsiaTheme="minorEastAsia"/>
                <w:sz w:val="28"/>
                <w:szCs w:val="28"/>
                <w:lang w:eastAsia="zh-CN"/>
              </w:rPr>
              <w:t>总参保人数</w:t>
            </w:r>
            <w:r>
              <w:rPr>
                <w:rFonts w:hint="eastAsia" w:asciiTheme="minorEastAsia" w:hAnsiTheme="minorEastAsia" w:eastAsiaTheme="minorEastAsia"/>
                <w:sz w:val="28"/>
                <w:szCs w:val="28"/>
              </w:rPr>
              <w:t>；</w:t>
            </w:r>
          </w:p>
          <w:p>
            <w:pPr>
              <w:widowControl/>
              <w:spacing w:line="420" w:lineRule="atLeas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hint="eastAsia" w:asciiTheme="minorEastAsia" w:hAnsiTheme="minorEastAsia" w:eastAsiaTheme="minorEastAsia"/>
                <w:sz w:val="28"/>
                <w:szCs w:val="28"/>
                <w:lang w:eastAsia="zh-CN"/>
              </w:rPr>
              <w:t>医保基金总收入</w:t>
            </w:r>
            <w:r>
              <w:rPr>
                <w:rFonts w:hint="eastAsia" w:asciiTheme="minorEastAsia" w:hAnsiTheme="minorEastAsia" w:eastAsiaTheme="minorEastAsia"/>
                <w:sz w:val="28"/>
                <w:szCs w:val="28"/>
              </w:rPr>
              <w:t>；</w:t>
            </w:r>
          </w:p>
          <w:p>
            <w:pPr>
              <w:widowControl/>
              <w:spacing w:line="420" w:lineRule="atLeas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hint="eastAsia" w:asciiTheme="minorEastAsia" w:hAnsiTheme="minorEastAsia" w:eastAsiaTheme="minorEastAsia"/>
                <w:sz w:val="28"/>
                <w:szCs w:val="28"/>
                <w:lang w:eastAsia="zh-CN"/>
              </w:rPr>
              <w:t>国家集采</w:t>
            </w:r>
            <w:r>
              <w:rPr>
                <w:rFonts w:hint="eastAsia" w:asciiTheme="minorEastAsia" w:hAnsiTheme="minorEastAsia" w:eastAsiaTheme="minorEastAsia"/>
                <w:sz w:val="28"/>
                <w:szCs w:val="28"/>
              </w:rPr>
              <w:t>；</w:t>
            </w:r>
          </w:p>
          <w:p>
            <w:pPr>
              <w:widowControl/>
              <w:spacing w:line="420" w:lineRule="atLeas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4、</w:t>
            </w:r>
            <w:r>
              <w:rPr>
                <w:rFonts w:hint="eastAsia" w:asciiTheme="minorEastAsia" w:hAnsiTheme="minorEastAsia" w:eastAsiaTheme="minorEastAsia"/>
                <w:sz w:val="28"/>
                <w:szCs w:val="28"/>
                <w:lang w:eastAsia="zh-CN"/>
              </w:rPr>
              <w:t>异地直接结算</w:t>
            </w:r>
            <w:r>
              <w:rPr>
                <w:rFonts w:hint="eastAsia" w:asciiTheme="minorEastAsia" w:hAnsiTheme="minorEastAsia" w:eastAsiaTheme="minorEastAsia"/>
                <w:sz w:val="28"/>
                <w:szCs w:val="28"/>
              </w:rPr>
              <w:t>。</w:t>
            </w: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r>
              <w:rPr>
                <w:rFonts w:hint="eastAsia" w:asciiTheme="minorEastAsia" w:hAnsiTheme="minorEastAsia" w:eastAsiaTheme="minorEastAsia"/>
                <w:szCs w:val="21"/>
              </w:rPr>
              <w:t>附件2：</w:t>
            </w:r>
            <w:r>
              <w:rPr>
                <w:rFonts w:hint="eastAsia"/>
              </w:rPr>
              <w:t>快报！2020年医保统计数据出炉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40个大品种，带量采购开始(附名单)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eastAsia" w:asciiTheme="minorEastAsia" w:hAnsiTheme="minorEastAsia" w:eastAsiaTheme="minorEastAsia"/>
                <w:sz w:val="28"/>
                <w:szCs w:val="28"/>
                <w:lang w:eastAsia="zh-CN"/>
              </w:rPr>
            </w:pPr>
            <w:r>
              <w:rPr>
                <w:rFonts w:hint="eastAsia" w:cs="Helvetica" w:asciiTheme="minorEastAsia" w:hAnsiTheme="minorEastAsia" w:eastAsiaTheme="minorEastAsia"/>
                <w:kern w:val="0"/>
                <w:sz w:val="28"/>
                <w:szCs w:val="28"/>
              </w:rPr>
              <w:t>2021-</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-1</w:t>
            </w:r>
            <w:r>
              <w:rPr>
                <w:rFonts w:hint="eastAsia" w:cs="Helvetica" w:asciiTheme="minorEastAsia" w:hAnsiTheme="minorEastAsia" w:eastAsiaTheme="minorEastAsia"/>
                <w:kern w:val="0"/>
                <w:sz w:val="28"/>
                <w:szCs w:val="28"/>
                <w:lang w:val="en-US" w:eastAsia="zh-CN"/>
              </w:rPr>
              <w:t>8</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eastAsia" w:eastAsia="宋体"/>
                <w:sz w:val="28"/>
                <w:szCs w:val="28"/>
                <w:lang w:eastAsia="zh-CN"/>
              </w:rPr>
            </w:pPr>
            <w:r>
              <w:rPr>
                <w:rFonts w:hint="eastAsia"/>
                <w:sz w:val="28"/>
                <w:szCs w:val="28"/>
                <w:lang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hint="eastAsia" w:ascii="Helvetica" w:hAnsi="Helvetica" w:cs="Helvetica" w:eastAsiaTheme="minorEastAsia"/>
                <w:color w:val="000000" w:themeColor="text1"/>
                <w:kern w:val="0"/>
                <w:sz w:val="28"/>
                <w:szCs w:val="28"/>
                <w:lang w:eastAsia="zh-CN"/>
              </w:rPr>
            </w:pPr>
            <w:r>
              <w:rPr>
                <w:rFonts w:hint="eastAsia" w:cs="Helvetica" w:asciiTheme="minorEastAsia" w:hAnsiTheme="minorEastAsia" w:eastAsiaTheme="minorEastAsia"/>
                <w:color w:val="000000" w:themeColor="text1"/>
                <w:kern w:val="0"/>
                <w:sz w:val="28"/>
                <w:szCs w:val="28"/>
              </w:rPr>
              <w:t>来源：</w:t>
            </w:r>
            <w:r>
              <w:rPr>
                <w:rFonts w:hint="eastAsia" w:eastAsiaTheme="minorEastAsia"/>
                <w:sz w:val="28"/>
                <w:szCs w:val="28"/>
                <w:lang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lang w:eastAsia="zh-CN"/>
              </w:rPr>
              <w:t>集中带量采购</w:t>
            </w:r>
            <w:r>
              <w:rPr>
                <w:rFonts w:hint="eastAsia" w:asciiTheme="minorEastAsia" w:hAnsiTheme="minorEastAsia" w:eastAsiaTheme="minorEastAsia"/>
                <w:sz w:val="28"/>
                <w:szCs w:val="28"/>
              </w:rPr>
              <w:t>，专家遴选</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rPr>
              <w:t>40个采购品种。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根据《福建省药品集中带量采购文件(征求意见稿)》，福建在用量较大、采购金额较高、竞争充分、临床使用成熟的药品中，通过专家遴选形式确定了40个采购品种（约定采购量待定）。</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40个采购品种附表</w:t>
            </w:r>
            <w:r>
              <w:rPr>
                <w:rFonts w:hint="eastAsia" w:asciiTheme="minorEastAsia" w:hAnsiTheme="minorEastAsia" w:eastAsiaTheme="minorEastAsia"/>
                <w:sz w:val="28"/>
                <w:szCs w:val="28"/>
              </w:rPr>
              <w:t>；</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降幅仍然是中选的第一要义；</w:t>
            </w:r>
          </w:p>
          <w:p>
            <w:pPr>
              <w:pStyle w:val="20"/>
              <w:numPr>
                <w:ilvl w:val="0"/>
                <w:numId w:val="2"/>
              </w:numPr>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药品带量采购范围继续扩大</w:t>
            </w:r>
            <w:r>
              <w:rPr>
                <w:rFonts w:hint="eastAsia" w:asciiTheme="minorEastAsia" w:hAnsiTheme="minorEastAsia" w:eastAsiaTheme="minorEastAsia"/>
                <w:sz w:val="28"/>
                <w:szCs w:val="28"/>
                <w:lang w:eastAsia="zh-CN"/>
              </w:rPr>
              <w:t>。</w:t>
            </w: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cs="Helvetica"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附件3：</w:t>
            </w:r>
            <w:r>
              <w:rPr>
                <w:rFonts w:hint="eastAsia"/>
                <w:szCs w:val="21"/>
              </w:rPr>
              <w:t>40个大品种，带量采购开始(附名单)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b/>
                <w:sz w:val="32"/>
                <w:szCs w:val="32"/>
              </w:rPr>
              <w:t>【重磅】40亿抗肿瘤注射剂，领军企业恒瑞过评，齐鲁再下一城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2021-</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26</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eastAsiaTheme="minorEastAsia"/>
                <w:sz w:val="28"/>
                <w:szCs w:val="28"/>
                <w:lang w:eastAsia="zh-CN"/>
              </w:rPr>
              <w:t>米内网</w:t>
            </w:r>
            <w:r>
              <w:rPr>
                <w:rFonts w:asciiTheme="minorEastAsia" w:hAnsiTheme="minorEastAsia" w:eastAsiaTheme="minorEastAsia"/>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来源：</w:t>
            </w:r>
            <w:r>
              <w:rPr>
                <w:rFonts w:hint="eastAsia" w:eastAsiaTheme="minorEastAsia"/>
                <w:sz w:val="28"/>
                <w:szCs w:val="28"/>
                <w:lang w:eastAsia="zh-CN"/>
              </w:rPr>
              <w:t>米内网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药品批准</w:t>
            </w:r>
            <w:r>
              <w:rPr>
                <w:rFonts w:hint="eastAsia" w:asciiTheme="minorEastAsia" w:hAnsiTheme="minorEastAsia" w:eastAsiaTheme="minorEastAsia"/>
                <w:sz w:val="28"/>
                <w:szCs w:val="28"/>
              </w:rPr>
              <w:t>，</w:t>
            </w:r>
            <w:r>
              <w:rPr>
                <w:rFonts w:hint="eastAsia" w:cs="宋体" w:asciiTheme="minorEastAsia" w:hAnsiTheme="minorEastAsia" w:eastAsiaTheme="minorEastAsia"/>
                <w:kern w:val="0"/>
                <w:sz w:val="28"/>
                <w:szCs w:val="28"/>
              </w:rPr>
              <w:t>多西他赛注射液</w:t>
            </w:r>
            <w:r>
              <w:rPr>
                <w:rFonts w:hint="eastAsia" w:cs="宋体" w:asciiTheme="minorEastAsia" w:hAnsiTheme="minorEastAsia" w:eastAsiaTheme="minorEastAsia"/>
                <w:kern w:val="0"/>
                <w:sz w:val="28"/>
                <w:szCs w:val="28"/>
                <w:lang w:eastAsia="zh-CN"/>
              </w:rPr>
              <w:t>，一致性评价</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ind w:firstLine="280" w:firstLineChars="1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3月25日，NMPA发布最新药品批准信息，江苏恒瑞医药、齐鲁制药的多西他赛注射液一致性评价补充申请获批，：</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1、过评产品的具体情况；</w:t>
            </w:r>
          </w:p>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2、2020H1多西他赛注射液的企业竞争格局；</w:t>
            </w:r>
          </w:p>
          <w:p>
            <w:pPr>
              <w:ind w:firstLine="560" w:firstLineChars="200"/>
              <w:rPr>
                <w:rFonts w:hint="eastAsia" w:cs="宋体" w:asciiTheme="minorEastAsia" w:hAnsiTheme="minorEastAsia" w:eastAsiaTheme="minorEastAsia"/>
                <w:kern w:val="0"/>
                <w:sz w:val="28"/>
                <w:szCs w:val="28"/>
                <w:lang w:eastAsia="zh-CN"/>
              </w:rPr>
            </w:pPr>
            <w:r>
              <w:rPr>
                <w:rFonts w:hint="eastAsia" w:cs="宋体" w:asciiTheme="minorEastAsia" w:hAnsiTheme="minorEastAsia" w:eastAsiaTheme="minorEastAsia"/>
                <w:kern w:val="0"/>
                <w:sz w:val="28"/>
                <w:szCs w:val="28"/>
              </w:rPr>
              <w:t>3、即将过评的多西他赛注射液相关情况</w:t>
            </w:r>
            <w:r>
              <w:rPr>
                <w:rFonts w:hint="eastAsia" w:cs="宋体" w:asciiTheme="minorEastAsia" w:hAnsiTheme="minorEastAsia" w:eastAsiaTheme="minorEastAsia"/>
                <w:kern w:val="0"/>
                <w:sz w:val="28"/>
                <w:szCs w:val="28"/>
                <w:lang w:eastAsia="zh-CN"/>
              </w:rPr>
              <w:t>。</w:t>
            </w:r>
          </w:p>
          <w:p>
            <w:pPr>
              <w:rPr>
                <w:rFonts w:cs="宋体" w:asciiTheme="minorEastAsia" w:hAnsiTheme="minorEastAsia" w:eastAsiaTheme="minorEastAsia"/>
                <w:kern w:val="0"/>
                <w:sz w:val="28"/>
                <w:szCs w:val="28"/>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附件4：【重磅】40亿抗肿瘤注射剂，领军企业恒瑞过评，齐鲁再下一城</w:t>
            </w:r>
          </w:p>
        </w:tc>
      </w:tr>
    </w:tbl>
    <w:tbl>
      <w:tblPr>
        <w:tblStyle w:val="10"/>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rPr>
                <w:rFonts w:asciiTheme="minorEastAsia" w:hAnsiTheme="minorEastAsia" w:eastAsiaTheme="minorEastAsia"/>
                <w:b/>
                <w:sz w:val="32"/>
                <w:szCs w:val="32"/>
              </w:rPr>
            </w:pPr>
            <w:r>
              <w:rPr>
                <w:rFonts w:hint="eastAsia"/>
                <w:b/>
                <w:sz w:val="32"/>
                <w:szCs w:val="32"/>
              </w:rPr>
              <w:t>医疗器械监督管理条例发布！（附全文）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2021-</w:t>
            </w:r>
            <w:r>
              <w:rPr>
                <w:rFonts w:hint="eastAsia" w:asciiTheme="minorEastAsia" w:hAnsiTheme="minorEastAsia" w:eastAsiaTheme="minorEastAsia"/>
                <w:sz w:val="30"/>
                <w:szCs w:val="30"/>
                <w:lang w:val="en-US" w:eastAsia="zh-CN"/>
              </w:rPr>
              <w:t>3</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18</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rFonts w:hint="eastAsia" w:eastAsia="宋体"/>
                <w:sz w:val="28"/>
                <w:szCs w:val="28"/>
                <w:lang w:eastAsia="zh-CN"/>
              </w:rPr>
            </w:pPr>
            <w:r>
              <w:rPr>
                <w:rFonts w:hint="eastAsia"/>
                <w:sz w:val="30"/>
                <w:szCs w:val="30"/>
                <w:lang w:eastAsia="zh-CN"/>
              </w:rPr>
              <w:t>医药经济报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30"/>
                <w:szCs w:val="30"/>
              </w:rPr>
              <w:t>来源：医药经济报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rPr>
              <w:t>《医疗器械监督管理条例》</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发布</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实施</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3月17日，新修订《医疗器械监督管理条例》正式发布，并将于2021年6月1日起施行。</w:t>
            </w:r>
          </w:p>
          <w:p>
            <w:pPr>
              <w:ind w:firstLine="56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 w:val="28"/>
                <w:szCs w:val="28"/>
                <w:lang w:eastAsia="zh-CN"/>
              </w:rPr>
              <w:t>附《</w:t>
            </w:r>
            <w:r>
              <w:rPr>
                <w:rFonts w:hint="eastAsia" w:cs="宋体" w:asciiTheme="minorEastAsia" w:hAnsiTheme="minorEastAsia" w:eastAsiaTheme="minorEastAsia"/>
                <w:kern w:val="0"/>
                <w:sz w:val="28"/>
                <w:szCs w:val="28"/>
              </w:rPr>
              <w:t>医疗器械监督管理条例</w:t>
            </w:r>
            <w:r>
              <w:rPr>
                <w:rFonts w:hint="eastAsia" w:cs="宋体" w:asciiTheme="minorEastAsia" w:hAnsiTheme="minorEastAsia" w:eastAsiaTheme="minorEastAsia"/>
                <w:kern w:val="0"/>
                <w:sz w:val="28"/>
                <w:szCs w:val="28"/>
                <w:lang w:eastAsia="zh-CN"/>
              </w:rPr>
              <w:t>》全文</w:t>
            </w:r>
            <w:r>
              <w:rPr>
                <w:rFonts w:hint="eastAsia" w:cs="宋体" w:asciiTheme="minorEastAsia" w:hAnsiTheme="minorEastAsia" w:eastAsiaTheme="minorEastAsia"/>
                <w:kern w:val="0"/>
                <w:szCs w:val="21"/>
              </w:rPr>
              <w:t>。</w:t>
            </w: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b/>
                <w:sz w:val="32"/>
                <w:szCs w:val="32"/>
              </w:rPr>
            </w:pPr>
            <w:r>
              <w:rPr>
                <w:rFonts w:hint="eastAsia" w:ascii="宋体" w:hAnsi="宋体" w:cs="宋体"/>
                <w:kern w:val="0"/>
                <w:szCs w:val="21"/>
              </w:rPr>
              <w:t>附件5:</w:t>
            </w:r>
            <w:r>
              <w:rPr>
                <w:b/>
                <w:sz w:val="32"/>
                <w:szCs w:val="32"/>
              </w:rPr>
              <w:t xml:space="preserve"> </w:t>
            </w:r>
            <w:r>
              <w:rPr>
                <w:rFonts w:hint="eastAsia"/>
                <w:szCs w:val="21"/>
              </w:rPr>
              <w:t>医疗器械监督管理条例发布！（附全文）</w:t>
            </w:r>
          </w:p>
        </w:tc>
      </w:tr>
    </w:tbl>
    <w:p>
      <w:pPr>
        <w:widowControl/>
        <w:shd w:val="clear" w:color="auto" w:fill="FFFFFF"/>
        <w:spacing w:after="210"/>
        <w:jc w:val="left"/>
        <w:outlineLvl w:val="1"/>
        <w:rPr>
          <w:rFonts w:ascii="微软雅黑" w:hAnsi="微软雅黑" w:eastAsia="微软雅黑" w:cs="宋体"/>
          <w:b/>
          <w:color w:val="333333"/>
          <w:kern w:val="36"/>
          <w:sz w:val="24"/>
          <w:szCs w:val="24"/>
        </w:rPr>
      </w:pPr>
    </w:p>
    <w:p>
      <w:pPr>
        <w:widowControl/>
        <w:shd w:val="clear" w:color="auto" w:fill="FFFFFF"/>
        <w:spacing w:after="210"/>
        <w:jc w:val="left"/>
        <w:outlineLvl w:val="1"/>
        <w:rPr>
          <w:rFonts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 xml:space="preserve">附件1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i w:val="0"/>
          <w:caps w:val="0"/>
          <w:color w:val="333333"/>
          <w:spacing w:val="8"/>
          <w:sz w:val="33"/>
          <w:szCs w:val="33"/>
        </w:rPr>
      </w:pPr>
      <w:r>
        <w:rPr>
          <w:rFonts w:hint="eastAsia" w:ascii="Microsoft YaHei UI" w:hAnsi="Microsoft YaHei UI" w:eastAsia="Microsoft YaHei UI" w:cs="Microsoft YaHei UI"/>
          <w:b/>
          <w:i w:val="0"/>
          <w:caps w:val="0"/>
          <w:color w:val="333333"/>
          <w:spacing w:val="8"/>
          <w:sz w:val="33"/>
          <w:szCs w:val="33"/>
          <w:shd w:val="clear" w:fill="FFFFFF"/>
        </w:rPr>
        <w:t>“两会”声音预示处方外流新变化，药店要抓住两大突破口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b w:val="0"/>
          <w:i w:val="0"/>
          <w:caps w:val="0"/>
          <w:color w:val="333333"/>
          <w:spacing w:val="8"/>
          <w:sz w:val="0"/>
          <w:szCs w:val="0"/>
        </w:rPr>
      </w:pPr>
      <w:r>
        <w:rPr>
          <w:rFonts w:hint="eastAsia" w:ascii="Microsoft YaHei UI" w:hAnsi="Microsoft YaHei UI" w:eastAsia="Microsoft YaHei UI" w:cs="Microsoft YaHei UI"/>
          <w:b w:val="0"/>
          <w:i w:val="0"/>
          <w:caps w:val="0"/>
          <w:color w:val="333333"/>
          <w:spacing w:val="0"/>
          <w:kern w:val="0"/>
          <w:sz w:val="18"/>
          <w:szCs w:val="18"/>
          <w:shd w:val="clear" w:fill="FFFFFF"/>
          <w:lang w:val="en-US" w:eastAsia="zh-CN" w:bidi="ar"/>
        </w:rPr>
        <w:t>原创</w:t>
      </w:r>
      <w:r>
        <w:rPr>
          <w:rFonts w:hint="eastAsia" w:ascii="Microsoft YaHei UI" w:hAnsi="Microsoft YaHei UI" w:eastAsia="Microsoft YaHei UI" w:cs="Microsoft YaHei UI"/>
          <w:b w:val="0"/>
          <w:i w:val="0"/>
          <w:caps w:val="0"/>
          <w:color w:val="333333"/>
          <w:spacing w:val="8"/>
          <w:kern w:val="0"/>
          <w:sz w:val="0"/>
          <w:szCs w:val="0"/>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艾渔</w:t>
      </w:r>
      <w:r>
        <w:rPr>
          <w:rFonts w:hint="eastAsia" w:ascii="Microsoft YaHei UI" w:hAnsi="Microsoft YaHei UI" w:eastAsia="Microsoft YaHei UI" w:cs="Microsoft YaHei UI"/>
          <w:b w:val="0"/>
          <w:i w:val="0"/>
          <w:caps w:val="0"/>
          <w:color w:val="333333"/>
          <w:spacing w:val="8"/>
          <w:kern w:val="0"/>
          <w:sz w:val="0"/>
          <w:szCs w:val="0"/>
          <w:shd w:val="clear" w:fill="FFFFFF"/>
          <w:lang w:val="en-US" w:eastAsia="zh-CN" w:bidi="ar"/>
        </w:rPr>
        <w:t> </w: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instrText xml:space="preserve"> HYPERLINK "https://mp.weixin.qq.com/javascript:void(0);" </w:instrTex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separate"/>
      </w:r>
      <w:r>
        <w:rPr>
          <w:rStyle w:val="14"/>
          <w:rFonts w:hint="eastAsia" w:ascii="Microsoft YaHei UI" w:hAnsi="Microsoft YaHei UI" w:eastAsia="Microsoft YaHei UI" w:cs="Microsoft YaHei UI"/>
          <w:b w:val="0"/>
          <w:i w:val="0"/>
          <w:caps w:val="0"/>
          <w:color w:val="576B95"/>
          <w:spacing w:val="8"/>
          <w:sz w:val="22"/>
          <w:szCs w:val="22"/>
          <w:u w:val="none"/>
          <w:shd w:val="clear" w:fill="FFFFFF"/>
        </w:rPr>
        <w:t>21世纪药店</w: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b w:val="0"/>
          <w:i w:val="0"/>
          <w:caps w:val="0"/>
          <w:color w:val="333333"/>
          <w:spacing w:val="8"/>
          <w:kern w:val="0"/>
          <w:sz w:val="0"/>
          <w:szCs w:val="0"/>
          <w:shd w:val="clear" w:fill="FFFFFF"/>
          <w:lang w:val="en-US" w:eastAsia="zh-CN" w:bidi="ar"/>
        </w:rPr>
        <w:t> </w:t>
      </w:r>
      <w:r>
        <w:rPr>
          <w:rStyle w:val="13"/>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3月3日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333333"/>
          <w:spacing w:val="8"/>
          <w:sz w:val="25"/>
          <w:szCs w:val="25"/>
          <w:shd w:val="clear" w:fill="FFFFFF"/>
        </w:rPr>
        <w:drawing>
          <wp:inline distT="0" distB="0" distL="114300" distR="114300">
            <wp:extent cx="5592445" cy="2858135"/>
            <wp:effectExtent l="0" t="0" r="8255" b="18415"/>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6"/>
                    <a:stretch>
                      <a:fillRect/>
                    </a:stretch>
                  </pic:blipFill>
                  <pic:spPr>
                    <a:xfrm>
                      <a:off x="0" y="0"/>
                      <a:ext cx="5592445" cy="285813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r>
        <w:rPr>
          <w:rFonts w:hint="eastAsia" w:ascii="Microsoft YaHei UI" w:hAnsi="Microsoft YaHei UI" w:eastAsia="Microsoft YaHei UI" w:cs="Microsoft YaHei UI"/>
          <w:b w:val="0"/>
          <w:i w:val="0"/>
          <w:caps w:val="0"/>
          <w:color w:val="333333"/>
          <w:spacing w:val="8"/>
          <w:sz w:val="22"/>
          <w:szCs w:val="22"/>
          <w:shd w:val="clear" w:fill="FFFFFF"/>
        </w:rPr>
        <w:br w:type="textWrapping"/>
      </w:r>
      <w:r>
        <w:rPr>
          <w:rFonts w:hint="eastAsia" w:ascii="Microsoft YaHei UI" w:hAnsi="Microsoft YaHei UI" w:eastAsia="Microsoft YaHei UI" w:cs="Microsoft YaHei UI"/>
          <w:b w:val="0"/>
          <w:i w:val="0"/>
          <w:caps w:val="0"/>
          <w:color w:val="333333"/>
          <w:spacing w:val="8"/>
          <w:sz w:val="22"/>
          <w:szCs w:val="22"/>
          <w:shd w:val="clear" w:fill="FFFFFF"/>
        </w:rPr>
        <w:t>近期，全国各地的“两会”纷纷闭幕，全国“两会”将于4日、5日正式拉开帷幕。不出意外，包括处方外流在内的医改等民生关切，将是今年全国“两会”热点。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以往，</w:t>
      </w:r>
      <w:r>
        <w:rPr>
          <w:rFonts w:hint="eastAsia" w:ascii="Microsoft YaHei UI" w:hAnsi="Microsoft YaHei UI" w:eastAsia="Microsoft YaHei UI" w:cs="Microsoft YaHei UI"/>
          <w:b w:val="0"/>
          <w:i w:val="0"/>
          <w:caps w:val="0"/>
          <w:color w:val="0052FF"/>
          <w:spacing w:val="8"/>
          <w:sz w:val="22"/>
          <w:szCs w:val="22"/>
          <w:shd w:val="clear" w:fill="FFFFFF"/>
        </w:rPr>
        <w:t>在来自医药领域的人大代表和政协委员们的议案、提案和建议中，关于“处方外流”的话题尤其引人注目，其不仅与药店的经营密切相关，也是药店未来的发展趋势</w:t>
      </w:r>
      <w:r>
        <w:rPr>
          <w:rFonts w:hint="eastAsia" w:ascii="Microsoft YaHei UI" w:hAnsi="Microsoft YaHei UI" w:eastAsia="Microsoft YaHei UI" w:cs="Microsoft YaHei UI"/>
          <w:b w:val="0"/>
          <w:i w:val="0"/>
          <w:caps w:val="0"/>
          <w:color w:val="333333"/>
          <w:spacing w:val="8"/>
          <w:sz w:val="22"/>
          <w:szCs w:val="22"/>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近两年来，围绕国家和各地药监、医保部门鼓励处方外流的政策红利，连锁药店纷纷在医院周边地区大量布点院边店、DTP药房等，以迎接处方外流的巨大蛋糕。</w:t>
      </w:r>
      <w:r>
        <w:rPr>
          <w:rFonts w:hint="eastAsia" w:ascii="Microsoft YaHei UI" w:hAnsi="Microsoft YaHei UI" w:eastAsia="Microsoft YaHei UI" w:cs="Microsoft YaHei UI"/>
          <w:b w:val="0"/>
          <w:i w:val="0"/>
          <w:caps w:val="0"/>
          <w:color w:val="0052FF"/>
          <w:spacing w:val="8"/>
          <w:sz w:val="22"/>
          <w:szCs w:val="22"/>
          <w:shd w:val="clear" w:fill="FFFFFF"/>
        </w:rPr>
        <w:t>虽然医院外流处方的主动意愿不强，但在集采、药占比等政策驱使下，处方大量外流已是必然趋势</w:t>
      </w:r>
      <w:r>
        <w:rPr>
          <w:rFonts w:hint="eastAsia" w:ascii="Microsoft YaHei UI" w:hAnsi="Microsoft YaHei UI" w:eastAsia="Microsoft YaHei UI" w:cs="Microsoft YaHei UI"/>
          <w:b w:val="0"/>
          <w:i w:val="0"/>
          <w:caps w:val="0"/>
          <w:color w:val="333333"/>
          <w:spacing w:val="8"/>
          <w:sz w:val="22"/>
          <w:szCs w:val="22"/>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不过，仅仅开院边店是不够的，并不是处方外流了，就一定会流到院边店去，因为互联网的加速发展，以及医保结算线上线下一体化的有望加速，使得距离不再是问题。关键在于资质，如药店是否配备能够“按照处方调配的相应要求和规程审核、调配、核对处方，并向患者正确说明用法、用量和注意事项，指导合理用药”的药学服务人员，是否有条件做到电子处方的规范管理等。此外，处方流转平台建设也是关键的一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t>01两会“热点”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0052FF"/>
          <w:spacing w:val="8"/>
          <w:sz w:val="22"/>
          <w:szCs w:val="22"/>
          <w:shd w:val="clear" w:fill="FFFFFF"/>
        </w:rPr>
        <w:t>回顾近几年的全国和地方“两会”，可以发现建立处方信息共享平台的建议不少</w:t>
      </w:r>
      <w:r>
        <w:rPr>
          <w:rFonts w:hint="eastAsia" w:ascii="Microsoft YaHei UI" w:hAnsi="Microsoft YaHei UI" w:eastAsia="Microsoft YaHei UI" w:cs="Microsoft YaHei UI"/>
          <w:b w:val="0"/>
          <w:i w:val="0"/>
          <w:caps w:val="0"/>
          <w:color w:val="333333"/>
          <w:spacing w:val="8"/>
          <w:sz w:val="22"/>
          <w:szCs w:val="22"/>
          <w:shd w:val="clear" w:fill="FFFFFF"/>
        </w:rPr>
        <w:t>，其中又以十一届、十二届人大代表、老百姓大药房董事长谢子龙和十二届、十三届全国人大代表、大参林医药集团股份有限公司董事长柯云峰的建议最有代表性。</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2017年，谢子龙提出的相关建议是：推动医疗、医药、医保“三方信息共享”，对引导医院处方外流、保障医保基金安全、推进医药分开具有重要作用。2018年，柯云峰建议建立以医保平台为中心、或以第三方平台为中心、或以互联网医院为中心的“医疗、医保及零售药店”三方信息共享模式，使患者能够凭医院电子处方，方便其自行选择到社会上的零售药店购药，并实时完成医保统筹报销手续，从而实现医疗机构开方及审方、医保机构审查及报销、零售药店调方及配药服务的三方联动，“具体模式由各地结合本地实际选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在2021年的地方“两会”，河南和广东等地关于互联网+医药、电子处方流转的声音也受到了业界的瞩目。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在今年河南“两会”上，河南省政协委员、华润河南医药董事长陈威认为，</w:t>
      </w:r>
      <w:r>
        <w:rPr>
          <w:rFonts w:hint="eastAsia" w:ascii="Microsoft YaHei UI" w:hAnsi="Microsoft YaHei UI" w:eastAsia="Microsoft YaHei UI" w:cs="Microsoft YaHei UI"/>
          <w:b w:val="0"/>
          <w:i w:val="0"/>
          <w:caps w:val="0"/>
          <w:color w:val="0052FF"/>
          <w:spacing w:val="8"/>
          <w:sz w:val="22"/>
          <w:szCs w:val="22"/>
          <w:shd w:val="clear" w:fill="FFFFFF"/>
        </w:rPr>
        <w:t>应用“互联网+医疗+医药”模式，将药店打造成医院的前后端，前端是指患者可以在认证药店使用互联网医院实现线上轻问诊，后端则指认证药店可以为患者提供出院后的康复服务</w:t>
      </w:r>
      <w:r>
        <w:rPr>
          <w:rFonts w:hint="eastAsia" w:ascii="Microsoft YaHei UI" w:hAnsi="Microsoft YaHei UI" w:eastAsia="Microsoft YaHei UI" w:cs="Microsoft YaHei UI"/>
          <w:b w:val="0"/>
          <w:i w:val="0"/>
          <w:caps w:val="0"/>
          <w:color w:val="333333"/>
          <w:spacing w:val="8"/>
          <w:sz w:val="22"/>
          <w:szCs w:val="22"/>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陈威指出，</w:t>
      </w:r>
      <w:r>
        <w:rPr>
          <w:rFonts w:hint="eastAsia" w:ascii="Microsoft YaHei UI" w:hAnsi="Microsoft YaHei UI" w:eastAsia="Microsoft YaHei UI" w:cs="Microsoft YaHei UI"/>
          <w:b w:val="0"/>
          <w:i w:val="0"/>
          <w:caps w:val="0"/>
          <w:color w:val="0052FF"/>
          <w:spacing w:val="8"/>
          <w:sz w:val="22"/>
          <w:szCs w:val="22"/>
          <w:shd w:val="clear" w:fill="FFFFFF"/>
        </w:rPr>
        <w:t>医院认证药店是路径之一</w:t>
      </w:r>
      <w:r>
        <w:rPr>
          <w:rFonts w:hint="eastAsia" w:ascii="Microsoft YaHei UI" w:hAnsi="Microsoft YaHei UI" w:eastAsia="Microsoft YaHei UI" w:cs="Microsoft YaHei UI"/>
          <w:b w:val="0"/>
          <w:i w:val="0"/>
          <w:caps w:val="0"/>
          <w:color w:val="333333"/>
          <w:spacing w:val="8"/>
          <w:sz w:val="22"/>
          <w:szCs w:val="22"/>
          <w:shd w:val="clear" w:fill="FFFFFF"/>
        </w:rPr>
        <w:t>，医药商业企业作为专业的药品流通企业，有能力整合各方资源推动互联网+医药进程，采取医院认证药店的方式，既能做到药品质量的闭环管理，又可以以药店为服务场所，为患者提供更多的专业化药学服务。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对于如何具体实施，陈威建议：由医疗机构牵头以医院的门诊药房为标准，确定社会药店认证标准，包括但不限于软硬件、人员匹配、药品目录、生产厂家、价格品规、服务标准等。其次，认证药店突破现有物理距离，可以广泛分布在全省范围内，方便群众就近购买药品。医院也将持续为认证药店提供保障服务支持，确保其管理和服务的持续提升，例如定期对药店药师进行专业化培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前段时间，湖北省卫生健康委印发了《湖北省互联网医院药学服务管理办法（试行）》明确，互联网医院可为患者提供处方流转服务，建立互联网医院处方流转平台，遴选入驻平台零售药店。两者相似之处，都是由医院主导，如该办法规定由互联网医院制定流转平台零售药店的审核条件，督促平台零售药店加强药品质量、药品配送服务管理，指导零售药店进行药品不良反应监测及用药交代等药学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不过，也有人对此持有异议，应该是由政府部门而不是由医院来主导，否则药店处于“被动”的地位，公平性不一定能得到保证。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1月23日，在政协第十二届广东省委员会常务委员会第十五次会议上，农工党广东省委会提交了《关于促进在线医疗产业高质量发展的建议》，该建议提出，建立健全以患者为中心的医疗数据共享方式和制度，对电子处方流转平台，应配套出台规范性文件，或者检查结果、线上处方信息等互认制度，让电子处方按照“医院—患者—药企/店—患者—快递”的路径流转，并且可以连接医保平台在线进行。</w:t>
      </w:r>
      <w:r>
        <w:rPr>
          <w:rFonts w:hint="eastAsia" w:ascii="Microsoft YaHei UI" w:hAnsi="Microsoft YaHei UI" w:eastAsia="Microsoft YaHei UI" w:cs="Microsoft YaHei UI"/>
          <w:b w:val="0"/>
          <w:i w:val="0"/>
          <w:caps w:val="0"/>
          <w:color w:val="0052FF"/>
          <w:spacing w:val="8"/>
          <w:sz w:val="22"/>
          <w:szCs w:val="22"/>
          <w:shd w:val="clear" w:fill="FFFFFF"/>
        </w:rPr>
        <w:t>该“建议”建议让患者可以自行选择线上药店、选择有资质的快递公司送药，能够有利于促进各医疗机构与零售药店/药企等第三方平台的高度融合。药店能否与医疗系统进行信息对接，这是关键，只有实现医院、医药、医保三方信息的互联互通、实时共享，三者在同一信息平台上，才能实现真正的处方外流</w:t>
      </w:r>
      <w:r>
        <w:rPr>
          <w:rFonts w:hint="eastAsia" w:ascii="Microsoft YaHei UI" w:hAnsi="Microsoft YaHei UI" w:eastAsia="Microsoft YaHei UI" w:cs="Microsoft YaHei UI"/>
          <w:b w:val="0"/>
          <w:i w:val="0"/>
          <w:caps w:val="0"/>
          <w:color w:val="333333"/>
          <w:spacing w:val="8"/>
          <w:sz w:val="22"/>
          <w:szCs w:val="22"/>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目前，上海市已有33家市级公立医院开展了互联网诊疗业务，但一些互联网医院的药品配送模式是医院自行打包快递，管理成本较高；一些药店的打包快递受限于各自代理药品目录，有时一张处方需要分拆为几个包裹，因此是否需要建立统一的互联网医院“云药房”，也有代表对此表示关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值得一提的是，随着个人医保账户的改革，与处方外流同受关注的还有门诊统筹账户能否对药店开放的问题。从推进处方外流和提高医疗服务资源使用效率的角度来看，这也是不可或缺的一环。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t>02各地探索“突破口”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40" w:right="240" w:firstLine="472" w:firstLineChars="200"/>
        <w:jc w:val="both"/>
      </w:pPr>
      <w:r>
        <w:rPr>
          <w:rFonts w:hint="eastAsia" w:ascii="Microsoft YaHei UI" w:hAnsi="Microsoft YaHei UI" w:eastAsia="Microsoft YaHei UI" w:cs="Microsoft YaHei UI"/>
          <w:b w:val="0"/>
          <w:i w:val="0"/>
          <w:caps w:val="0"/>
          <w:color w:val="333333"/>
          <w:spacing w:val="8"/>
          <w:sz w:val="22"/>
          <w:szCs w:val="22"/>
          <w:shd w:val="clear" w:fill="FFFFFF"/>
        </w:rPr>
        <w:t>在全国药品集采常态化的大环境下，药店赚差价的传统盈利模式受到越来越大的冲击，因此药店经营者对医院处方外流的企盼也越来越强烈。新年伊始，一些地方陆续推出新政，为处方外流打开方便之门。从政策制定的趋势来看，国家和地方推进医院处方外流的力度越来越大，步伐也越来越快，而这本质上也是医药分开的重要一环。</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Style w:val="12"/>
          <w:rFonts w:hint="eastAsia" w:ascii="Microsoft YaHei UI" w:hAnsi="Microsoft YaHei UI" w:eastAsia="Microsoft YaHei UI" w:cs="Microsoft YaHei UI"/>
          <w:i w:val="0"/>
          <w:caps w:val="0"/>
          <w:color w:val="333333"/>
          <w:spacing w:val="8"/>
          <w:kern w:val="0"/>
          <w:sz w:val="22"/>
          <w:szCs w:val="22"/>
          <w:shd w:val="clear" w:fill="FFFFFF"/>
          <w:lang w:val="en-US" w:eastAsia="zh-CN" w:bidi="ar"/>
        </w:rPr>
        <w:t>1以慢病长期处方为突破口</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今年1月，福建省药监局、福建省卫健委和福建省医保局联合出台了《关于进一步加强处方药销售使用管理的意见》（下称《意见》），专门就促进处方药合理销售使用、规范处方流转共享、推动“互联网+医疗健康”发展做出七条规定。 《意见》明确指出：对于高血压、糖尿病等疾病诊断明确、病情稳定、需要持续用药及管理依从性好的慢性病，对评估后符合要求的慢性病患者，一次可开具12周以内相关药品。也就是说，如果慢性病患者在医院开了长期处方后，不必再多次跑医院，可以直接到药店购药。此外，《意见》还规定医疗机构应按药品通用名开具处方，并主动向患者提供处方或内设自助设备供患者自行打印处方。门诊患者可自主选择在医疗机构或零售药店购药，医疗机构不得限制门诊患者凭处方到零售药店购药，医疗机构或医师不得要求患者到指定药店购药。 《意见》还鼓励有条件的地区依托现有信息系统，开展药师网上处方审核、合理用药指导等药事服务。同时，鼓励经卫生健康行政部门批准的医疗机构开展在线复诊、在线处方等互联网诊疗活动，通过自建或第三方平台，为零售药店销售处方药提供合法的处方来源。 一直以来，慢病患者是药店的主要顾客群体，因此，各地与福建一样，也是选择探索慢病长期处方管理作为突破口：2015年6月，浙江省试点慢性病连续处方，慢性病连续处方笺采用“一笺三单”形式，一笺有效期为12个星期；每笺包括三张联单，每张联单有效时间为4个星期；三张联单必须连续使用，中间不能间隔。2015年8月，上海试点“慢病长处方”，即在社区卫生服务中心与家庭医生签约，纳入家庭医生慢性病管理，可给患者开具单次高血压、糖尿病所有品种的治疗性药物1～2个月的用量。2018年7月，西安市出台相关意见，规定零售药店在完善慢病患者的诊疗和用药档案的基础上，记录患者既往用药情况、需购买药品的资料以及购买者详细信息，可以不重复索取处方，只做处方药销售登记。2019年3月，湖北省卫健委印发了《关于加快医疗机构药学服务高质量发展的实施意见》，提出“对符合要求的慢性病患者，可以一次开具12周以内的相关药品”…… 由上述举措可以看出，地方探索慢病长期处方，早在几年前就开始进行尝试，而在国家出台统一政策的指导下，其步伐明显加快。连锁药店应该把握时机，主动与相关管理部门沟通，争取尽快落到实处。那些各地获得首批资格的连锁药店，其背后都是做了大量的充分筹备工作。</w:t>
      </w:r>
    </w:p>
    <w:p>
      <w:pPr>
        <w:keepNext w:val="0"/>
        <w:keepLines w:val="0"/>
        <w:widowControl/>
        <w:suppressLineNumbers w:val="0"/>
        <w:spacing w:before="0" w:beforeAutospacing="0" w:after="0" w:afterAutospacing="0"/>
        <w:ind w:left="0" w:right="0"/>
        <w:jc w:val="left"/>
      </w:pPr>
      <w:r>
        <w:rPr>
          <w:rStyle w:val="12"/>
          <w:rFonts w:hint="eastAsia" w:ascii="Microsoft YaHei UI" w:hAnsi="Microsoft YaHei UI" w:eastAsia="Microsoft YaHei UI" w:cs="Microsoft YaHei UI"/>
          <w:i w:val="0"/>
          <w:caps w:val="0"/>
          <w:color w:val="333333"/>
          <w:spacing w:val="8"/>
          <w:kern w:val="0"/>
          <w:sz w:val="22"/>
          <w:szCs w:val="22"/>
          <w:shd w:val="clear" w:fill="FFFFFF"/>
          <w:lang w:val="en-US" w:eastAsia="zh-CN" w:bidi="ar"/>
        </w:rPr>
        <w:t>2打造“互联网+医保+医疗+医药”模式</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处方能否顺利外流，处方流转平台的建设是关键的一环。广西梧州百姓承接处方外流的模式曾引起业内的普遍关注，有一些连锁药店的老总还亲自前去“探营”。但从省份的角度来看，比较正式的是山东，在其发布的《贯彻落实〈中共中央、国务院关于深化医疗保障制度改革的意见〉的实施意见》（以下简称《实施意见》）中，明确提出要建立多层次的医保保障体系、建立药品处方流转平台、支持零售药店逐步成为向患者提供药品保障的主渠道等。 《实施意见》还提到要创新“互联网+医保+医疗+医药”综合保障服务，主要的举措之一就是把漱玉平民参与的“山东省互联网医保大健康服务平台”建设列入全省“十四五”规划和新旧动能转换、互联网创新发展项目计划，以加快数字赋能，推动医保、医疗、医药线上线下融合发展。 1月18日，山东医保局在官网上发布《关于坚持传统服务与智能化服务创新并行推行老年人医疗保障便捷服务十二条措施的通知》，要求2021年12月底前要大力推广“送药上门服务”，依托该省互联网医保大健康服务平台、互联网医院等“互联网+医保”服务新模式，实现复诊“线上问诊”“线上续方”“线上医保结算”“线下送药上门”服务。 “线上医保结算+线下送药上门”，这是国家鼓励的医改发展方向，也是药店企盼的事情。山东医保局大力推广该模式，主要是为了解决行动不便老年人就医购药困难问题，其实施所依托的“省互联网医保大健康服务平台”是非常重要的一环。该平台于去年上线启用，系全国首个，运营公司是同一天成立的山东互联网医保大健康集团有限公司。该公司由山东省医保局、济南市政府联合推动筹建，微医集团和济南高新控股集团发起，联合中金资本、中信网络、北京应通、易联众、山东省新动能领航医养股权投资基金、众阳健康、漱玉平民大药房等企业共同出资组建，成员涵盖了资本、电商、医疗、零售等各方强者。 在“线上医保结算+线下送药上门”的建设中，医保处方流转结算平台是关键。去年，山东已在个别省市进行了试点和推广。2020年4月16日，山东省菏泽市医保局从高血压、糖尿病（简称“两病”）参保职工开始试运行加快医保处方流转结算平台建设，其做法是医保处方流转结算平台先以市中医医院中华东路分院为试点，结合联众大药房，从“两病”参保职工开始试运行，之后扩展到该定点的门诊慢性病参保职工，再扩展到市直四家职工门诊慢性病定点医疗机构，自7月14日起在全市范围内全面展开。业务运行模式为：参保职工选择一家医院作为其慢性病定点门诊，并在此定点门诊线上开具处方、续方，通过处方流转平台，医保监管人员审核处方的合理性后，参保人员可自愿选择在定点门诊或其他就近定点药店购药。参保人员以医保电子凭证为认证，可以线上购药，也可以使用医保电子凭证或社保卡到药店进行线下购药，这样从医生开具处方、药师审核处方、药店获取处方到售药结算、配送到家，打造了完整的医保处方外流链条。　　 对菏泽市的试点，当时就有业内人士推测，处方流转平台的建设有可能医保基金与零售药店实时结算，但不是所有药店都能获得医院给患者开具的处方，只有少数有实力的药店能接入医疗机构信息系统，获得医保处方流转的红利。 对于药店而言，山东省的《实施意见》有两个重大利好。一直以来，即使在同一个省之内，各地的医保政策也是不一，而山东不但全省统一，而且将实现网上统一结算，有利于连锁药店的跨区域发展。二是积极推进多渠道筹资，鼓励药店参与，打造“互联网+医保+医疗+医药”模式的医保新模式，利于加快连锁药店线上线下一体化的发展步伐。执行上，假如连锁药店主动参与和积极沟通，无疑会提升改革的效率和政策实施的进程，从而让处方流转更快、更高效。</w:t>
      </w:r>
    </w:p>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widowControl/>
        <w:spacing w:after="210"/>
        <w:outlineLvl w:val="1"/>
        <w:rPr>
          <w:rFonts w:hint="eastAsia" w:ascii="Microsoft YaHei UI" w:hAnsi="Microsoft YaHei UI" w:eastAsia="Microsoft YaHei UI" w:cs="Microsoft YaHei UI"/>
          <w:b/>
          <w:i w:val="0"/>
          <w:caps w:val="0"/>
          <w:color w:val="333333"/>
          <w:spacing w:val="8"/>
          <w:sz w:val="33"/>
          <w:szCs w:val="33"/>
          <w:lang w:bidi="ar"/>
        </w:rPr>
      </w:pPr>
      <w:r>
        <w:rPr>
          <w:rFonts w:hint="eastAsia" w:ascii="微软雅黑" w:hAnsi="微软雅黑" w:eastAsia="微软雅黑" w:cs="宋体"/>
          <w:b/>
          <w:color w:val="333333"/>
          <w:kern w:val="36"/>
          <w:sz w:val="24"/>
          <w:szCs w:val="24"/>
        </w:rPr>
        <w:t xml:space="preserve">附件2     </w:t>
      </w:r>
      <w:r>
        <w:rPr>
          <w:rFonts w:hint="eastAsia" w:ascii="微软雅黑" w:hAnsi="微软雅黑" w:eastAsia="微软雅黑" w:cs="宋体"/>
          <w:b/>
          <w:color w:val="333333"/>
          <w:kern w:val="36"/>
          <w:sz w:val="24"/>
          <w:szCs w:val="24"/>
          <w:lang w:val="en-US" w:eastAsia="zh-CN"/>
        </w:rPr>
        <w:t xml:space="preserve"> </w:t>
      </w:r>
      <w:r>
        <w:rPr>
          <w:rFonts w:hint="eastAsia" w:ascii="Microsoft YaHei UI" w:hAnsi="Microsoft YaHei UI" w:eastAsia="Microsoft YaHei UI" w:cs="Microsoft YaHei UI"/>
          <w:b/>
          <w:i w:val="0"/>
          <w:caps w:val="0"/>
          <w:color w:val="333333"/>
          <w:spacing w:val="8"/>
          <w:sz w:val="33"/>
          <w:szCs w:val="33"/>
          <w:shd w:val="clear" w:fill="FFFFFF"/>
          <w:lang w:bidi="ar"/>
        </w:rPr>
        <w:t>快报！2020年医保统计数据出炉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b w:val="0"/>
          <w:i w:val="0"/>
          <w:caps w:val="0"/>
          <w:color w:val="333333"/>
          <w:spacing w:val="8"/>
          <w:sz w:val="0"/>
          <w:szCs w:val="0"/>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邝晓卫</w:t>
      </w:r>
      <w:r>
        <w:rPr>
          <w:rFonts w:hint="eastAsia" w:ascii="Microsoft YaHei UI" w:hAnsi="Microsoft YaHei UI" w:eastAsia="Microsoft YaHei UI" w:cs="Microsoft YaHei UI"/>
          <w:b w:val="0"/>
          <w:i w:val="0"/>
          <w:caps w:val="0"/>
          <w:color w:val="333333"/>
          <w:spacing w:val="8"/>
          <w:kern w:val="0"/>
          <w:sz w:val="0"/>
          <w:szCs w:val="0"/>
          <w:shd w:val="clear" w:fill="FFFFFF"/>
          <w:lang w:val="en-US" w:eastAsia="zh-CN" w:bidi="ar"/>
        </w:rPr>
        <w:t> </w: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instrText xml:space="preserve"> HYPERLINK "https://mp.weixin.qq.com/javascript:void(0);" </w:instrTex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separate"/>
      </w:r>
      <w:r>
        <w:rPr>
          <w:rFonts w:hint="eastAsia" w:ascii="Microsoft YaHei UI" w:hAnsi="Microsoft YaHei UI" w:eastAsia="Microsoft YaHei UI" w:cs="Microsoft YaHei UI"/>
          <w:b w:val="0"/>
          <w:i w:val="0"/>
          <w:caps w:val="0"/>
          <w:color w:val="576B95"/>
          <w:spacing w:val="8"/>
          <w:sz w:val="22"/>
          <w:szCs w:val="22"/>
          <w:u w:val="none"/>
          <w:shd w:val="clear" w:fill="FFFFFF"/>
        </w:rPr>
        <w:t>第一药店财智</w: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b w:val="0"/>
          <w:i w:val="0"/>
          <w:caps w:val="0"/>
          <w:color w:val="333333"/>
          <w:spacing w:val="8"/>
          <w:kern w:val="0"/>
          <w:sz w:val="0"/>
          <w:szCs w:val="0"/>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2021-03-08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30"/>
          <w:kern w:val="0"/>
          <w:sz w:val="22"/>
          <w:szCs w:val="22"/>
          <w:shd w:val="clear" w:fill="FFFFFF"/>
          <w:lang w:val="en-US" w:eastAsia="zh-CN" w:bidi="ar"/>
        </w:rPr>
        <w:drawing>
          <wp:inline distT="0" distB="0" distL="114300" distR="114300">
            <wp:extent cx="304800" cy="3048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3月8日，国家医保局发布《2020年医疗保障事业发展统计快报》（下称《统计快报》），公布了我国2020年基本医疗保险、生育保险、医保扶贫、医保药品目录、药品采购、医保支付改革、跨省异地就医直接结算、医疗保障基金监管、疫情防控和减征缓缴等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pPr>
      <w:r>
        <w:rPr>
          <w:rFonts w:hint="eastAsia" w:ascii="Microsoft YaHei UI" w:hAnsi="Microsoft YaHei UI" w:eastAsia="Microsoft YaHei UI" w:cs="Microsoft YaHei UI"/>
          <w:b/>
          <w:bCs/>
          <w:i w:val="0"/>
          <w:caps w:val="0"/>
          <w:color w:val="333333"/>
          <w:spacing w:val="8"/>
          <w:kern w:val="0"/>
          <w:sz w:val="25"/>
          <w:szCs w:val="25"/>
          <w:shd w:val="clear" w:fill="FFFFFF"/>
          <w:lang w:val="en-US" w:eastAsia="zh-CN" w:bidi="ar"/>
        </w:rPr>
        <w:t>1、</w:t>
      </w:r>
      <w:r>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t>总参保人数达13.61亿，覆盖95%以上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统计快报》指出，截至2020年底，全口径基本医保参保人数达13.61亿人，参保覆盖面稳定在95%以上。其中参加职工基本医保人数3.44亿人，比上年同期增加1498万人，增幅4.6%；参加城乡居民基本医保人数10.17亿人，比上年减少806万人，降幅0.8%。</w:t>
      </w:r>
    </w:p>
    <w:p>
      <w:pPr>
        <w:keepNext w:val="0"/>
        <w:keepLines w:val="0"/>
        <w:widowControl/>
        <w:suppressLineNumbers w:val="0"/>
        <w:spacing w:before="0" w:beforeAutospacing="0" w:after="0" w:afterAutospacing="0"/>
        <w:ind w:left="0" w:right="0"/>
        <w:jc w:val="left"/>
        <w:rPr>
          <w:szCs w:val="24"/>
        </w:rPr>
      </w:pPr>
      <w:r>
        <w:rPr>
          <w:rFonts w:hint="eastAsia" w:ascii="Microsoft YaHei UI" w:hAnsi="Microsoft YaHei UI" w:eastAsia="Microsoft YaHei UI" w:cs="Microsoft YaHei UI"/>
          <w:b/>
          <w:bCs/>
          <w:i w:val="0"/>
          <w:caps w:val="0"/>
          <w:color w:val="333333"/>
          <w:spacing w:val="8"/>
          <w:kern w:val="0"/>
          <w:sz w:val="25"/>
          <w:szCs w:val="25"/>
          <w:shd w:val="clear" w:fill="FFFFFF"/>
          <w:lang w:val="en-US" w:eastAsia="zh-CN" w:bidi="ar"/>
        </w:rPr>
        <w:t>2、</w:t>
      </w:r>
      <w:r>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t>医保基金总收入</w:t>
      </w:r>
      <w:r>
        <w:rPr>
          <w:rFonts w:hint="eastAsia" w:ascii="Microsoft YaHei UI" w:hAnsi="Microsoft YaHei UI" w:eastAsia="Microsoft YaHei UI" w:cs="Microsoft YaHei UI"/>
          <w:b/>
          <w:bCs/>
          <w:i w:val="0"/>
          <w:caps w:val="0"/>
          <w:color w:val="333333"/>
          <w:spacing w:val="30"/>
          <w:kern w:val="0"/>
          <w:sz w:val="24"/>
          <w:szCs w:val="24"/>
          <w:shd w:val="clear" w:fill="FFFFFF"/>
          <w:lang w:val="en-US" w:eastAsia="zh-CN" w:bidi="ar"/>
        </w:rPr>
        <w:t>24638.61亿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根据《统计快报》，全年基本医保基金(含生育保险)总收入、总支出分别为24638.61亿元、20949.26亿元，年末累计结存31373.38亿元。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其中，全年职工基本医保基金(含生育保险)收入15624.61亿元，同比下降1.4%；支出12833.99亿元，同比增长1.3%。年末累计结存25323.51亿元，其中统筹基金累计结存15396.56亿元，个人账户累计结存9926.95亿元。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全年城乡居民基本医保基金收入9014.01亿元，同比增长5.1%；支出8115.27亿元，同比下降0.9%。年末累计结存6049.88亿元‍。</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pPr>
      <w:r>
        <w:rPr>
          <w:rFonts w:hint="eastAsia" w:ascii="Microsoft YaHei UI" w:hAnsi="Microsoft YaHei UI" w:eastAsia="Microsoft YaHei UI" w:cs="Microsoft YaHei UI"/>
          <w:b/>
          <w:bCs/>
          <w:i w:val="0"/>
          <w:caps w:val="0"/>
          <w:color w:val="333333"/>
          <w:spacing w:val="8"/>
          <w:kern w:val="0"/>
          <w:sz w:val="25"/>
          <w:szCs w:val="25"/>
          <w:shd w:val="clear" w:fill="FFFFFF"/>
          <w:lang w:val="en-US" w:eastAsia="zh-CN" w:bidi="ar"/>
        </w:rPr>
        <w:t>3、</w:t>
      </w:r>
      <w:r>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t>2800种药品纳入新医保目录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医保药品目录方面，《统计快报》显示，2020年国家医保目录调整后，共新增了119种药品，另有29种原目录内药品被调出。调整后的《国家基本医疗保险、工伤保险和生育保险药品目录(2020年)》内药品总数为2800种，其中西药1426种，中成药1374种。目录内中药饮片未作调整，仍为892种。</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pPr>
      <w:r>
        <w:rPr>
          <w:rFonts w:hint="eastAsia" w:ascii="Microsoft YaHei UI" w:hAnsi="Microsoft YaHei UI" w:eastAsia="Microsoft YaHei UI" w:cs="Microsoft YaHei UI"/>
          <w:b/>
          <w:bCs/>
          <w:i w:val="0"/>
          <w:caps w:val="0"/>
          <w:color w:val="333333"/>
          <w:spacing w:val="8"/>
          <w:kern w:val="0"/>
          <w:sz w:val="25"/>
          <w:szCs w:val="25"/>
          <w:shd w:val="clear" w:fill="FFFFFF"/>
          <w:lang w:val="en-US" w:eastAsia="zh-CN" w:bidi="ar"/>
        </w:rPr>
        <w:t>4、</w:t>
      </w:r>
      <w:r>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t>第二、三批国家集采平均降价53%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药品采购方面，《统计快报》表示，2020年，全国通过省级药品集采平台网采订单总金额初步统计为9312亿元，比2019年下降601亿元。其中，西药(化学药品及生物制品)7521亿元，中成药1791亿元，分别比2019年下降594亿元和7亿元。医保目录内药品在网采订单总金额中占比86.5%，金额为8052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2020年，国家组织开展第二批、第三批药品集采，共覆盖87个品种，中选产品平均降价53%；开展国家组织冠脉支架集采，中选价格从均价1.3万元左右下降至700元左右。同时，各省普遍以独立或联盟方式开展药品、医用耗材集采，涉及229种药品、19类医用耗材。</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pPr>
      <w:r>
        <w:rPr>
          <w:rFonts w:hint="eastAsia" w:ascii="Microsoft YaHei UI" w:hAnsi="Microsoft YaHei UI" w:eastAsia="Microsoft YaHei UI" w:cs="Microsoft YaHei UI"/>
          <w:b/>
          <w:bCs/>
          <w:i w:val="0"/>
          <w:caps w:val="0"/>
          <w:color w:val="333333"/>
          <w:spacing w:val="8"/>
          <w:kern w:val="0"/>
          <w:sz w:val="25"/>
          <w:szCs w:val="25"/>
          <w:shd w:val="clear" w:fill="FFFFFF"/>
          <w:lang w:val="en-US" w:eastAsia="zh-CN" w:bidi="ar"/>
        </w:rPr>
        <w:t>5、</w:t>
      </w:r>
      <w:r>
        <w:rPr>
          <w:rFonts w:hint="eastAsia" w:ascii="Microsoft YaHei UI" w:hAnsi="Microsoft YaHei UI" w:eastAsia="Microsoft YaHei UI" w:cs="Microsoft YaHei UI"/>
          <w:b/>
          <w:bCs/>
          <w:i w:val="0"/>
          <w:caps w:val="0"/>
          <w:color w:val="333333"/>
          <w:spacing w:val="8"/>
          <w:kern w:val="0"/>
          <w:sz w:val="24"/>
          <w:szCs w:val="24"/>
          <w:shd w:val="clear" w:fill="FFFFFF"/>
          <w:lang w:val="en-US" w:eastAsia="zh-CN" w:bidi="ar"/>
        </w:rPr>
        <w:t>1.18万家药店纳入异地直接结算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跨省异地就医直接结算方面，《统计快报》显示，截至2020年底，住院费用跨省直接结算定点医疗机构数量为4.44万家，比2019年底增加1.68万家，增长60.87%。国家平台累计直接结算724.83万人次，涉及医疗总费用1759亿元，医保基金支付1038.43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京津冀、长三角和西南5省(区、市)等12个先行试点省份开通联网定点医疗机构1.02万家，联网定点药店1.18万家，门诊费用跨省累计直接结算302万人次，涉及医疗总费用7.46亿元，医保基金支付4.29亿元。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val="0"/>
          <w:i w:val="0"/>
          <w:caps w:val="0"/>
          <w:color w:val="7B0C00"/>
          <w:spacing w:val="30"/>
          <w:kern w:val="0"/>
          <w:sz w:val="22"/>
          <w:szCs w:val="22"/>
          <w:shd w:val="clear" w:fill="FFFFFF"/>
          <w:lang w:val="en-US" w:eastAsia="zh-CN" w:bidi="ar"/>
        </w:rPr>
        <w:t>下附《2020年医疗保障事业发展统计快报》：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spacing w:before="0" w:beforeAutospacing="0" w:after="0" w:afterAutospacing="0"/>
        <w:ind w:left="0" w:right="0"/>
        <w:jc w:val="left"/>
        <w:rPr>
          <w:szCs w:val="24"/>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drawing>
          <wp:inline distT="0" distB="0" distL="114300" distR="114300">
            <wp:extent cx="2800350" cy="76200"/>
            <wp:effectExtent l="0" t="0" r="0" b="0"/>
            <wp:docPr id="2" name="图片 3" descr="动态变色小方格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动态变色小方格分割线"/>
                    <pic:cNvPicPr>
                      <a:picLocks noChangeAspect="1"/>
                    </pic:cNvPicPr>
                  </pic:nvPicPr>
                  <pic:blipFill>
                    <a:blip r:embed="rId8"/>
                    <a:stretch>
                      <a:fillRect/>
                    </a:stretch>
                  </pic:blipFill>
                  <pic:spPr>
                    <a:xfrm>
                      <a:off x="0" y="0"/>
                      <a:ext cx="2800350" cy="76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2020年医疗保障事业发展统计快报</w:t>
      </w:r>
    </w:p>
    <w:p>
      <w:pPr>
        <w:keepNext w:val="0"/>
        <w:keepLines w:val="0"/>
        <w:widowControl/>
        <w:suppressLineNumbers w:val="0"/>
        <w:spacing w:before="0" w:beforeAutospacing="0" w:after="0" w:afterAutospacing="0"/>
        <w:ind w:left="0" w:right="0"/>
        <w:jc w:val="left"/>
        <w:rPr>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2020年，全国医疗保障系统坚持以习近平新时代中国特色社会主义思想为指导，全面贯彻落实党的十九大和十九届二中、三中、四中、五中全会精神，按照党中央、国务院决策部署，坚持以人民为中心，奋发进取，攻坚克难，统筹疫情防控和医保高质量发展,扎实做好“六稳”工作，全面落实“六保”任务，医疗保障制度运行平稳，基金安全可持续，医疗保障改革发展取得显著成效</w:t>
      </w:r>
      <w:r>
        <w:rPr>
          <w:rFonts w:hint="eastAsia" w:ascii="Microsoft YaHei UI" w:hAnsi="Microsoft YaHei UI" w:eastAsia="Microsoft YaHei UI" w:cs="Microsoft YaHei UI"/>
          <w:b w:val="0"/>
          <w:i w:val="0"/>
          <w:caps w:val="0"/>
          <w:color w:val="333333"/>
          <w:spacing w:val="30"/>
          <w:kern w:val="0"/>
          <w:sz w:val="22"/>
          <w:szCs w:val="22"/>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一、基本医疗保险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(一)参保人员情况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截至2020年底，全口径基本医疗保险参保人数达136100万人[1]，参保覆盖面稳定在95%以上。其中参加职工基本医疗保险人数34423万人，比上年同期增加1498万人，增幅4.6%;在参加职工基本医疗保险人数中，在职职工25398万人，退休职工9025万人，分别比上年末增加1174万人和324万人。参加城乡居民基本医疗保险人数101677万人，比上年减少806万人，降幅0.8%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(二)基金收支情况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全年基本医疗保险基金(含生育保险)总收入、总支出分别为24638.61亿元、20949.26亿元，年末基本医疗保险(含生育保险)累计结存31373.38亿元[2]。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全年职工基本医疗保险基金(含生育保险)收入15624.61亿元，同比下降1.4%[3];其中，征缴收入(含生育保险)14796.47亿元。基金(含生育保险)支出12833.99亿元，同比增长1.3%。职工基本医疗保险基金(含生育保险)年末累计结存25323.51亿元，其中统筹基金累计结存15396.56亿元，个人账户累计结存9926.95亿元[4]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全年城乡居民基本医疗保险基金收入9014.01亿元，同比增长5.1%;支出8115.27亿元,同比下降0.9%。年末累计结存6049.88亿元。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二、生育保险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全年生育保险参保人数23546万人，比上年底增加2129万人，增幅9.9%。生育保险待遇支出902.75亿元，同比增长1.8%。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三、医保扶贫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为决战决胜医疗保障脱贫攻坚战，2020年累计资助7837.2万贫困人口(含动态调出)参加基本医疗保险，资助参保缴费支出140.2亿元，人均资助178.9元，参保率稳定在99.9%以上。各项医保扶贫政策累计惠及贫困人口就医1.8亿人次，减轻贫困人口医疗费用负担1188.3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2020年中央财政投入医疗救助补助资金260亿元，比去年增长6%，另外安排40亿元补助资金专门用于提高“三区三州”等深度贫困地区农村贫困人口医疗保障水平，安排15亿元特殊转移支付医疗救助补助资金。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四、医保药品目录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2020年国家医保药品目录调整后，共新增119种药品进入目录，另有29种原目录内药品被调出目录。调整后的《国家基本医疗保险、工伤保险和生育保险药品目录(2020年)》内药品总数为2800种，其中西药1426种，中成药1374种。目录内中药饮片未作调整，仍为892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五、药品采购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2020年，全国通过省级药品集中采购平台网采订单总金额初步统计为9312亿元，比2019年下降601亿元。其中，西药(化学药品及生物制品)7521亿元，中成药1791亿元，分别比2019年下降594亿元和7亿元。医保目录内药品在网采订单总金额中占比86.5%，金额为8052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2020年，国家组织开展第二批、第三批药品集中带量采购，共覆盖87个品种，中选产品平均降价53%;开展国家组织冠脉支架集中带量采购，中选价格从均价1.3万元左右下降至700元左右。同时，各省普遍以独立或联盟方式开展药品、医用耗材集中带量采购，涉及229种药品、19类医用耗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六、医保支付改革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持续推进支付方式改革，在30个城市开展DRG[5]付费国家试点工作,30个试点城市全部通过模拟运行前的评估考核，进入模拟运行阶段;中期确定了71个城市开展区域点数法总额预算和DIP[6]付费试点工作。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七、跨省异地就医直接结算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截至2020年底，住院费用跨省直接结算定点医疗机构数量为4.44万家，比2019年底增加1.68万家，增长60.87%。国家平台累计直接结算724.83万人次，涉及医疗总费用1759亿元，医保基金支付1038.43亿元。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门诊费用直接结算试点工作稳妥推进，京津冀、长三角和西南5省(区、市)等12个先行试点省份开通联网定点医疗机构1.02万家，联网定点药店1.18万家，门诊费用跨省累计直接结算302万人次，涉及医疗总费用7.46亿元，医保基金支付4.29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八、医疗保障基金监管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会同有关部门联合开展打击欺诈骗取医疗保障基金专项行动，各地共检查定点医药机构62.74万家，查处违法违规违约机构40.07万家，其中解除医保协议6008家、行政罚款5457家、移交司法机关286家。各地共查处参保人员2.61万人，暂停医保卡结算3162人，移交司法机关2062人。2020年专项治理实施期间，共追回医保资金223.11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九、疫情防控和减征缓缴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为减轻企业负担，支持复工复产，阶段性减半征收职工医保单位缴费，2-7月份为975万家参保单位累计减征1649亿元，其中为企业减征超1500亿元。为全力做好疫情防控工作，各地医保部门向新冠肺炎患者定点收治机构预拨专项资金194亿元，全年累计结算新冠肺炎患者医疗费用28.4亿元，其中，医保基金支付16.3亿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注释：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[1] 相关数据均为2020年1-12月各省市上报统计快报汇总数据。部分数据因四舍五入，总计与分项合计略有差异。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 基金累计结存为快报时点数，受政策等因素影响，2020年期初结余有微调，下同。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[3] 受阶段性减半征收职工医保单位缴费影响，职工医保收入同比下降。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[4] 个人账户累计结存为职工基本医疗保险制度建立以来，截至2020年末个人账户结存的累计金额。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[5] 按疾病诊断相关分组付费。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[6] 按病种组合分值付费。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2020年全国医疗保障快报主要指标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center"/>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i w:val="0"/>
          <w:caps w:val="0"/>
          <w:color w:val="333333"/>
          <w:spacing w:val="30"/>
          <w:kern w:val="0"/>
          <w:sz w:val="22"/>
          <w:szCs w:val="22"/>
          <w:shd w:val="clear" w:fill="FFFFFF"/>
          <w:lang w:val="en-US" w:eastAsia="zh-CN" w:bidi="ar"/>
        </w:rPr>
        <w:t>(2020年1-12月)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spacing w:before="0" w:beforeAutospacing="0" w:after="0" w:afterAutospacing="0"/>
        <w:ind w:left="0" w:right="0"/>
        <w:jc w:val="left"/>
        <w:rPr>
          <w:szCs w:val="24"/>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drawing>
          <wp:inline distT="0" distB="0" distL="114300" distR="114300">
            <wp:extent cx="304800" cy="304800"/>
            <wp:effectExtent l="0" t="0" r="0" b="0"/>
            <wp:docPr id="6"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both"/>
        <w:rPr>
          <w:rFonts w:ascii="Calibri" w:hAnsi="Calibri" w:eastAsia="宋体" w:cs="Times New Roman"/>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注：根据《国务院办公厅关于全面推进生育保险和职工基本医疗保险合并实施的意见》(国办发〔2019〕10号)，不再单列生育保险基金收入，在职工基本医疗保险统筹基金待遇支出中设置生育待遇支出项目。本表职工基本医疗保险基金收支含生育保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3</w:t>
      </w:r>
      <w:r>
        <w:rPr>
          <w:rFonts w:hint="eastAsia" w:ascii="宋体" w:hAnsi="宋体" w:eastAsia="宋体" w:cs="宋体"/>
          <w:b/>
          <w:kern w:val="0"/>
          <w:sz w:val="33"/>
          <w:szCs w:val="33"/>
          <w:lang w:val="en-US" w:eastAsia="zh-CN" w:bidi="ar"/>
        </w:rPr>
        <w:t xml:space="preserve"> 40个大品种，带量采购开始(附名单)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rFonts w:ascii="宋体" w:hAnsi="宋体" w:eastAsia="宋体" w:cs="宋体"/>
          <w:kern w:val="0"/>
          <w:sz w:val="22"/>
          <w:szCs w:val="2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color w:val="333333"/>
          <w:sz w:val="25"/>
          <w:szCs w:val="25"/>
        </w:rPr>
      </w:pPr>
      <w:r>
        <w:rPr>
          <w:rFonts w:ascii="宋体" w:hAnsi="宋体" w:eastAsia="宋体" w:cs="宋体"/>
          <w:kern w:val="0"/>
          <w:sz w:val="22"/>
          <w:szCs w:val="22"/>
          <w:lang w:val="en-US" w:eastAsia="zh-CN" w:bidi="ar"/>
        </w:rPr>
        <w:t>点击关注→</w:t>
      </w:r>
      <w:r>
        <w:rPr>
          <w:rFonts w:ascii="宋体" w:hAnsi="宋体" w:eastAsia="宋体" w:cs="宋体"/>
          <w:kern w:val="0"/>
          <w:sz w:val="0"/>
          <w:szCs w:val="0"/>
          <w:lang w:val="en-US" w:eastAsia="zh-CN" w:bidi="ar"/>
        </w:rPr>
        <w:t> </w:t>
      </w: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"https://mp.weixin.qq.com/javascript:void(0);" </w:instrText>
      </w:r>
      <w:r>
        <w:rPr>
          <w:rFonts w:ascii="宋体" w:hAnsi="宋体" w:eastAsia="宋体" w:cs="宋体"/>
          <w:color w:val="576B95"/>
          <w:kern w:val="0"/>
          <w:sz w:val="22"/>
          <w:szCs w:val="22"/>
          <w:u w:val="none"/>
          <w:lang w:val="en-US" w:eastAsia="zh-CN" w:bidi="ar"/>
        </w:rPr>
        <w:fldChar w:fldCharType="separate"/>
      </w:r>
      <w:r>
        <w:rPr>
          <w:rFonts w:ascii="宋体" w:hAnsi="宋体" w:eastAsia="宋体" w:cs="宋体"/>
          <w:color w:val="576B95"/>
          <w:sz w:val="22"/>
          <w:szCs w:val="22"/>
          <w:u w:val="none"/>
        </w:rPr>
        <w:t>赛柏蓝</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Fonts w:ascii="宋体" w:hAnsi="宋体" w:eastAsia="宋体" w:cs="宋体"/>
          <w:i w:val="0"/>
          <w:kern w:val="0"/>
          <w:sz w:val="22"/>
          <w:szCs w:val="22"/>
          <w:lang w:val="en-US" w:eastAsia="zh-CN" w:bidi="ar"/>
        </w:rPr>
        <w:t>2021-03-18</w:t>
      </w:r>
      <w:r>
        <w:rPr>
          <w:rFonts w:ascii="宋体" w:hAnsi="宋体" w:eastAsia="宋体" w:cs="宋体"/>
          <w:color w:val="333333"/>
          <w:kern w:val="0"/>
          <w:sz w:val="25"/>
          <w:szCs w:val="25"/>
          <w:lang w:val="en-US" w:eastAsia="zh-CN" w:bidi="ar"/>
        </w:rPr>
        <w:br w:type="textWrapping"/>
      </w:r>
      <w:r>
        <w:rPr>
          <w:rFonts w:ascii="宋体" w:hAnsi="宋体" w:eastAsia="宋体" w:cs="宋体"/>
          <w:b/>
          <w:color w:val="0080FF"/>
          <w:spacing w:val="8"/>
          <w:kern w:val="0"/>
          <w:sz w:val="24"/>
          <w:szCs w:val="24"/>
          <w:lang w:val="en-US" w:eastAsia="zh-CN" w:bidi="ar"/>
        </w:rPr>
        <w:t>▍</w:t>
      </w:r>
      <w:r>
        <w:rPr>
          <w:rFonts w:ascii="宋体" w:hAnsi="宋体" w:eastAsia="宋体" w:cs="宋体"/>
          <w:color w:val="000000"/>
          <w:spacing w:val="8"/>
          <w:kern w:val="0"/>
          <w:sz w:val="21"/>
          <w:szCs w:val="21"/>
          <w:lang w:val="en-US" w:eastAsia="zh-CN" w:bidi="ar"/>
        </w:rPr>
        <w:t>来源/赛柏蓝</w:t>
      </w:r>
      <w:r>
        <w:rPr>
          <w:rFonts w:ascii="宋体" w:hAnsi="宋体" w:eastAsia="宋体" w:cs="宋体"/>
          <w:color w:val="333333"/>
          <w:kern w:val="0"/>
          <w:sz w:val="25"/>
          <w:szCs w:val="25"/>
          <w:lang w:val="en-US" w:eastAsia="zh-CN" w:bidi="ar"/>
        </w:rPr>
        <w:br w:type="textWrapping"/>
      </w:r>
      <w:r>
        <w:rPr>
          <w:rFonts w:ascii="宋体" w:hAnsi="宋体" w:eastAsia="宋体" w:cs="宋体"/>
          <w:i/>
          <w:color w:val="333333"/>
          <w:kern w:val="0"/>
          <w:sz w:val="21"/>
          <w:szCs w:val="21"/>
          <w:lang w:val="en-US" w:eastAsia="zh-CN" w:bidi="ar"/>
        </w:rPr>
        <w:br w:type="textWrapping"/>
      </w:r>
      <w:r>
        <w:rPr>
          <w:rFonts w:ascii="宋体" w:hAnsi="宋体" w:eastAsia="宋体" w:cs="宋体"/>
          <w:color w:val="333333"/>
          <w:kern w:val="0"/>
          <w:sz w:val="22"/>
          <w:szCs w:val="22"/>
          <w:lang w:val="en-US" w:eastAsia="zh-CN" w:bidi="ar"/>
        </w:rPr>
        <w:t> </w:t>
      </w:r>
      <w:r>
        <w:rPr>
          <w:rFonts w:ascii="宋体" w:hAnsi="宋体" w:eastAsia="宋体" w:cs="宋体"/>
          <w:color w:val="0000FF"/>
          <w:spacing w:val="8"/>
          <w:kern w:val="0"/>
          <w:sz w:val="43"/>
          <w:szCs w:val="43"/>
          <w:lang w:val="en-US" w:eastAsia="zh-CN" w:bidi="ar"/>
        </w:rPr>
        <w:t> </w:t>
      </w:r>
      <w:r>
        <w:rPr>
          <w:rFonts w:hint="eastAsia" w:ascii="宋体" w:hAnsi="宋体" w:eastAsia="宋体" w:cs="宋体"/>
          <w:color w:val="0000FF"/>
          <w:spacing w:val="8"/>
          <w:kern w:val="0"/>
          <w:sz w:val="43"/>
          <w:szCs w:val="43"/>
          <w:lang w:val="en-US" w:eastAsia="zh-CN" w:bidi="ar"/>
        </w:rPr>
        <w:t xml:space="preserve">            </w:t>
      </w:r>
      <w:r>
        <w:rPr>
          <w:rFonts w:ascii="宋体" w:hAnsi="宋体" w:eastAsia="宋体" w:cs="宋体"/>
          <w:color w:val="0000FF"/>
          <w:spacing w:val="8"/>
          <w:kern w:val="0"/>
          <w:sz w:val="43"/>
          <w:szCs w:val="43"/>
          <w:lang w:val="en-US" w:eastAsia="zh-CN" w:bidi="ar"/>
        </w:rPr>
        <w:t>1</w:t>
      </w:r>
      <w:r>
        <w:rPr>
          <w:rFonts w:ascii="宋体" w:hAnsi="宋体" w:eastAsia="宋体" w:cs="宋体"/>
          <w:color w:val="333333"/>
          <w:spacing w:val="8"/>
          <w:kern w:val="0"/>
          <w:sz w:val="43"/>
          <w:szCs w:val="43"/>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i w:val="0"/>
          <w:caps w:val="0"/>
          <w:color w:val="000000"/>
          <w:spacing w:val="8"/>
          <w:kern w:val="0"/>
          <w:sz w:val="22"/>
          <w:szCs w:val="22"/>
          <w:shd w:val="clear" w:fill="FFFFFF"/>
          <w:lang w:val="en-US" w:eastAsia="zh-CN" w:bidi="ar"/>
        </w:rPr>
        <w:t>福建新一轮集采，瞄准40个大品种</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ascii="宋体" w:hAnsi="宋体" w:eastAsia="宋体" w:cs="宋体"/>
          <w:color w:val="333333"/>
          <w:kern w:val="0"/>
          <w:sz w:val="22"/>
          <w:szCs w:val="22"/>
          <w:lang w:val="en-US" w:eastAsia="zh-CN" w:bidi="ar"/>
        </w:rPr>
        <w:t> </w:t>
      </w:r>
      <w:r>
        <w:rPr>
          <w:rFonts w:hint="eastAsia" w:ascii="宋体" w:hAnsi="宋体" w:cs="宋体"/>
          <w:color w:val="333333"/>
          <w:kern w:val="0"/>
          <w:sz w:val="22"/>
          <w:szCs w:val="22"/>
          <w:lang w:val="en-US" w:eastAsia="zh-CN" w:bidi="ar"/>
        </w:rPr>
        <w:t xml:space="preserve">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3月17日晚，全国明星医改省份福建医保局发布关于《福建省药品集中带量采购文件（征求意见稿）》的通知，并进一步征求意见，截止日期到2021年3月24日17:00前。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5268595" cy="2439670"/>
            <wp:effectExtent l="0" t="0" r="8255" b="17780"/>
            <wp:docPr id="30" name="图片 30" descr="53e1d4cc8b8d6dce6ef9ad884164f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3e1d4cc8b8d6dce6ef9ad884164f534"/>
                    <pic:cNvPicPr>
                      <a:picLocks noChangeAspect="1"/>
                    </pic:cNvPicPr>
                  </pic:nvPicPr>
                  <pic:blipFill>
                    <a:blip r:embed="rId9"/>
                    <a:stretch>
                      <a:fillRect/>
                    </a:stretch>
                  </pic:blipFill>
                  <pic:spPr>
                    <a:xfrm>
                      <a:off x="0" y="0"/>
                      <a:ext cx="5268595" cy="2439670"/>
                    </a:xfrm>
                    <a:prstGeom prst="rect">
                      <a:avLst/>
                    </a:prstGeom>
                  </pic:spPr>
                </pic:pic>
              </a:graphicData>
            </a:graphic>
          </wp:inline>
        </w:drawing>
      </w: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304800" cy="304800"/>
            <wp:effectExtent l="0" t="0" r="0" b="0"/>
            <wp:docPr id="3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8"/>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ascii="宋体" w:hAnsi="宋体" w:eastAsia="宋体" w:cs="宋体"/>
          <w:color w:val="333333"/>
          <w:kern w:val="0"/>
          <w:sz w:val="25"/>
          <w:szCs w:val="25"/>
          <w:lang w:val="en-US" w:eastAsia="zh-CN" w:bidi="ar"/>
        </w:rPr>
        <w:br w:type="textWrapping"/>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根据《福建省药品集中带量采购文件(征求意见稿)》，福建在用量较大、采购金额较高、竞争充分、临床使用成熟的药品中，通过专家遴选形式确定了40个采购品种（约定采购量待定）。</w:t>
      </w:r>
      <w:r>
        <w:rPr>
          <w:rFonts w:hint="eastAsia" w:ascii="Microsoft YaHei UI" w:hAnsi="Microsoft YaHei UI" w:eastAsia="Microsoft YaHei UI" w:cs="Microsoft YaHei UI"/>
          <w:b w:val="0"/>
          <w:i w:val="0"/>
          <w:caps w:val="0"/>
          <w:color w:val="333333"/>
          <w:spacing w:val="30"/>
          <w:kern w:val="0"/>
          <w:sz w:val="22"/>
          <w:szCs w:val="22"/>
          <w:shd w:val="clear" w:fill="FFFFFF"/>
          <w:lang w:val="en-US" w:eastAsia="zh-CN" w:bidi="ar"/>
        </w:rPr>
        <w:br w:type="textWrapping"/>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涉及</w:t>
      </w:r>
      <w:r>
        <w:rPr>
          <w:rFonts w:hint="eastAsia" w:ascii="Microsoft YaHei UI" w:hAnsi="Microsoft YaHei UI" w:eastAsia="Microsoft YaHei UI" w:cs="Microsoft YaHei UI"/>
          <w:color w:val="3DA742"/>
          <w:spacing w:val="8"/>
          <w:kern w:val="0"/>
          <w:sz w:val="22"/>
          <w:szCs w:val="22"/>
          <w:lang w:val="en-US" w:eastAsia="zh-CN" w:bidi="ar"/>
        </w:rPr>
        <w:t>伊立替康、罂粟碱、复方甘草酸苷、普伐他汀、替加环素、丙泊酚、氟尿嘧啶、比阿培南、美洛西林舒巴坦（4：1）、门冬氨酸钾、胸腺法新、兰索拉唑、米格列奈、左卡尼汀、左氨氯地平、黄体酮、非洛地平</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等。 采购文件规定</w:t>
      </w:r>
      <w:r>
        <w:rPr>
          <w:rFonts w:hint="eastAsia" w:ascii="Microsoft YaHei UI" w:hAnsi="Microsoft YaHei UI" w:eastAsia="Microsoft YaHei UI" w:cs="Microsoft YaHei UI"/>
          <w:b w:val="0"/>
          <w:i w:val="0"/>
          <w:caps w:val="0"/>
          <w:color w:val="333333"/>
          <w:spacing w:val="30"/>
          <w:kern w:val="0"/>
          <w:sz w:val="22"/>
          <w:szCs w:val="22"/>
          <w:shd w:val="clear" w:fill="FFFFFF"/>
          <w:lang w:val="en-US" w:eastAsia="zh-CN" w:bidi="ar"/>
        </w:rPr>
        <w:t>，</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福建本次带量采购采取分组的方式，将同通用名品种根据相关资质分为A、B两组</w:t>
      </w:r>
      <w:r>
        <w:rPr>
          <w:rFonts w:hint="eastAsia" w:ascii="Microsoft YaHei UI" w:hAnsi="Microsoft YaHei UI" w:eastAsia="Microsoft YaHei UI" w:cs="Microsoft YaHei UI"/>
          <w:b w:val="0"/>
          <w:i w:val="0"/>
          <w:caps w:val="0"/>
          <w:color w:val="333333"/>
          <w:spacing w:val="30"/>
          <w:kern w:val="0"/>
          <w:sz w:val="22"/>
          <w:szCs w:val="22"/>
          <w:shd w:val="clear" w:fill="FFFFFF"/>
          <w:lang w:val="en-US" w:eastAsia="zh-CN" w:bidi="ar"/>
        </w:rPr>
        <w:t>——</w:t>
      </w:r>
      <w:r>
        <w:rPr>
          <w:rFonts w:ascii="宋体" w:hAnsi="宋体" w:eastAsia="宋体" w:cs="宋体"/>
          <w:color w:val="3DA742"/>
          <w:kern w:val="0"/>
          <w:sz w:val="22"/>
          <w:szCs w:val="22"/>
          <w:lang w:val="en-US" w:eastAsia="zh-CN" w:bidi="ar"/>
        </w:rPr>
        <w:t>A组为原研药、参比制剂</w:t>
      </w:r>
      <w:r>
        <w:rPr>
          <w:rFonts w:ascii="宋体" w:hAnsi="宋体" w:eastAsia="宋体" w:cs="宋体"/>
          <w:color w:val="333333"/>
          <w:kern w:val="0"/>
          <w:sz w:val="22"/>
          <w:szCs w:val="22"/>
          <w:lang w:val="en-US" w:eastAsia="zh-CN" w:bidi="ar"/>
        </w:rPr>
        <w:t>、</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通过(含视同通过)仿制药质量和疗效一致性评价的药品、新注册分类批准的仿制药品、纳入《中国上市药品目录集》的药品以及通过FDA认证的药品，除此之外的药品归为B组。 各品种A、B组约定采购量按全省公立医疗机构(含在闽部队、武警医疗机构、部队药材供应站，下同)报送的预采购量的70%分组确定。 需要注意的是，根据文件的要求，参与B组报名的产品，也需要满足下面两个条件之一，才有资格参与集采——</w:t>
      </w:r>
      <w:r>
        <w:rPr>
          <w:rFonts w:ascii="宋体" w:hAnsi="宋体" w:eastAsia="宋体" w:cs="宋体"/>
          <w:color w:val="3DA742"/>
          <w:kern w:val="0"/>
          <w:sz w:val="22"/>
          <w:szCs w:val="22"/>
          <w:lang w:val="en-US" w:eastAsia="zh-CN" w:bidi="ar"/>
        </w:rPr>
        <w:t>2019年《中国医药统计年报(综合册)》中按医药工业主营业务收入排序前500的企业；申报品种2020年在福建省药品采购平台采购数量排名前3名的企业。</w:t>
      </w:r>
      <w:r>
        <w:rPr>
          <w:rFonts w:ascii="宋体" w:hAnsi="宋体" w:eastAsia="宋体" w:cs="宋体"/>
          <w:color w:val="333333"/>
          <w:kern w:val="0"/>
          <w:sz w:val="22"/>
          <w:szCs w:val="22"/>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根据集采文件的附件1，满足第二个条件的药企有：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6020435" cy="5506720"/>
            <wp:effectExtent l="0" t="0" r="18415" b="17780"/>
            <wp:docPr id="3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9"/>
                    <pic:cNvPicPr>
                      <a:picLocks noChangeAspect="1"/>
                    </pic:cNvPicPr>
                  </pic:nvPicPr>
                  <pic:blipFill>
                    <a:blip r:embed="rId10"/>
                    <a:stretch>
                      <a:fillRect/>
                    </a:stretch>
                  </pic:blipFill>
                  <pic:spPr>
                    <a:xfrm>
                      <a:off x="0" y="0"/>
                      <a:ext cx="6020435" cy="55067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6084570" cy="8248650"/>
            <wp:effectExtent l="0" t="0" r="11430" b="0"/>
            <wp:docPr id="33" name="图片 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0"/>
                    <pic:cNvPicPr>
                      <a:picLocks noChangeAspect="1"/>
                    </pic:cNvPicPr>
                  </pic:nvPicPr>
                  <pic:blipFill>
                    <a:blip r:embed="rId11"/>
                    <a:stretch>
                      <a:fillRect/>
                    </a:stretch>
                  </pic:blipFill>
                  <pic:spPr>
                    <a:xfrm>
                      <a:off x="0" y="0"/>
                      <a:ext cx="6084570" cy="8248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5353685" cy="3352165"/>
            <wp:effectExtent l="0" t="0" r="18415" b="635"/>
            <wp:docPr id="34" name="图片 3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1"/>
                    <pic:cNvPicPr>
                      <a:picLocks noChangeAspect="1"/>
                    </pic:cNvPicPr>
                  </pic:nvPicPr>
                  <pic:blipFill>
                    <a:blip r:embed="rId12"/>
                    <a:stretch>
                      <a:fillRect/>
                    </a:stretch>
                  </pic:blipFill>
                  <pic:spPr>
                    <a:xfrm>
                      <a:off x="0" y="0"/>
                      <a:ext cx="5353685" cy="335216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ascii="宋体" w:hAnsi="宋体" w:eastAsia="宋体" w:cs="宋体"/>
          <w:color w:val="333333"/>
          <w:kern w:val="0"/>
          <w:sz w:val="25"/>
          <w:szCs w:val="25"/>
          <w:lang w:val="en-US" w:eastAsia="zh-CN" w:bidi="ar"/>
        </w:rPr>
        <w:br w:type="textWrapping"/>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同时，根据文件的规定，如果相关药企符合申报条件，那么就必须参与本轮带量采购——否则，福建省药械联合采购中心将对相关企业涉及产品暂停挂网，采购周期内不得在福建省挂网销售。 此外，中选药品在履行合同中如有全国其他省、地市级(含联盟)集中带量采购中选价格低于本次中选价格的，价格相应联动。也就是说，最终的中选价格，根据全国范围内的集采情况，仍然有进一步降低的可能。 值得注意的是，不久之前的3月10日，河北医保局等多部门发布《推动药品集中带量采购工作常态化制度化开展实施方案》也提到，</w:t>
      </w:r>
      <w:r>
        <w:rPr>
          <w:rFonts w:ascii="宋体" w:hAnsi="宋体" w:eastAsia="宋体" w:cs="宋体"/>
          <w:color w:val="3DA742"/>
          <w:kern w:val="0"/>
          <w:sz w:val="22"/>
          <w:szCs w:val="22"/>
          <w:lang w:val="en-US" w:eastAsia="zh-CN" w:bidi="ar"/>
        </w:rPr>
        <w:t>对其他省已实施集中带量采购的药品，探索实施带量联动，以河北省的量联动其他省集中采购中选价格。</w:t>
      </w:r>
      <w:r>
        <w:rPr>
          <w:rFonts w:ascii="宋体" w:hAnsi="宋体" w:eastAsia="宋体" w:cs="宋体"/>
          <w:color w:val="333333"/>
          <w:kern w:val="0"/>
          <w:sz w:val="22"/>
          <w:szCs w:val="22"/>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省级集采之间的价格联动，或许会成为后续地方集采的一个新趋势。  </w:t>
      </w:r>
    </w:p>
    <w:p>
      <w:pPr>
        <w:keepNext w:val="0"/>
        <w:keepLines w:val="0"/>
        <w:widowControl/>
        <w:suppressLineNumbers w:val="0"/>
        <w:spacing w:before="0" w:beforeAutospacing="0" w:after="0" w:afterAutospacing="0"/>
        <w:ind w:left="0" w:right="0" w:firstLine="4014" w:firstLineChars="900"/>
        <w:jc w:val="left"/>
        <w:rPr>
          <w:color w:val="0000FF"/>
          <w:szCs w:val="24"/>
        </w:rPr>
      </w:pPr>
      <w:r>
        <w:rPr>
          <w:rFonts w:ascii="宋体" w:hAnsi="宋体" w:eastAsia="宋体" w:cs="宋体"/>
          <w:color w:val="0000FF"/>
          <w:spacing w:val="8"/>
          <w:kern w:val="0"/>
          <w:sz w:val="43"/>
          <w:szCs w:val="43"/>
          <w:lang w:val="en-US" w:eastAsia="zh-CN" w:bidi="ar"/>
        </w:rPr>
        <w:t>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i w:val="0"/>
          <w:caps w:val="0"/>
          <w:color w:val="000000"/>
          <w:spacing w:val="8"/>
          <w:kern w:val="0"/>
          <w:sz w:val="22"/>
          <w:szCs w:val="22"/>
          <w:shd w:val="clear" w:fill="FFFFFF"/>
          <w:lang w:val="en-US" w:eastAsia="zh-CN" w:bidi="ar"/>
        </w:rPr>
        <w:t>降幅仍然是中选的第一要义</w:t>
      </w:r>
    </w:p>
    <w:p>
      <w:pPr>
        <w:keepNext w:val="0"/>
        <w:keepLines w:val="0"/>
        <w:widowControl/>
        <w:suppressLineNumbers w:val="0"/>
        <w:spacing w:before="0" w:beforeAutospacing="0" w:after="0" w:afterAutospacing="0"/>
        <w:ind w:left="225" w:right="0" w:hanging="220" w:hangingChars="100"/>
        <w:jc w:val="left"/>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ascii="宋体" w:hAnsi="宋体" w:eastAsia="宋体" w:cs="宋体"/>
          <w:color w:val="333333"/>
          <w:kern w:val="0"/>
          <w:sz w:val="22"/>
          <w:szCs w:val="22"/>
          <w:lang w:val="en-US" w:eastAsia="zh-CN" w:bidi="ar"/>
        </w:rPr>
        <w:br w:type="textWrapping"/>
      </w:r>
      <w:r>
        <w:rPr>
          <w:rFonts w:hint="eastAsia" w:ascii="宋体" w:hAnsi="宋体" w:eastAsia="宋体" w:cs="宋体"/>
          <w:color w:val="333333"/>
          <w:kern w:val="0"/>
          <w:sz w:val="22"/>
          <w:szCs w:val="22"/>
          <w:lang w:val="en-US" w:eastAsia="zh-CN" w:bidi="ar"/>
        </w:rPr>
        <w:t xml:space="preserve">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福建省目前的集采文件规定，本轮集采区分A、B组分组竞价，一次报价。</w:t>
      </w:r>
      <w:r>
        <w:rPr>
          <w:rFonts w:ascii="宋体" w:hAnsi="宋体" w:eastAsia="宋体" w:cs="宋体"/>
          <w:color w:val="333333"/>
          <w:kern w:val="0"/>
          <w:sz w:val="22"/>
          <w:szCs w:val="22"/>
          <w:lang w:val="en-US" w:eastAsia="zh-CN" w:bidi="ar"/>
        </w:rPr>
        <w:t> </w:t>
      </w:r>
      <w:r>
        <w:rPr>
          <w:rFonts w:ascii="宋体" w:hAnsi="宋体" w:eastAsia="宋体" w:cs="宋体"/>
          <w:b/>
          <w:color w:val="3DA742"/>
          <w:kern w:val="0"/>
          <w:sz w:val="22"/>
          <w:szCs w:val="22"/>
          <w:lang w:val="en-US" w:eastAsia="zh-CN" w:bidi="ar"/>
        </w:rPr>
        <w:t>通过资质审核并报价的企业数≥3家的组别：</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组内报价最低的拟中选，给予本组100%约定采购量；</w:t>
      </w:r>
      <w:r>
        <w:rPr>
          <w:rFonts w:ascii="宋体" w:hAnsi="宋体" w:eastAsia="宋体" w:cs="宋体"/>
          <w:color w:val="333333"/>
          <w:kern w:val="0"/>
          <w:sz w:val="22"/>
          <w:szCs w:val="22"/>
          <w:lang w:val="en-US" w:eastAsia="zh-CN" w:bidi="ar"/>
        </w:rPr>
        <w:t> </w:t>
      </w:r>
      <w:r>
        <w:rPr>
          <w:rFonts w:ascii="宋体" w:hAnsi="宋体" w:eastAsia="宋体" w:cs="宋体"/>
          <w:b/>
          <w:color w:val="3DA742"/>
          <w:kern w:val="0"/>
          <w:sz w:val="22"/>
          <w:szCs w:val="22"/>
          <w:lang w:val="en-US" w:eastAsia="zh-CN" w:bidi="ar"/>
        </w:rPr>
        <w:t>通过资质审核并报价的企业数≤2家的组别：</w:t>
      </w:r>
      <w:r>
        <w:rPr>
          <w:rFonts w:ascii="宋体" w:hAnsi="宋体" w:eastAsia="宋体" w:cs="宋体"/>
          <w:color w:val="333333"/>
          <w:kern w:val="0"/>
          <w:sz w:val="22"/>
          <w:szCs w:val="22"/>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组内报价最低且降幅(四舍五入保留小数点后两位) 符合以下三个条件之一的拟中选，给予本组100%约定采购量——</w:t>
      </w:r>
      <w:r>
        <w:rPr>
          <w:rFonts w:ascii="宋体" w:hAnsi="宋体" w:eastAsia="宋体" w:cs="宋体"/>
          <w:b/>
          <w:color w:val="3DA742"/>
          <w:kern w:val="0"/>
          <w:sz w:val="22"/>
          <w:szCs w:val="22"/>
          <w:lang w:val="en-US" w:eastAsia="zh-CN" w:bidi="ar"/>
        </w:rPr>
        <w:t>降幅从高到低在所有组别排名前50%(遇无法整除保留整数位)</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；达到同通用名品种另一组(需为三家及以上组)降幅；达到所有组别三家及以上组平均降幅的50%。 组内报价最低且降幅符合以下两个条件之一的拟中选，给予本组50%的约定采购量——降幅达到所有组别三家及以上组平均降幅的25%；绝对降幅达到10%。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5924550" cy="2895600"/>
            <wp:effectExtent l="0" t="0" r="0" b="0"/>
            <wp:docPr id="35" name="图片 3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2"/>
                    <pic:cNvPicPr>
                      <a:picLocks noChangeAspect="1"/>
                    </pic:cNvPicPr>
                  </pic:nvPicPr>
                  <pic:blipFill>
                    <a:blip r:embed="rId13"/>
                    <a:stretch>
                      <a:fillRect/>
                    </a:stretch>
                  </pic:blipFill>
                  <pic:spPr>
                    <a:xfrm>
                      <a:off x="0" y="0"/>
                      <a:ext cx="5924550" cy="28956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ascii="宋体" w:hAnsi="宋体" w:eastAsia="宋体" w:cs="宋体"/>
          <w:color w:val="333333"/>
          <w:kern w:val="0"/>
          <w:sz w:val="25"/>
          <w:szCs w:val="25"/>
          <w:lang w:val="en-US" w:eastAsia="zh-CN" w:bidi="ar"/>
        </w:rPr>
        <w:br w:type="textWrapping"/>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采购方案另外规定，其余品种作流标处理，福建省药械联合采购中心对相关产品实施重点监测，按月公布各医疗机构采购量，并列入医保稽核监管必查项目。 福建本轮集采采购周期自中选结果实际执行日起计算，原则上为12个月。到期后可根据采购和供应等实际情况延长采购期限，延续周期原则上为12个月。 此外</w:t>
      </w:r>
      <w:r>
        <w:rPr>
          <w:rFonts w:ascii="宋体" w:hAnsi="宋体" w:eastAsia="宋体" w:cs="宋体"/>
          <w:color w:val="333333"/>
          <w:kern w:val="0"/>
          <w:sz w:val="22"/>
          <w:szCs w:val="22"/>
          <w:lang w:val="en-US" w:eastAsia="zh-CN" w:bidi="ar"/>
        </w:rPr>
        <w:t>，</w:t>
      </w:r>
      <w:r>
        <w:rPr>
          <w:rFonts w:ascii="宋体" w:hAnsi="宋体" w:eastAsia="宋体" w:cs="宋体"/>
          <w:b/>
          <w:color w:val="3DA742"/>
          <w:kern w:val="0"/>
          <w:sz w:val="22"/>
          <w:szCs w:val="22"/>
          <w:lang w:val="en-US" w:eastAsia="zh-CN" w:bidi="ar"/>
        </w:rPr>
        <w:t>中选药品集中带量采购严格执行“两票制”，鼓励实行“一票制”。</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中选药品由医保经办机构统一代为结算货款。各公立医疗机构均应通过平台采购中选产品，当地医保经办机构于每月15日前按合同规定向企业支付上一月的药品货款。  </w:t>
      </w:r>
    </w:p>
    <w:p>
      <w:pPr>
        <w:keepNext w:val="0"/>
        <w:keepLines w:val="0"/>
        <w:widowControl/>
        <w:suppressLineNumbers w:val="0"/>
        <w:spacing w:before="0" w:beforeAutospacing="0" w:after="0" w:afterAutospacing="0"/>
        <w:ind w:left="0" w:right="0" w:firstLine="4014" w:firstLineChars="900"/>
        <w:jc w:val="left"/>
        <w:rPr>
          <w:szCs w:val="24"/>
        </w:rPr>
      </w:pPr>
      <w:r>
        <w:rPr>
          <w:rFonts w:ascii="宋体" w:hAnsi="宋体" w:eastAsia="宋体" w:cs="宋体"/>
          <w:color w:val="0000FF"/>
          <w:spacing w:val="8"/>
          <w:kern w:val="0"/>
          <w:sz w:val="43"/>
          <w:szCs w:val="43"/>
          <w:lang w:val="en-US" w:eastAsia="zh-CN" w:bidi="ar"/>
        </w:rPr>
        <w:t>3</w:t>
      </w:r>
      <w:r>
        <w:rPr>
          <w:rFonts w:ascii="宋体" w:hAnsi="宋体" w:eastAsia="宋体" w:cs="宋体"/>
          <w:color w:val="333333"/>
          <w:spacing w:val="8"/>
          <w:kern w:val="0"/>
          <w:sz w:val="43"/>
          <w:szCs w:val="43"/>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i w:val="0"/>
          <w:caps w:val="0"/>
          <w:color w:val="000000"/>
          <w:spacing w:val="8"/>
          <w:kern w:val="0"/>
          <w:sz w:val="22"/>
          <w:szCs w:val="22"/>
          <w:shd w:val="clear" w:fill="FFFFFF"/>
          <w:lang w:val="en-US" w:eastAsia="zh-CN" w:bidi="ar"/>
        </w:rPr>
        <w:t>药品带量采购范围继续扩大</w:t>
      </w:r>
    </w:p>
    <w:p>
      <w:pPr>
        <w:keepNext w:val="0"/>
        <w:keepLines w:val="0"/>
        <w:widowControl/>
        <w:suppressLineNumbers w:val="0"/>
        <w:spacing w:before="0" w:beforeAutospacing="0" w:afterAutospacing="0"/>
        <w:ind w:left="220" w:right="0" w:hanging="220" w:hangingChars="100"/>
        <w:jc w:val="left"/>
        <w:rPr>
          <w:rFonts w:ascii="宋体" w:hAnsi="宋体" w:eastAsia="宋体" w:cs="宋体"/>
          <w:color w:val="333333"/>
          <w:kern w:val="0"/>
          <w:sz w:val="22"/>
          <w:szCs w:val="22"/>
          <w:lang w:val="en-US" w:eastAsia="zh-CN" w:bidi="ar"/>
        </w:rPr>
      </w:pPr>
      <w:r>
        <w:rPr>
          <w:rFonts w:ascii="宋体" w:hAnsi="宋体" w:eastAsia="宋体" w:cs="宋体"/>
          <w:color w:val="333333"/>
          <w:kern w:val="0"/>
          <w:sz w:val="22"/>
          <w:szCs w:val="22"/>
          <w:lang w:val="en-US" w:eastAsia="zh-CN" w:bidi="ar"/>
        </w:rPr>
        <w:br w:type="textWrapping"/>
      </w:r>
    </w:p>
    <w:p>
      <w:pPr>
        <w:keepNext w:val="0"/>
        <w:keepLines w:val="0"/>
        <w:widowControl/>
        <w:suppressLineNumbers w:val="0"/>
        <w:spacing w:before="0" w:beforeAutospacing="0" w:afterAutospacing="0"/>
        <w:ind w:left="218" w:leftChars="104" w:right="0" w:firstLine="472" w:firstLineChars="200"/>
        <w:jc w:val="left"/>
        <w:rPr>
          <w:szCs w:val="24"/>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值得注意的是与福建开展的上一轮带量采购相比，本轮集采预计纳入的品种数量明显增多。 根据福建省2020年2月26日发布的《福建省药品集中带量采购文件》，福建对</w:t>
      </w:r>
      <w:r>
        <w:rPr>
          <w:rFonts w:ascii="宋体" w:hAnsi="宋体" w:eastAsia="宋体" w:cs="宋体"/>
          <w:color w:val="3DA742"/>
          <w:kern w:val="0"/>
          <w:sz w:val="22"/>
          <w:szCs w:val="22"/>
          <w:lang w:val="en-US" w:eastAsia="zh-CN" w:bidi="ar"/>
        </w:rPr>
        <w:t>艾司奥美拉唑 (埃索美拉唑)、莫西沙星(含莫西沙星氯化钠)、亮丙瑞林、还原型谷胱甘肽、顺阿曲库铵、尼麦角林、丙泊酚中/长链脂肪乳、头孢克洛、伏立康唑、腺苷蛋氨酸、哌拉西林舒巴坦、非布司他</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等14个品规的药品开展集采。 根据《中共福建省委 福建省人民政府关于全面推广“三明经验”深化医药卫生体制改革的意见》的要求，持续实施药品和医用耗材集中带量采购。 “进一步完善福建全省全面落实跟进国家组织药品集中采购和使用机制，</w:t>
      </w:r>
      <w:r>
        <w:rPr>
          <w:rFonts w:ascii="宋体" w:hAnsi="宋体" w:eastAsia="宋体" w:cs="宋体"/>
          <w:color w:val="3DA742"/>
          <w:kern w:val="0"/>
          <w:sz w:val="22"/>
          <w:szCs w:val="22"/>
          <w:lang w:val="en-US" w:eastAsia="zh-CN" w:bidi="ar"/>
        </w:rPr>
        <w:t>扩大药品带量采购范围，将采购金额较大、竞争充分、临床使用成熟、同一通用名尚未有仿制药通过质量和疗效一致性评价的药品纳入带量采购</w:t>
      </w:r>
      <w:r>
        <w:rPr>
          <w:rFonts w:ascii="宋体" w:hAnsi="宋体" w:eastAsia="宋体" w:cs="宋体"/>
          <w:color w:val="333333"/>
          <w:kern w:val="0"/>
          <w:sz w:val="22"/>
          <w:szCs w:val="22"/>
          <w:lang w:val="en-US" w:eastAsia="zh-CN" w:bidi="ar"/>
        </w:rPr>
        <w:t>，</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探索开展跨区域联合带量采购，动态调整药品最高销售限价，完善以市场为主导的药品价格形成机制”。 今年1月28日，国务院办公厅发布的《国务院办公厅关于推动药品集中带量采购工作常态化制度化开展的意见》（国办发〔2021〕2号）也强调，推动药品集中带量采购工作常态化制度化开展，健全政府组织、联盟采购、平台操作的工作机制，加快形成全国统一开放的药品集中采购市场，引导药品价格回归合理水平。 按照保基本、保临床的原则，重点将基本医保药品目录内用量大、采购金额高的药品纳入采购范围，逐步覆盖国内上市的临床必需、质量可靠的各类药品，做到应采尽采。</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br w:type="textWrapping"/>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可以看到，国采、省采、省际联盟等采购形式正在覆盖越来越多的品种。</w:t>
      </w:r>
      <w:r>
        <w:rPr>
          <w:rFonts w:hint="eastAsia" w:ascii="Microsoft YaHei UI" w:hAnsi="Microsoft YaHei UI" w:eastAsia="Microsoft YaHei UI" w:cs="Microsoft YaHei UI"/>
          <w:color w:val="333333"/>
          <w:spacing w:val="8"/>
          <w:kern w:val="0"/>
          <w:sz w:val="22"/>
          <w:szCs w:val="22"/>
          <w:lang w:val="en-US" w:eastAsia="zh-CN" w:bidi="ar"/>
        </w:rPr>
        <w:br w:type="textWrapping"/>
      </w:r>
      <w:r>
        <w:rPr>
          <w:rFonts w:hint="eastAsia" w:ascii="Microsoft YaHei UI" w:hAnsi="Microsoft YaHei UI" w:eastAsia="Microsoft YaHei UI" w:cs="Microsoft YaHei UI"/>
          <w:b/>
          <w:color w:val="333333"/>
          <w:spacing w:val="8"/>
          <w:kern w:val="0"/>
          <w:sz w:val="22"/>
          <w:szCs w:val="22"/>
          <w:lang w:val="en-US" w:eastAsia="zh-CN" w:bidi="ar"/>
        </w:rPr>
        <w:t>附：采购品种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000000"/>
          <w:spacing w:val="8"/>
          <w:kern w:val="0"/>
          <w:sz w:val="25"/>
          <w:szCs w:val="25"/>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5286375" cy="8013065"/>
            <wp:effectExtent l="0" t="0" r="9525" b="6985"/>
            <wp:docPr id="36" name="图片 3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63"/>
                    <pic:cNvPicPr>
                      <a:picLocks noChangeAspect="1"/>
                    </pic:cNvPicPr>
                  </pic:nvPicPr>
                  <pic:blipFill>
                    <a:blip r:embed="rId14"/>
                    <a:stretch>
                      <a:fillRect/>
                    </a:stretch>
                  </pic:blipFill>
                  <pic:spPr>
                    <a:xfrm>
                      <a:off x="0" y="0"/>
                      <a:ext cx="5286375" cy="80130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b w:val="0"/>
          <w:i w:val="0"/>
          <w:caps w:val="0"/>
          <w:color w:val="000000"/>
          <w:spacing w:val="8"/>
          <w:kern w:val="0"/>
          <w:sz w:val="25"/>
          <w:szCs w:val="25"/>
          <w:shd w:val="clear" w:fill="FFFFFF"/>
          <w:lang w:val="en-US" w:eastAsia="zh-CN" w:bidi="ar"/>
        </w:rPr>
        <w:drawing>
          <wp:inline distT="0" distB="0" distL="114300" distR="114300">
            <wp:extent cx="5286375" cy="8534400"/>
            <wp:effectExtent l="0" t="0" r="9525" b="0"/>
            <wp:docPr id="37" name="图片 3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64"/>
                    <pic:cNvPicPr>
                      <a:picLocks noChangeAspect="1"/>
                    </pic:cNvPicPr>
                  </pic:nvPicPr>
                  <pic:blipFill>
                    <a:blip r:embed="rId15"/>
                    <a:stretch>
                      <a:fillRect/>
                    </a:stretch>
                  </pic:blipFill>
                  <pic:spPr>
                    <a:xfrm>
                      <a:off x="0" y="0"/>
                      <a:ext cx="5286375" cy="8534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kern w:val="0"/>
          <w:sz w:val="33"/>
          <w:szCs w:val="33"/>
          <w:lang w:val="en-US" w:eastAsia="zh-CN" w:bidi="ar"/>
        </w:rPr>
      </w:pPr>
    </w:p>
    <w:p>
      <w:pPr>
        <w:widowControl/>
        <w:spacing w:before="100" w:beforeAutospacing="1" w:after="100" w:afterAutospacing="1" w:line="900" w:lineRule="atLeast"/>
        <w:outlineLvl w:val="1"/>
        <w:rPr>
          <w:rFonts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left"/>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4</w:t>
      </w:r>
      <w:r>
        <w:rPr>
          <w:rFonts w:hint="eastAsia" w:ascii="微软雅黑" w:hAnsi="微软雅黑" w:eastAsia="微软雅黑" w:cs="宋体"/>
          <w:b/>
          <w:color w:val="333333"/>
          <w:kern w:val="36"/>
          <w:sz w:val="24"/>
          <w:szCs w:val="24"/>
        </w:rPr>
        <w:t xml:space="preserve">  </w:t>
      </w:r>
      <w:r>
        <w:rPr>
          <w:rFonts w:hint="eastAsia" w:ascii="宋体" w:hAnsi="宋体" w:eastAsia="宋体" w:cs="宋体"/>
          <w:b/>
          <w:kern w:val="0"/>
          <w:sz w:val="33"/>
          <w:szCs w:val="33"/>
          <w:lang w:val="en-US" w:eastAsia="zh-CN" w:bidi="ar"/>
        </w:rPr>
        <w:t>【重磅】40亿抗肿瘤注射剂，领军企业恒瑞过评，齐鲁再下一城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i w:val="0"/>
          <w:spacing w:val="0"/>
          <w:kern w:val="0"/>
          <w:sz w:val="18"/>
          <w:szCs w:val="18"/>
          <w:lang w:val="en-US" w:eastAsia="zh-CN" w:bidi="ar"/>
        </w:rPr>
        <w:t>原创</w:t>
      </w:r>
      <w:r>
        <w:rPr>
          <w:rFonts w:ascii="宋体" w:hAnsi="宋体" w:eastAsia="宋体" w:cs="宋体"/>
          <w:kern w:val="0"/>
          <w:sz w:val="0"/>
          <w:szCs w:val="0"/>
          <w:lang w:val="en-US" w:eastAsia="zh-CN" w:bidi="ar"/>
        </w:rPr>
        <w:t> </w:t>
      </w:r>
      <w:r>
        <w:rPr>
          <w:rFonts w:ascii="宋体" w:hAnsi="宋体" w:eastAsia="宋体" w:cs="宋体"/>
          <w:kern w:val="0"/>
          <w:sz w:val="22"/>
          <w:szCs w:val="22"/>
          <w:lang w:val="en-US" w:eastAsia="zh-CN" w:bidi="ar"/>
        </w:rPr>
        <w:t>未晞</w:t>
      </w:r>
      <w:r>
        <w:rPr>
          <w:rFonts w:ascii="宋体" w:hAnsi="宋体" w:eastAsia="宋体" w:cs="宋体"/>
          <w:kern w:val="0"/>
          <w:sz w:val="0"/>
          <w:szCs w:val="0"/>
          <w:lang w:val="en-US" w:eastAsia="zh-CN" w:bidi="ar"/>
        </w:rPr>
        <w:t> </w:t>
      </w: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"https://mp.weixin.qq.com/javascript:void(0);" </w:instrText>
      </w:r>
      <w:r>
        <w:rPr>
          <w:rFonts w:ascii="宋体" w:hAnsi="宋体" w:eastAsia="宋体" w:cs="宋体"/>
          <w:color w:val="576B95"/>
          <w:kern w:val="0"/>
          <w:sz w:val="22"/>
          <w:szCs w:val="22"/>
          <w:u w:val="none"/>
          <w:lang w:val="en-US" w:eastAsia="zh-CN" w:bidi="ar"/>
        </w:rPr>
        <w:fldChar w:fldCharType="separate"/>
      </w:r>
      <w:r>
        <w:rPr>
          <w:rFonts w:ascii="宋体" w:hAnsi="宋体" w:eastAsia="宋体" w:cs="宋体"/>
          <w:color w:val="576B95"/>
          <w:sz w:val="22"/>
          <w:szCs w:val="22"/>
          <w:u w:val="none"/>
        </w:rPr>
        <w:t>米内网</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Fonts w:ascii="宋体" w:hAnsi="宋体" w:eastAsia="宋体" w:cs="宋体"/>
          <w:i w:val="0"/>
          <w:kern w:val="0"/>
          <w:sz w:val="22"/>
          <w:szCs w:val="22"/>
          <w:lang w:val="en-US" w:eastAsia="zh-CN" w:bidi="ar"/>
        </w:rPr>
        <w:t>2021-03-26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i w:val="0"/>
          <w:caps w:val="0"/>
          <w:color w:val="333333"/>
          <w:spacing w:val="8"/>
          <w:kern w:val="0"/>
          <w:sz w:val="25"/>
          <w:szCs w:val="25"/>
          <w:lang w:val="en-US" w:eastAsia="zh-CN" w:bidi="ar"/>
        </w:rPr>
      </w:pPr>
      <w:r>
        <w:rPr>
          <w:rFonts w:ascii="微软雅黑" w:hAnsi="微软雅黑" w:eastAsia="微软雅黑" w:cs="微软雅黑"/>
          <w:b/>
          <w:i w:val="0"/>
          <w:caps w:val="0"/>
          <w:color w:val="1C7B86"/>
          <w:spacing w:val="8"/>
          <w:kern w:val="0"/>
          <w:sz w:val="24"/>
          <w:szCs w:val="24"/>
          <w:shd w:val="clear" w:fill="FFFFFF"/>
          <w:lang w:val="en-US" w:eastAsia="zh-CN" w:bidi="ar"/>
        </w:rPr>
        <w:t>精彩内容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55" w:afterAutospacing="0"/>
        <w:ind w:left="0" w:right="0"/>
        <w:jc w:val="both"/>
        <w:rPr>
          <w:color w:val="333333"/>
          <w:sz w:val="25"/>
          <w:szCs w:val="25"/>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0" w:firstLineChars="200"/>
        <w:jc w:val="both"/>
        <w:rPr>
          <w:rFonts w:ascii="Calibri" w:hAnsi="Calibri" w:eastAsia="宋体" w:cs="Times New Roman"/>
          <w:kern w:val="0"/>
          <w:sz w:val="24"/>
          <w:szCs w:val="24"/>
          <w:lang w:val="en-US" w:eastAsia="zh-CN" w:bidi="ar"/>
        </w:rPr>
      </w:pPr>
      <w:r>
        <w:rPr>
          <w:rFonts w:ascii="Calibri" w:hAnsi="Calibri" w:eastAsia="宋体" w:cs="Times New Roman"/>
          <w:color w:val="888888"/>
          <w:kern w:val="0"/>
          <w:sz w:val="22"/>
          <w:szCs w:val="22"/>
          <w:lang w:val="en-US" w:eastAsia="zh-CN" w:bidi="ar"/>
        </w:rPr>
        <w:t>3月25日，NMPA发布最新药品批准信息，江苏恒瑞医药、齐鲁制药的多西他赛注射液一致性评价补充申请获批，截至目前，该产品过评企业达5家，大概率会被纳入第五批国家集采，赛诺菲、汇宇、正大天晴、齐鲁、扬子江、恒瑞即将展开价格激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图1：过评产品的具体情况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drawing>
          <wp:inline distT="0" distB="0" distL="114300" distR="114300">
            <wp:extent cx="5271135" cy="877570"/>
            <wp:effectExtent l="0" t="0" r="5715" b="17780"/>
            <wp:docPr id="22" name="图片 22" descr="51ce4d77e361df6773356672b6234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1ce4d77e361df6773356672b62343ea"/>
                    <pic:cNvPicPr>
                      <a:picLocks noChangeAspect="1"/>
                    </pic:cNvPicPr>
                  </pic:nvPicPr>
                  <pic:blipFill>
                    <a:blip r:embed="rId16"/>
                    <a:stretch>
                      <a:fillRect/>
                    </a:stretch>
                  </pic:blipFill>
                  <pic:spPr>
                    <a:xfrm>
                      <a:off x="0" y="0"/>
                      <a:ext cx="5271135" cy="87757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drawing>
          <wp:inline distT="0" distB="0" distL="114300" distR="114300">
            <wp:extent cx="304800" cy="304800"/>
            <wp:effectExtent l="0" t="0" r="0" b="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1"/>
          <w:szCs w:val="21"/>
          <w:shd w:val="clear" w:fill="FFFFFF"/>
          <w:lang w:val="en-US" w:eastAsia="zh-CN" w:bidi="ar"/>
        </w:rPr>
        <w:t>来源：NMPA官网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多西他赛是紫杉醇类抗肿瘤药，通过促进小管聚合成微管并抑制其解聚而抑制细胞有丝分裂，从而发挥抗肿瘤作用。在临床上主要用于先期化疗失败的晚期或转移性乳腺癌的治疗，以及以顺铂为主的化疗失败的晚期或转移性非小细胞肺癌的治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图2：2020H1多西他赛注射液的企业竞争格局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drawing>
          <wp:inline distT="0" distB="0" distL="114300" distR="114300">
            <wp:extent cx="5270500" cy="3107690"/>
            <wp:effectExtent l="0" t="0" r="6350" b="16510"/>
            <wp:docPr id="24" name="图片 24" descr="bf2e07bc62117737afb0b982d44b4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f2e07bc62117737afb0b982d44b4f8f"/>
                    <pic:cNvPicPr>
                      <a:picLocks noChangeAspect="1"/>
                    </pic:cNvPicPr>
                  </pic:nvPicPr>
                  <pic:blipFill>
                    <a:blip r:embed="rId17"/>
                    <a:stretch>
                      <a:fillRect/>
                    </a:stretch>
                  </pic:blipFill>
                  <pic:spPr>
                    <a:xfrm>
                      <a:off x="0" y="0"/>
                      <a:ext cx="5270500" cy="31076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drawing>
          <wp:inline distT="0" distB="0" distL="114300" distR="114300">
            <wp:extent cx="304800" cy="304800"/>
            <wp:effectExtent l="0" t="0" r="0" b="0"/>
            <wp:docPr id="2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7"/>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1"/>
          <w:szCs w:val="21"/>
          <w:shd w:val="clear" w:fill="FFFFFF"/>
          <w:lang w:val="en-US" w:eastAsia="zh-CN" w:bidi="ar"/>
        </w:rPr>
        <w:t>来源：米内网中国公立医疗机构终端竞争格局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72" w:firstLineChars="20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instrText xml:space="preserve"> HYPERLINK "https://mp.weixin.qq.com/s?__biz=MjM5NzQ4MTg2MQ==&amp;mid=2650384003&amp;idx=2&amp;sn=208fa32ee2a1e299d5e42b0570272bb8&amp;chksm=bed45a6989a3d37f1c055c474ce927780f6cbf6572e927815bb7866ecb25d2ecb5116fa491e7&amp;scene=38&amp;key=3436d0d9cc3f8c339ab91738c920487ccefb954866a3536a9b3b4abe201f70e0c5f70a477ede8a9a65a4716cca5c83035c09cc71558ad5c61323046404d1c15b98c21e7d734de6980c6b2ed5c892e82b60194ed5e7f4a68a866d5b870e9458a8624ab7a59a84644881da13a8eb0ca74fea1ea5977768e979e69905f12680da2f&amp;ascene=0&amp;uin=MjMwNTExODczOA==&amp;devicetype=Windows+7+x64&amp;version=63020170&amp;lang=zh_CN&amp;exportkey=A83i7OzhRTQSOtHGn90V8Ho=&amp;pass_ticket=Vkko8o/MCbSXbGeVJX89Dhsf5J4jfVKWhDbLIsduX37n09xXPz+FKewPlHxWUj9+&amp;wx_header=0&amp;fontgear=2" </w:instrTex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separate"/>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t>米内网数据显示</w:t>
      </w:r>
      <w:r>
        <w:rPr>
          <w:rFonts w:hint="eastAsia" w:ascii="Microsoft YaHei UI" w:hAnsi="Microsoft YaHei UI" w:eastAsia="Microsoft YaHei UI" w:cs="Microsoft YaHei UI"/>
          <w:b w:val="0"/>
          <w:i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在中国城市公立医院、县级公立医院、城市社区中心以及乡镇卫生院（简称中国公立医疗机构）终端，多西他赛注射液是抗肿瘤药中的超40亿大品种，2020H1排在TOP20产品中的第四位。目前原研企业赛诺菲的市场份额仅占不到三成，而国内药企中恒瑞成为了领军企业，齐鲁紧随其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图3：早前过评/视同过评的企业情况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drawing>
          <wp:inline distT="0" distB="0" distL="114300" distR="114300">
            <wp:extent cx="5271770" cy="1775460"/>
            <wp:effectExtent l="0" t="0" r="5080" b="15240"/>
            <wp:docPr id="26" name="图片 26" descr="2dba8e6d512556bb15fb4040fb05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dba8e6d512556bb15fb4040fb050208"/>
                    <pic:cNvPicPr>
                      <a:picLocks noChangeAspect="1"/>
                    </pic:cNvPicPr>
                  </pic:nvPicPr>
                  <pic:blipFill>
                    <a:blip r:embed="rId18"/>
                    <a:stretch>
                      <a:fillRect/>
                    </a:stretch>
                  </pic:blipFill>
                  <pic:spPr>
                    <a:xfrm>
                      <a:off x="0" y="0"/>
                      <a:ext cx="5271770" cy="177546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drawing>
          <wp:inline distT="0" distB="0" distL="114300" distR="114300">
            <wp:extent cx="304800" cy="304800"/>
            <wp:effectExtent l="0" t="0" r="0" b="0"/>
            <wp:docPr id="2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8"/>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1"/>
          <w:szCs w:val="21"/>
          <w:shd w:val="clear" w:fill="FFFFFF"/>
          <w:lang w:val="en-US" w:eastAsia="zh-CN" w:bidi="ar"/>
        </w:rPr>
        <w:t>来源：米内网MED2.0中国药品审评数据库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72" w:firstLineChars="20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四川汇宇制药的多西他赛注射液4类仿制上市申请在2019年获批视并同过评，随后一年都无其他企业过评；2021年2月，正大天晴、齐鲁、扬子江的一致性评价补充申请密集获批，作为领军企业的恒瑞终于在3月拿下批件，齐鲁也多了一个规格过评，该产品已形成“原研+5仿制”局面，被纳入第五批国采是大概率事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表1：即将过评的多西他赛注射液相关情况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drawing>
          <wp:inline distT="0" distB="0" distL="114300" distR="114300">
            <wp:extent cx="5269230" cy="2778760"/>
            <wp:effectExtent l="0" t="0" r="7620" b="2540"/>
            <wp:docPr id="28" name="图片 28" descr="929f5b60eec3a21f7245f084125f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29f5b60eec3a21f7245f084125f0676"/>
                    <pic:cNvPicPr>
                      <a:picLocks noChangeAspect="1"/>
                    </pic:cNvPicPr>
                  </pic:nvPicPr>
                  <pic:blipFill>
                    <a:blip r:embed="rId19"/>
                    <a:stretch>
                      <a:fillRect/>
                    </a:stretch>
                  </pic:blipFill>
                  <pic:spPr>
                    <a:xfrm>
                      <a:off x="0" y="0"/>
                      <a:ext cx="5269230" cy="277876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5"/>
          <w:szCs w:val="25"/>
          <w:shd w:val="clear" w:fill="FFFFFF"/>
          <w:lang w:val="en-US" w:eastAsia="zh-CN" w:bidi="ar"/>
        </w:rPr>
        <w:drawing>
          <wp:inline distT="0" distB="0" distL="114300" distR="114300">
            <wp:extent cx="304800" cy="304800"/>
            <wp:effectExtent l="0" t="0" r="0" b="0"/>
            <wp:docPr id="29" name="图片 2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1"/>
          <w:szCs w:val="21"/>
          <w:shd w:val="clear" w:fill="FFFFFF"/>
          <w:lang w:val="en-US" w:eastAsia="zh-CN" w:bidi="ar"/>
        </w:rPr>
        <w:t>来源：米内网MED2.0中国药品审评数据库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五批国采暂未有官方消息，在开标前能过评/视同过评的企业都有资格参与竞标，目前除了汇宇、正大天晴、齐鲁、扬子江、恒瑞外，江苏奥赛康药业等3家企业的一致性评价补充申请在审评审批中，新分类仿制方面，费森尤斯卡比(武汉)医药进入“在审批”阶段，罗欣在审批审评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left"/>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附件5</w:t>
      </w:r>
      <w:r>
        <w:rPr>
          <w:rFonts w:hint="eastAsia" w:ascii="微软雅黑" w:hAnsi="微软雅黑" w:eastAsia="微软雅黑" w:cs="宋体"/>
          <w:b/>
          <w:color w:val="333333"/>
          <w:kern w:val="36"/>
          <w:sz w:val="24"/>
          <w:szCs w:val="24"/>
          <w:lang w:val="en-US" w:eastAsia="zh-CN"/>
        </w:rPr>
        <w:t xml:space="preserve">  </w:t>
      </w:r>
      <w:r>
        <w:rPr>
          <w:rFonts w:hint="eastAsia" w:ascii="宋体" w:hAnsi="宋体" w:eastAsia="宋体" w:cs="宋体"/>
          <w:b/>
          <w:kern w:val="0"/>
          <w:sz w:val="33"/>
          <w:szCs w:val="33"/>
          <w:lang w:val="en-US" w:eastAsia="zh-CN" w:bidi="ar"/>
        </w:rPr>
        <w:t>医疗器械监督管理条例发布！（附全文）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"https://mp.weixin.qq.com/javascript:void(0);" </w:instrText>
      </w:r>
      <w:r>
        <w:rPr>
          <w:rFonts w:ascii="宋体" w:hAnsi="宋体" w:eastAsia="宋体" w:cs="宋体"/>
          <w:color w:val="576B95"/>
          <w:kern w:val="0"/>
          <w:sz w:val="22"/>
          <w:szCs w:val="22"/>
          <w:u w:val="none"/>
          <w:lang w:val="en-US" w:eastAsia="zh-CN" w:bidi="ar"/>
        </w:rPr>
        <w:fldChar w:fldCharType="separate"/>
      </w:r>
      <w:r>
        <w:rPr>
          <w:rFonts w:ascii="宋体" w:hAnsi="宋体" w:eastAsia="宋体" w:cs="宋体"/>
          <w:color w:val="576B95"/>
          <w:sz w:val="22"/>
          <w:szCs w:val="22"/>
          <w:u w:val="none"/>
        </w:rPr>
        <w:t>医药经济报</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Fonts w:ascii="宋体" w:hAnsi="宋体" w:eastAsia="宋体" w:cs="宋体"/>
          <w:i w:val="0"/>
          <w:kern w:val="0"/>
          <w:sz w:val="22"/>
          <w:szCs w:val="22"/>
          <w:lang w:val="en-US" w:eastAsia="zh-CN" w:bidi="ar"/>
        </w:rPr>
        <w:t>2021-03-18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i w:val="0"/>
          <w:caps w:val="0"/>
          <w:color w:val="333333"/>
          <w:spacing w:val="8"/>
          <w:kern w:val="0"/>
          <w:sz w:val="25"/>
          <w:szCs w:val="25"/>
          <w:lang w:val="en-US" w:eastAsia="zh-CN" w:bidi="ar"/>
        </w:rPr>
      </w:pPr>
      <w:r>
        <w:rPr>
          <w:rFonts w:ascii="微软雅黑" w:hAnsi="微软雅黑" w:eastAsia="微软雅黑" w:cs="微软雅黑"/>
          <w:b w:val="0"/>
          <w:i w:val="0"/>
          <w:caps w:val="0"/>
          <w:color w:val="3E3E3E"/>
          <w:spacing w:val="8"/>
          <w:kern w:val="0"/>
          <w:sz w:val="21"/>
          <w:szCs w:val="21"/>
          <w:shd w:val="clear" w:fill="FFFFFF"/>
          <w:lang w:val="en-US" w:eastAsia="zh-CN" w:bidi="ar"/>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72" w:firstLineChars="20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3月17日，新修订《医疗器械监督管理条例》正式发布，并将于2021年6月1日起施行。</w:t>
      </w:r>
    </w:p>
    <w:p>
      <w:pPr>
        <w:keepNext w:val="0"/>
        <w:keepLines w:val="0"/>
        <w:widowControl/>
        <w:suppressLineNumbers w:val="0"/>
        <w:pBdr>
          <w:top w:val="single" w:color="auto" w:sz="6" w:space="0"/>
          <w:left w:val="single" w:color="auto" w:sz="2" w:space="0"/>
          <w:bottom w:val="single" w:color="auto" w:sz="2" w:space="0"/>
          <w:right w:val="single" w:color="auto" w:sz="2"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sz w:val="25"/>
          <w:szCs w:val="25"/>
        </w:rPr>
      </w:pPr>
      <w:r>
        <w:rPr>
          <w:color w:val="333333"/>
          <w:sz w:val="25"/>
          <w:szCs w:val="25"/>
        </w:rPr>
        <w:pict>
          <v:rect id="_x0000_i1025" o:spt="1" style="height:1.5pt;width:432pt;" fillcolor="#333333" filled="t" stroked="f" coordsize="21600,21600" o:hr="t" o:hrstd="t" o:hrnoshade="t" o:hralign="center">
            <v:path/>
            <v:fill on="t" focussize="0,0"/>
            <v:stroke on="f"/>
            <v:imagedata o:title=""/>
            <o:lock v:ext="edit"/>
            <w10:wrap type="none"/>
            <w10:anchorlock/>
          </v:rect>
        </w:pict>
      </w:r>
    </w:p>
    <w:p>
      <w:pPr>
        <w:keepNext w:val="0"/>
        <w:keepLines w:val="0"/>
        <w:widowControl/>
        <w:suppressLineNumbers w:val="0"/>
        <w:spacing w:before="0" w:beforeAutospacing="0" w:after="0" w:afterAutospacing="0"/>
        <w:ind w:left="0" w:right="0"/>
        <w:jc w:val="left"/>
        <w:rPr>
          <w:szCs w:val="24"/>
        </w:rPr>
      </w:pPr>
      <w:r>
        <w:rPr>
          <w:rFonts w:hint="eastAsia" w:ascii="Microsoft YaHei UI" w:hAnsi="Microsoft YaHei UI" w:eastAsia="Microsoft YaHei UI" w:cs="Microsoft YaHei UI"/>
          <w:color w:val="333333"/>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医疗器械监督管理条例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（2000年1月4日国务院令第276号公布。2014年2月12日国务院第39次常务会议修订通过。根据2017年5月4日《国务院关于修改&lt;医疗器械监督管理条例&gt;的决定》修订。2020年12月21日国务院第119次常务会议修订通过）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第一章  总则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第一条  为了保证医疗器械的安全、有效，保障人体健康和生命安全，促进医疗器械产业发展，制定本条例。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第二条  在中华人民共和国境内从事医疗器械的研制、生产、经营、使用活动及其监督管理，适用本条例。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第三条　国务院药品监督管理部门负责全国医疗器械监督管理工作。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国务院有关部门在各自的职责范围内负责与医疗器械有关的监督管理工作。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第四条　县级以上地方人民政府应当加强对本行政区域的医疗器械监督管理工作的领导，组织协调本行政区域内的医疗器械监督管理工作以及突发事件应对工作，加强医疗器械监督管理能力建设，为医疗器械安全工作提供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县级以上地方人民政府负责药品监督管理的部门负责本行政区域的医疗器械监督管理工作。县级以上地方人民政府有关部门在各自的职责范围内负责与医疗器械有关的监督管理工作。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第五条　医疗器械监督管理遵循风险管理、全程管控、科学监管、社会共治的原则。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第六条　国家对医疗器械按照风险程度实行分类管理。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第一类是风险程度低，实行常规管理可以保证其安全、有效的医疗器械。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第二类是具有中度风险，需要严格控制管理以保证其安全、有效的医疗器械。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第三类是具有较高风险，需要采取特别措施严格控制管理以保证其安全、有效的医疗器械。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评价医疗器械风险程度，应当考虑医疗器械的预期目的、结构特征、使用方法等因素。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国务院药品监督管理部门负责制定医疗器械的分类规则和分类目录，并根据医疗器械生产、经营、使用情况，及时对医疗器械的风险变化进行分析、评价，对分类规则和分类目录进行调整。制定、调整分类规则和分类目录，应当充分听取医疗器械注册人、备案人、生产经营企业以及使用单位、行业组织的意见，并参考国际医疗器械分类实践。医疗器械分类规则和分类目录应当向社会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第七条　医疗器械产品应当符合医疗器械强制性国家标准；尚无强制性国家标准的，应当符合医疗器械强制性行业标准。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第八条　国家制定医疗器械产业规划和政策，将医疗器械创新纳入发展重点，对创新医疗器械予以优先审评审批，支持创新医疗器械临床推广和使用，推动医疗器械产业高质量发展。国务院药品监督管理部门应当配合国务院有关部门，贯彻实施国家医疗器械产业规划和引导政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第九条　国家完善医疗器械创新体系，支持医疗器械的基础研究和应用研究，促进医疗器械新技术的推广和应用，在科技立项、融资、信贷、招标采购、医疗保险等方面予以支持。支持企业设立或者联合组建研制机构，鼓励企业与高等学校、科研院所、医疗机构等合作开展医疗器械的研究与创新，加强医疗器械知识产权保护，提高医疗器械自主创新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第十条　国家加强医疗器械监督管理信息化建设，提高在线政务服务水平，为医疗器械行政许可、备案等提供便利。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第十一条　医疗器械行业组织应当加强行业自律，推进诚信体系建设，督促企业依法开展生产经营活动，引导企业诚实守信。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第十二条　对在医疗器械的研究与创新方面做出突出贡献的单位和个人，按照国家有关规定给予表彰奖励。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第二章　医疗器械产品注册与备案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第十三条　第一类医疗器械实行产品备案管理，第二类、第 三类医疗器械实行产品注册管理。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医疗器械注册人、备案人应当加强医疗器械全生命周期质量管理，对研制、生产、经营、使用全过程中医疗器械的安全性、有效性依法承担责任。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第十四条　第一类医疗器械产品备案和申请第二类、第三类医疗器械产品注册，应当提交下列资料：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（一）产品风险分析资料；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（二）产品技术要求；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（三）产品检验报告；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（四）临床评价资料；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（五）产品说明书以及标签样稿；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（六）与产品研制、生产有关的质量管理体系文件；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（七）证明产品安全、有效所需的其他资料。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产品检验报告应当符合国务院药品监督管理部门的要求，可以是医疗器械注册申请人、备案人的自检报告，也可以是委托有资质的医疗器械检验机构出具的检验报告。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符合本条例第二十四条规定的免于进行临床评价情形的，可以免于提交临床评价资料。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医疗器械注册申请人、备案人应当确保提交的资料合法、真实、准确、完整和可追溯。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第十五条　第一类医疗器械产品备案，由备案人向所在地设区的市级人民政府负责药品监督管理的部门提交备案资料。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向我国境内出口第一类医疗器械的境外备案人，由其指定的我国境内企业法人向国务院药品监督管理部门提交备案资料和备案人所在国（地区）主管部门准许该医疗器械上市销售的证明文件。未在境外上市的创新医疗器械，可以不提交备案人所在国（地区）主管部门准许该医疗器械上市销售的证明文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备案人向负责药品监督管理的部门提交符合本条例规定的备案资料后即完成备案。负责药品监督管理的部门应当自收到备案资料之日起5个工作日内，通过国务院药品监督管理部门在线政务服务平台向社会公布备案有关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备案资料载明的事项发生变化的，应当向原备案部门变更备案。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第十六条　申请第二类医疗器械产品注册，注册申请人应当向所在地省、自治区、直辖市人民政府药品监督管理部门提交注册申请资料。申请第三类医疗器械产品注册，注册申请人应当向国务院药品监督管理部门提交注册申请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向我国境内出口第二类、第三类医疗器械的境外注册申请人，由其指定的我国境内企业法人向国务院药品监督管理部门提交注册申请资料和注册申请人所在国（地区）主管部门准许该医疗器械上市销售的证明文件。未在境外上市的创新医疗器械，可以不提交注册申请人所在国（地区）主管部门准许该医疗器械上市销售的证明文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国务院药品监督管理部门应当对医疗器械注册审查程序和要 求作出规定，并加强对省、自治区、直辖市人民政府药品监督管理部门注册审查工作的监督指导。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第十七条　受理注册申请的药品监督管理部门应当对医疗器械的安全性、有效性以及注册申请人保证医疗器械安全、有效的质量管理能力等进行审查。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受理注册申请的药品监督管理部门应当自受理注册申请之日起3个工作日内将注册申请资料转交技术审评机构。技术审评机构应当在完成技术审评后，将审评意见提交受理注册申请的药品监督管理部门作为审批的依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受理注册申请的药品监督管理部门在组织对医疗器械的技术审评时认为有必要对质量管理体系进行核查的，应当组织开展质量管理体系核查。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第十八条　受理注册申请的药品监督管理部门应当自收到审评意见之日起20个工作日内作出决定。对符合条件的，准予注册并发给医疗器械注册证；对不符合条件的，不予注册并书面说明理由。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受理注册申请的药品监督管理部门应当自医疗器械准予注册之日起5个工作日内，通过国务院药品监督管理部门在线政务服务平台向社会公布注册有关信息。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第十九条　对用于治疗罕见疾病、严重危及生命且尚无有效治疗手段的疾病和应对公共卫生事件等急需的医疗器械，受理注册申请的药品监督管理部门可以作出附条件批准决定，并在医疗器械注册证中载明相关事项。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出现特别重大突发公共卫生事件或者其他严重威胁公众健康的紧急事件，国务院卫生主管部门根据预防、控制事件的需要提出紧急使用医疗器械的建议，经国务院药品监督管理部门组织论证同意后可以在一定范围和期限内紧急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第二十条　医疗器械注册人、备案人应当履行下列义务：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（一）建立与产品相适应的质量管理体系并保持有效运行；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（二）制定上市后研究和风险管控计划并保证有效实施；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（三）依法开展不良事件监测和再评价；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（四）建立并执行产品追溯和召回制度；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（五）国务院药品监督管理部门规定的其他义务。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境外医疗器械注册人、备案人指定的我国境内企业法人应当协助注册人、备案人履行前款规定的义务。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第二十一条　已注册的第二类、第三类医疗器械产品，其设计、原材料、生产工艺、适用范围、使用方法等发生实质性变化，有可能影响该医疗器械安全、有效的，注册人应当向原注册部门申请办理变更注册手续；发生其他变化的，应当按照国务院药品监督管理部门的规定备案或者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第二十二条　医疗器械注册证有效期为5年。有效期届满需要延续注册的，应当在有效期届满6个月前向原注册部门提出延续注册的申请。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除有本条第三款规定情形外，接到延续注册申请的药品监督管理部门应当在医疗器械注册证有效期届满前作出准予延续的决定。逾期未作决定的，视为准予延续。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有下列情形之一的，不予延续注册：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（一）未在规定期限内提出延续注册申请；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（二）医疗器械强制性标准已经修订，申请延续注册的医疗器械不能达到新要求；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（三）附条件批准的医疗器械，未在规定期限内完成医疗器械注册证载明事项。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第二十三条　对新研制的尚未列入分类目录的医疗器械，申请人可以依照本条例有关第三类医疗器械产品注册的规定直接申请产品注册，也可以依据分类规则判断产品类别并向国务院药品监督管理部门申请类别确认后依照本条例的规定申请产品注册或者进行产品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直接申请第三类医疗器械产品注册的，国务院药品监督管理部门应当按照风险程度确定类别，对准予注册的医疗器械及时纳入分类目录。申请类别确认的，国务院药品监督管理部门应当自受理申请之日起20个工作日内对该医疗器械的类别进行判定并告知申请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第二十四条　医疗器械产品注册、备案，应当进行临床评价；但是符合下列情形之一，可以免于进行临床评价：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（一）工作机理明确、设计定型，生产工艺成熟，已上市的同品种医疗器械临床应用多年且无严重不良事件记录，不改变常规用途的；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（二）其他通过非临床评价能够证明该医疗器械安全、有效的。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国务院药品监督管理部门应当制定医疗器械临床评价指南。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第二十五条　进行医疗器械临床评价，可以根据产品特征、临床风险、已有临床数据等情形，通过开展临床试验，或者通过对同品种医疗器械临床文献资料、临床数据进行分析评价，证明医疗器械安全、有效。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按照国务院药品监督管理部门的规定，进行医疗器械临床评价时，已有临床文献资料、临床数据不足以确认产品安全、有效的医疗器械，应当开展临床试验。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第二十六条　开展医疗器械临床试验，应当按照医疗器械临床试验质量管理规范的要求，在具备相应条件的临床试验机构进行，并向临床试验申办者所在地省、自治区、直辖市人民政府药品监督管理部门备案。接受临床试验备案的药品监督管理部门应当将备案情况通报临床试验机构所在地同级药品监督管理部门和卫生主管部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医疗器械临床试验机构实行备案管理。医疗器械临床试验机构应当具备的条件以及备案管理办法和临床试验质量管理规范，由国务院药品监督管理部门会同国务院卫生主管部门制定并公布。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国家支持医疗机构开展临床试验，将临床试验条件和能力评价纳入医疗机构等级评审，鼓励医疗机构开展创新医疗器械临床试验。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第二十七条　第三类医疗器械临床试验对人体具有较高风险的，应当经国务院药品监督管理部门批准。国务院药品监督管理部门审批临床试验，应当对拟承担医疗器械临床试验的机构的设备、专业人员等条件，该医疗器械的风险程度，临床试验实施方案，临床受益与风险对比分析报告等进行综合分析，并自受理申请之日起60个工作日内作出决定并通知临床试验申办者。逾期未通知的，视为同意。准予开展临床试验的，应当通报临床试验机构所在地省、自治区、直辖市人民政府药品监督管理部门和卫生主管部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临床试验对人体具有较高风险的第三类医疗器械目录由国务院药品监督管理部门制定、调整并公布。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第二十八条　开展医疗器械临床试验，应当按照规定进行伦理审查，向受试者告知试验目的、用途和可能产生的风险等详细情况，获得受试者的书面知情同意；受试者为无民事行为能力人或者限制民事行为能力人的，应当依法获得其监护人的书面知情同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开展临床试验，不得以任何形式向受试者收取与临床试验有关的费用。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第二十九条　对正在开展临床试验的用于治疗严重危及生命且尚无有效治疗手段的疾病的医疗器械，经医学观察可能使患者获益，经伦理审查、知情同意后，可以在开展医疗器械临床试验的机构内免费用于其他病情相同的患者，其安全性数据可以用于医疗器械注册申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第三章　医疗器械生产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第三十条　从事医疗器械生产活动，应当具备下列条件：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（一）有与生产的医疗器械相适应的生产场地、环境条件、生产设备以及专业技术人员；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（二）有能对生产的医疗器械进行质量检验的机构或者专职检验人员以及检验设备；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（三）有保证医疗器械质量的管理制度；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（四）有与生产的医疗器械相适应的售后服务能力；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（五）符合产品研制、生产工艺文件规定的要求。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第三十一条　从事第一类医疗器械生产的，应当向所在地设区的市级人民政府负责药品监督管理的部门备案，在提交符合本条例第三十条规定条件的有关资料后即完成备案。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医疗器械备案人自行生产第一类医疗器械的，可以在依照本条例第十五条规定进行产品备案时一并提交符合本条例第三十条规定条件的有关资料，即完成生产备案。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第三十二条　从事第二类、第三类医疗器械生产的，应当向所在地省、自治区、直辖市人民政府药品监督管理部门申请生产许可并提交其符合本条例第三十条规定条件的有关资料以及所生产医疗器械的注册证。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受理生产许可申请的药品监督管理部门应当对申请资料进行审核，按照国务院药品监督管理部门制定的医疗器械生产质量管理规范的要求进行核查，并自受理申请之日起20个工作日内作出决定。对符合规定条件的，准予许可并发给医疗器械生产许可证；对不符合规定条件的，不予许可并书面说明理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医疗器械生产许可证有效期为5年。有效期届满需要延续的，依照有关行政许可的法律规定办理延续手续。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第三十三条　医疗器械生产质量管理规范应当对医疗器械的设计开发、生产设备条件、原材料采购、生产过程控制、产品放行、企业的机构设置和人员配备等影响医疗器械安全、有效的事项作出明确规定。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第三十四条　医疗器械注册人、备案人可以自行生产医疗器械，也可以委托符合本条例规定、具备相应条件的企业生产医疗器械。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委托生产医疗器械的，医疗器械注册人、备案人应当对所委托生产的医疗器械质量负责，并加强对受托生产企业生产行为的管理，保证其按照法定要求进行生产。医疗器械注册人、备案人应当与受托生产企业签订委托协议，明确双方权利、义务和责任。受托生产企业应当依照法律法规、医疗器械生产质量管理规范、强制性标准、产品技术要求和委托协议组织生产，对生产行为负责，并接受委托方的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具有高风险的植入性医疗器械不得委托生产，具体目录由国务院药品监督管理部门制定、调整并公布。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第三十五条　医疗器械注册人、备案人、受托生产企业应当按照医疗器械生产质量管理规范，建立健全与所生产医疗器械相适应的质量管理体系并保证其有效运行；严格按照经注册或者备案的产品技术要求组织生产，保证出厂的医疗器械符合强制性标准以及经注册或者备案的产品技术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医疗器械注册人、备案人、受托生产企业应当定期对质量管理体系的运行情况进行自查，并按照国务院药品监督管理部门的规定提交自查报告。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第三十六条　医疗器械的生产条件发生变化，不再符合医疗器械质量管理体系要求的，医疗器械注册人、备案人、受托生产企业应当立即采取整改措施；可能影响医疗器械安全、有效的，应当立即停止生产活动，并向原生产许可或者生产备案部门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第三十七条　医疗器械应当使用通用名称。通用名称应当符合国务院药品监督管理部门制定的医疗器械命名规则。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第三十八条　国家根据医疗器械产品类别，分步实施医疗器械唯一标识制度，实现医疗器械可追溯，具体办法由国务院药品监督管理部门会同国务院有关部门制定。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第三十九条　医疗器械应当有说明书、标签。说明书、标签的内容应当与经注册或者备案的相关内容一致，确保真实、准确。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医疗器械的说明书、标签应当标明下列事项：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（一）通用名称、型号、规格；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（二）医疗器械注册人、备案人、受托生产企业的名称、地址以及联系方式；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（三）生产日期，使用期限或者失效日期；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（四）产品性能、主要结构、适用范围；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（五）禁忌、注意事项以及其他需要警示或者提示的内容；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（六）安装和使用说明或者图示；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（七）维护和保养方法，特殊运输、贮存的条件、方法；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（八）产品技术要求规定应当标明的其他内容。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第二类、第三类医疗器械还应当标明医疗器械注册证编号。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由消费者个人自行使用的医疗器械还应当具有安全使用的特别说明。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第四章　医疗器械经营与使用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第四十条　从事医疗器械经营活动，应当有与经营规模和经营范围相适应的经营场所和贮存条件，以及与经营的医疗器械相适应的质量管理制度和质量管理机构或者人员。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第四十一条　从事第二类医疗器械经营的，由经营企业向所在地设区的市级人民政府负责药品监督管理的部门备案并提交符合本条例第四十条规定条件的有关资料。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按照国务院药品监督管理部门的规定，对产品安全性、有效性不受流通过程影响的第二类医疗器械，可以免于经营备案。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第四十二条　从事第三类医疗器械经营的，经营企业应当向所在地设区的市级人民政府负责药品监督管理的部门申请经营许可并提交符合本条例第四十条规定条件的有关资料。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受理经营许可申请的负责药品监督管理的部门应当对申请资料进行审查，必要时组织核查，并自受理申请之日起20个工作日内作出决定。对符合规定条件的，准予许可并发给医疗器械经营许可证；对不符合规定条件的，不予许可并书面说明理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医疗器械经营许可证有效期为5年。有效期届满需要延续的，依照有关行政许可的法律规定办理延续手续。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第四十三条　医疗器械注册人、备案人经营其注册、备案的医疗器械，无需办理医疗器械经营许可或者备案，但应当符合本条例规定的经营条件。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第四十四条　从事医疗器械经营，应当依照法律法规和国务院药品监督管理部门制定的医疗器械经营质量管理规范的要求，建立健全与所经营医疗器械相适应的质量管理体系并保证其有效运行。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第四十五条　医疗器械经营企业、使用单位应当从具备合法资质的医疗器械注册人、备案人、生产经营企业购进医疗器械。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购进医疗器械时，应当查验供货者的资质和医疗器械的合格证明文件，建立进货查验记录制度。从事第二类、第三类医疗器械批发业务以及第三类医疗器械零售业务的经营企业，还应当建立销售记录制度。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记录事项包括：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（一）医疗器械的名称、型号、规格、数量；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（二）医疗器械的生产批号、使用期限或者失效日期、销售日期；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（三）医疗器械注册人、备案人和受托生产企业的名称；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（四）供货者或者购货者的名称、地址以及联系方式；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（五）相关许可证明文件编号等。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进货查验记录和销售记录应当真实、准确、完整和可追溯，并按照国务院药品监督管理部门规定的期限予以保存。国家鼓励采用先进技术手段进行记录。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第四十六条　从事医疗器械网络销售的，应当是医疗器械注册人、备案人或者医疗器械经营企业。从事医疗器械网络销售的经营者，应当将从事医疗器械网络销售的相关信息告知所在地设区的市级人民政府负责药品监督管理的部门，经营第一类医疗器械和本条例第四十一条第二款规定的第二类医疗器械的除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为医疗器械网络交易提供服务的电子商务平台经营者应当对入网医疗器械经营者进行实名登记，审查其经营许可、备案情况和所经营医疗器械产品注册、备案情况，并对其经营行为进行管理。电子商务平台经营者发现入网医疗器械经营者有违反本条例规定行为的，应当及时制止并立即报告医疗器械经营者所在地设区的市级人民政府负责药品监督管理的部门；发现严重违法行为的，应当立即停止提供网络交易平台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第四十七条　运输、贮存医疗器械，应当符合医疗器械说明书和标签标示的要求；对温度、湿度等环境条件有特殊要求的，应当采取相应措施，保证医疗器械的安全、有效。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第四十八条　医疗器械使用单位应当有与在用医疗器械品种、数量相适应的贮存场所和条件。医疗器械使用单位应当加强对工作人员的技术培训，按照产品说明书、技术操作规范等要求使用医疗器械。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使用单位配置大型医用设备，应当符合国务院卫生主管部门制定的大型医用设备配置规划，与其功能定位、临床服务需求相适应，具有相应的技术条件、配套设施和具备相应资质、能力的专业技术人员，并经省级以上人民政府卫生主管部门批准，取得大型医用设备配置许可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大型医用设备配置管理办法由国务院卫生主管部门会同国务院有关部门制定。大型医用设备目录由国务院卫生主管部门商国务院有关部门提出，报国务院批准后执行。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第四十九条　医疗器械使用单位对重复使用的医疗器械，应当按照国务院卫生主管部门制定的消毒和管理的规定进行处理。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一次性使用的医疗器械不得重复使用，对使用过的应当按照国家有关规定销毁并记录。一次性使用的医疗器械目录由国务院药品监督管理部门会同国务院卫生主管部门制定、调整并公布。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列入一次性使用的医疗器械目录，应当具有充足的无法重复使用的证据理由。重复使用可以保证安全、有效的医疗器械，不列入一次性使用的医疗器械目录。对因设计、生产工艺、消毒灭菌技术等改进后重复使用可以保证安全、有效的医疗器械，应当调整出一次性使用的医疗器械目录，允许重复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第五十条　医疗器械使用单位对需要定期检查、检验、校准、保养、维护的医疗器械，应当按照产品说明书的要求进行检查、检验、校准、保养、维护并予以记录，及时进行分析、评估，确保医疗器械处于良好状态，保障使用质量；对使用期限长的大型医疗器械，应当逐台建立使用档案，记录其使用、维护、转让、实际使用时间等事项。记录保存期限不得少于医疗器械规定使用期限终止后5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第五十一条　医疗器械使用单位应当妥善保存购入第三类医疗器械的原始资料，并确保信息具有可追溯性。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使用大型医疗器械以及植入和介入类医疗器械的，应当将医疗器械的名称、关键性技术参数等信息以及与使用质量安全密切相关的必要信息记载到病历等相关记录中。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第五十二条　发现使用的医疗器械存在安全隐患的，医疗器械使用单位应当立即停止使用，并通知医疗器械注册人、备案人或者其他负责产品质量的机构进行检修；经检修仍不能达到使用安全标准的医疗器械，不得继续使用。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第五十三条　对国内尚无同品种产品上市的体外诊断试剂，符合条件的医疗机构根据本单位的临床需要，可以自行研制，在执业医师指导下在本单位内使用。具体管理办法由国务院药品监督管理部门会同国务院卫生主管部门制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第五十四条　负责药品监督管理的部门和卫生主管部门依据各自职责，分别对使用环节的医疗器械质量和医疗器械使用行为进行监督管理。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第五十五条　医疗器械经营企业、使用单位不得经营、使用未依法注册或者备案、无合格证明文件以及过期、失效、淘汰的医疗器械。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第五十六条　医疗器械使用单位之间转让在用医疗器械，转让方应当确保所转让的医疗器械安全、有效，不得转让过期、失效、淘汰以及检验不合格的医疗器械。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第五十七条　进口的医疗器械应当是依照本条例第二章的规定已注册或者已备案的医疗器械。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进口的医疗器械应当有中文说明书、中文标签。说明书、标签应当符合本条例规定以及相关强制性标准的要求，并在说明书中载明医疗器械的原产地以及境外医疗器械注册人、备案人指定的我国境内企业法人的名称、地址、联系方式。没有中文说明书、中文标签或者说明书、标签不符合本条规定的，不得进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医疗机构因临床急需进口少量第二类、第三类医疗器械的，经国务院药品监督管理部门或者国务院授权的省、自治区、直辖市人民政府批准，可以进口。进口的医疗器械应当在指定医疗机构内用于特定医疗目的。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禁止进口过期、失效、淘汰等已使用过的医疗器械。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第五十八条　出入境检验检疫机构依法对进口的医疗器械实施检验；检验不合格的，不得进口。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国务院药品监督管理部门应当及时向国家出入境检验检疫部门通报进口医疗器械的注册和备案情况。进口口岸所在地出入境检验检疫机构应当及时向所在地设区的市级人民政府负责药品监督管理的部门通报进口医疗器械的通关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第五十九条　出口医疗器械的企业应当保证其出口的医疗器械符合进口国（地区）的要求。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第六十条　医疗器械广告的内容应当真实合法，以经负责药品监督管理的部门注册或者备案的医疗器械说明书为准，不得含有虚假、夸大、误导性的内容。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发布医疗器械广告，应当在发布前由省、自治区、直辖市人民政府确定的广告审查机关对广告内容进行审查，并取得医疗器械广告批准文号；未经审查，不得发布。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省级以上人民政府药品监督管理部门责令暂停生产、进口、经营和使用的医疗器械，在暂停期间不得发布涉及该医疗器械的广告。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医疗器械广告的审查办法由国务院市场监督管理部门制定。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第五章　不良事件的处理与医疗器械的召回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第六十一条　国家建立医疗器械不良事件监测制度，对医疗器械不良事件及时进行收集、分析、评价、控制。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第六十二条　医疗器械注册人、备案人应当建立医疗器械不良事件监测体系，配备与其产品相适应的不良事件监测机构和人员，对其产品主动开展不良事件监测，并按照国务院药品监督管理部门的规定，向医疗器械不良事件监测技术机构报告调查、分析、评价、产品风险控制等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生产经营企业、使用单位应当协助医疗器械注册人、备案人对所生产经营或者使用的医疗器械开展不良事件监测；发现医疗器械不良事件或者可疑不良事件，应当按照国务院药品监督管理部门的规定，向医疗器械不良事件监测技术机构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其他单位和个人发现医疗器械不良事件或者可疑不良事件，有权向负责药品监督管理的部门或者医疗器械不良事件监测技术机构报告。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第六十三条　国务院药品监督管理部门应当加强医疗器械不良事件监测信息网络建设。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不良事件监测技术机构应当加强医疗器械不良事件信息监测，主动收集不良事件信息；发现不良事件或者接到不良事件报告的，应当及时进行核实，必要时进行调查、分析、评估，向负责药品监督管理的部门和卫生主管部门报告并提出处理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医疗器械不良事件监测技术机构应当公布联系方式，方便医疗器械注册人、备案人、生产经营企业、使用单位等报告医疗器械不良事件。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第六十四条　负责药品监督管理的部门应当根据医疗器械不良事件评估结果及时采取发布警示信息以及责令暂停生产、进口、经营和使用等控制措施。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省级以上人民政府药品监督管理部门应当会同同级卫生主管部门和相关部门组织对引起突发、群发的严重伤害或者死亡的医疗器械不良事件及时进行调查和处理，并组织对同类医疗器械加强监测。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负责药品监督管理的部门应当及时向同级卫生主管部门通报医疗器械使用单位的不良事件监测有关情况。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第六十五条　医疗器械注册人、备案人、生产经营企业、使用单位应当对医疗器械不良事件监测技术机构、负责药品监督管理的部门、卫生主管部门开展的医疗器械不良事件调查予以配合。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第六十六条　有下列情形之一的，医疗器械注册人、备案人应当主动开展已上市医疗器械再评价：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（一）根据科学研究的发展，对医疗器械的安全、有效有认识上的改变；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（二）医疗器械不良事件监测、评估结果表明医疗器械可能存在缺陷；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（三）国务院药品监督管理部门规定的其他情形。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注册人、备案人应当根据再评价结果，采取相应控制措施，对已上市医疗器械进行改进，并按照规定进行注册变更或者备案变更。再评价结果表明已上市医疗器械不能保证安全、有效的，医疗器械注册人、备案人应当主动申请注销医疗器械注册证或者取消备案；医疗器械注册人、备案人未申请注销医疗器械注册证或者取消备案的，由负责药品监督管理的部门注销医疗器械注册证或者取消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省级以上人民政府药品监督管理部门根据医疗器械不良事件监测、评估等情况，对已上市医疗器械开展再评价。再评价结果表明已上市医疗器械不能保证安全、有效的，应当注销医疗器械注册证或者取消备案。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负责药品监督管理的部门应当向社会及时公布注销医疗器械注册证和取消备案情况。被注销医疗器械注册证或者取消备案的医疗器械不得继续生产、进口、经营、使用。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第六十七条　医疗器械注册人、备案人发现生产的医疗器械不符合强制性标准、经注册或者备案的产品技术要求，或者存在其他缺陷的，应当立即停止生产，通知相关经营企业、使用单位和消费者停止经营和使用，召回已经上市销售的医疗器械，采取补救、销毁等措施，记录相关情况，发布相关信息，并将医疗器械召回和处理情况向负责药品监督管理的部门和卫生主管部门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受托生产企业、经营企业发现生产、经营的医疗器械存在前款规定情形的，应当立即停止生产、经营，通知医疗器械注册人、备案人，并记录停止生产、经营和通知情况。医疗器械注册人、备案人认为属于依照前款规定需要召回的医疗器械，应当立即召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医疗器械注册人、备案人、受托生产企业、经营企业未依照本条规定实施召回或者停止生产、经营的，负责药品监督管理的部门可以责令其召回或者停止生产、经营。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第六章　监督检查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第六十八条　国家建立职业化专业化检查员制度，加强对医疗器械的监督检查。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第六十九条　负责药品监督管理的部门应当对医疗器械的研制、生产、经营活动以及使用环节的医疗器械质量加强监督检查，并对下列事项进行重点监督检查：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（一）是否按照经注册或者备案的产品技术要求组织生产；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（二）质量管理体系是否保持有效运行；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（三）生产经营条件是否持续符合法定要求。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必要时，负责药品监督管理的部门可以对为医疗器械研制、生产、经营、使用等活动提供产品或者服务的其他相关单位和个人进行延伸检查。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第七十条　负责药品监督管理的部门在监督检查中有下列职权：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（一）进入现场实施检查、抽取样品；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（二）查阅、复制、查封、扣押有关合同、票据、账簿以及其他有关资料；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（三）查封、扣押不符合法定要求的医疗器械，违法使用的零配件、原材料以及用于违法生产经营医疗器械的工具、设备；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（四）查封违反本条例规定从事医疗器械生产经营活动的场所。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进行监督检查，应当出示执法证件，保守被检查单位的商业秘密。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有关单位和个人应当对监督检查予以配合，提供相关文件和资料，不得隐瞒、拒绝、阻挠。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第七十一条　卫生主管部门应当对医疗机构的医疗器械使用行为加强监督检查。实施监督检查时，可以进入医疗机构，查阅、复制有关档案、记录以及其他有关资料。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第七十二条　医疗器械生产经营过程中存在产品质量安全隐患，未及时采取措施消除的，负责药品监督管理的部门可以采取告诫、责任约谈、责令限期整改等措施。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对人体造成伤害或者有证据证明可能危害人体健康的医疗器械，负责药品监督管理的部门可以采取责令暂停生产、进口、经营、使用的紧急控制措施，并发布安全警示信息。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第七十三条　负责药品监督管理的部门应当加强对医疗器械注册人、备案人、生产经营企业和使用单位生产、经营、使用的医疗器械的抽查检验。抽查检验不得收取检验费和其他任何费用，所需费用纳入本级政府预算。省级以上人民政府药品监督管理部门应当根据抽查检验结论及时发布医疗器械质量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卫生主管部门应当对大型医用设备的使用状况进行监督和评估；发现违规使用以及与大型医用设备相关的过度检查、过度治疗等情形的，应当立即纠正，依法予以处理。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第七十四条　负责药品监督管理的部门未及时发现医疗器械安全系统性风险，未及时消除监督管理区域内医疗器械安全隐患的，本级人民政府或者上级人民政府负责药品监督管理的部门应当对其主要负责人进行约谈。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地方人民政府未履行医疗器械安全职责，未及时消除区域性重大医疗器械安全隐患的，上级人民政府或者上级人民政府负责药品监督管理的部门应当对其主要负责人进行约谈。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被约谈的部门和地方人民政府应当立即采取措施，对医疗器械监督管理工作进行整改。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第七十五条　医疗器械检验机构资质认定工作按照国家有关规定实行统一管理。经国务院认证认可监督管理部门会同国务院药品监督管理部门认定的检验机构，方可对医疗器械实施检验。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负责药品监督管理的部门在执法工作中需要对医疗器械进行检验的，应当委托有资质的医疗器械检验机构进行，并支付相关费用。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当事人对检验结论有异议的，可以自收到检验结论之日起7个工作日内向实施抽样检验的部门或者其上一级负责药品监督管理的部门提出复检申请，由受理复检申请的部门在复检机构名录中随机确定复检机构进行复检。承担复检工作的医疗器械检验机构应当在国务院药品监督管理部门规定的时间内作出复检结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复检结论为最终检验结论。复检机构与初检机构不得为同一机构；相关检验项目只有一家有资质的检验机构的，复检时应当变更承办部门或者人员。复检机构名录由国务院药品监督管理部门公布。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第七十六条　对可能存在有害物质或者擅自改变医疗器械设计、原材料和生产工艺并存在安全隐患的医疗器械，按照医疗器械国家标准、行业标准规定的检验项目和检验方法无法检验的，医疗器械检验机构可以使用国务院药品监督管理部门批准的补充检验项目和检验方法进行检验；使用补充检验项目、检验方法得出的检验结论，可以作为负责药品监督管理的部门认定医疗器械质量的依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第七十七条　市场监督管理部门应当依照有关广告管理的法律、行政法规的规定，对医疗器械广告进行监督检查，查处违法行为。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第七十八条　负责药品监督管理的部门应当通过国务院药品监督管理部门在线政务服务平台依法及时公布医疗器械许可、备案、抽查检验、违法行为查处等日常监督管理信息。但是，不得泄露当事人的商业秘密。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负责药品监督管理的部门建立医疗器械注册人、备案人、生产经营企业、使用单位信用档案，对有不良信用记录的增加监督检查频次，依法加强失信惩戒。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第七十九条　负责药品监督管理的部门等部门应当公布本单位的联系方式，接受咨询、投诉、举报。负责药品监督管理的部门等部门接到与医疗器械监督管理有关的咨询，应当及时答复；接到投诉、举报，应当及时核实、处理、答复。对咨询、投诉、举报情况及其答复、核实、处理情况，应当予以记录、保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有关医疗器械研制、生产、经营、使用行为的举报经调查属实的，负责药品监督管理的部门等部门对举报人应当给予奖励。有关部门应当为举报人保密。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第八十条　国务院药品监督管理部门制定、调整、修改本条例规定的目录以及与医疗器械监督管理有关的规范，应当公开征求意见；采取听证会、论证会等形式，听取专家、医疗器械注册人、备案人、生产经营企业、使用单位、消费者、行业协会以及相关组织等方面的意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第七章　法律责任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第八十一条　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（一）生产、经营未取得医疗器械注册证的第二类、第三类医疗器械；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（二）未经许可从事第二类、第三类医疗器械生产活动；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（三）未经许可从事第三类医疗器械经营活动。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有前款第一项情形、情节严重的，由原发证部门吊销医疗器械生产许可证或者医疗器械经营许可证。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第八十二条　未经许可擅自配置使用大型医用设备的，由县级以上人民政府卫生主管部门责令停止使用，给予警告，没收违法所得；违法所得不足1万元的，并处5万元以上10万元以下罚款；违法所得1万元以上的，并处违法所得10倍以上30倍以下罚款；情节严重的，5年内不受理相关责任人以及单位提出的大型医用设备配置许可申请，对违法单位的法定代表人、主要负责人、直接负责的主管人员和其他责任人员，没收违法行为发生期间自本单位所获收入，并处所获收入30%以上3倍以下罚款，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第八十三条　在申请医疗器械行政许可时提供虚假资料或者采取其他欺骗手段的，不予行政许可，已经取得行政许可的，由作出行政许可决定的部门撤销行政许可，没收违法所得、违法生产经营使用的医疗器械，10年内不受理相关责任人以及单位提出的医疗器械许可申请；违法生产经营使用的医疗器械货值金额不足1万元的，并处5万元以上15万元以下罚款；货值金额1万元以上的，并处货值金额15倍以上30倍以下罚款；情节严重的，责令停产停业，对违法单位的法定代表人、主要负责人、直接负责的主管人员和其他责任人员，没收违法行为发生期间自本单位所获收入，并处所获收入30%以上3倍以下罚款，终身禁止其从事医疗器械生产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第八十四条　有下列情形之一的，由负责药品监督管理的部门向社会公告单位和产品名称，责令限期改正；逾期不改正的，没收违法所得、违法生产经营的医疗器械；违法生产经营的医疗器械货值金额不足1万元的，并处1万元以上5万元以下罚款；货值金额1万元以上的，并处货值金额5倍以上20倍以下罚款；情节严重的，对违法单位的法定代表人、主要负责人、直接负责的主管人员和其他责任人员，没收违法行为发生期间自本单位所获收入，并处所获收入30%以上2倍以下罚款，5年内禁止其从事医疗器械生产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（一）生产、经营未经备案的第一类医疗器械；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（二）未经备案从事第一类医疗器械生产；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（三）经营第二类医疗器械，应当备案但未备案；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（四）已经备案的资料不符合要求。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第八十五条　备案时提供虚假资料的，由负责药品监督管理的部门向社会公告备案单位和产品名称，没收违法所得、违法生产经营的医疗器械；违法生产经营的医疗器械货值金额不足1万元的，并处2万元以上5万元以下罚款；货值金额1万元以上的，并处货值金额5倍以上20倍以下罚款；情节严重的，责令停产停业，对违法单位的法定代表人、主要负责人、直接负责的主管人员和其他责任人员，没收违法行为发生期间自本单位所获收入，并处所获收入30%以上3倍以下罚款，10年内禁止其从事医疗器械生产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（一）生产、经营、使用不符合强制性标准或者不符合经注册或者备案的产品技术要求的医疗器械；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（二）未按照经注册或者备案的产品技术要求组织生产，或者未依照本条例规定建立质量管理体系并保持有效运行，影响产品安全、有效；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（三）经营、使用无合格证明文件、过期、失效、淘汰的医疗器械，或者使用未依法注册的医疗器械；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（四）在负责药品监督管理的部门责令召回后仍拒不召回，或者在负责药品监督管理的部门责令停止或者暂停生产、进口、经营后，仍拒不停止生产、进口、经营医疗器械；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（五）委托不具备本条例规定条件的企业生产医疗器械，或者未对受托生产企业的生产行为进行管理；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（六）进口过期、失效、淘汰等已使用过的医疗器械。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第八十七条　医疗器械经营企业、使用单位履行了本条例规定的进货查验等义务，有充分证据证明其不知道所经营、使用的医疗器械为本条例第八十一条第一款第一项、第八十四条第一项、第八十六条第一项和第三项规定情形的医疗器械，并能如实说明其进货来源的，收缴其经营、使用的不符合法定要求的医疗器械，可以免除行政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第八十八条　有下列情形之一的，由负责药品监督管理的部门责令改正，处1万元以上5万元以下罚款；拒不改正的，处5万元以上10万元以下罚款；情节严重的，责令停产停业，直至由原发证部门吊销医疗器械生产许可证、医疗器械经营许可证，对违法单位的法定代表人、主要负责人、直接负责的主管人员和其他责任人员，没收违法行为发生期间自本单位所获收入，并处所获收入30%以上2倍以下罚款，5年内禁止其从事医疗器械生产经营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（一）生产条件发生变化、不再符合医疗器械质量管理体系要求，未依照本条例规定整改、停止生产、报告；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（二）生产、经营说明书、标签不符合本条例规定的医疗器械；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（三）未按照医疗器械说明书和标签标示要求运输、贮存医疗器械；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（四）转让过期、失效、淘汰或者检验不合格的在用医疗器械。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第八十九条　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（一）未按照要求提交质量管理体系自查报告；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（二）从不具备合法资质的供货者购进医疗器械；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（三）医疗器械经营企业、使用单位未依照本条例规定建立并执行医疗器械进货查验记录制度；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（四）从事第二类、第三类医疗器械批发业务以及第三类医疗器械零售业务的经营企业未依照本条例规定建立并执行销售记录制度；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医疗器械注册人、备案人、生产经营企业、使用单位未依照本条例规定开展医疗器械不良事件监测，未按照要求报告不良事件，或者对医疗器械不良事件监测技术机构、负责药品监督管理的部门、卫生主管部门开展的不良事件调查不予配合；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（六）医疗器械注册人、备案人未按照规定制定上市后研究和风险管控计划并保证有效实施；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（七）医疗器械注册人、备案人未按照规定建立并执行产品追溯制度；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（八）医疗器械注册人、备案人、经营企业从事医疗器械网络销售未按照规定告知负责药品监督管理的部门；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（九）对需要定期检查、检验、校准、保养、维护的医疗器械，医疗器械使用单位未按照产品说明书要求进行检查、检验、校准、保养、维护并予以记录，及时进行分析、评估，确保医疗器械处于良好状态；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（十）医疗器械使用单位未妥善保存购入第三类医疗器械的原始资料。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第九十条　有下列情形之一的，由县级以上人民政府卫生主管部门责令改正，给予警告；拒不改正的，处5万元以上10万元以下罚款；情节严重的，处10万元以上30 万元以下罚款，责令暂停相关医疗器械使用活动，直至由原发证部门吊销执业许可证，依法责令相关责任人员暂停6个月以上1年以下执业活动，直至由原发证部门吊销相关人员执业证书，对违法单位的法定代表人、主要负责人、直接负责的主管人员和其他责任人员，没收违法行为发生期间自本单位所获收入，并处所获收入 30%以上3倍以下罚款，依法给予处分：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（一）对重复使用的医疗器械，医疗器械使用单位未按照消毒和管理的规定进行处理；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（二）医疗器械使用单位重复使用一次性使用的医疗器械，或者未按照规定销毁使用过的一次性使用的医疗器械；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（三）医疗器械使用单位未按照规定将大型医疗器械以及植入和介入类医疗器械的信息记载到病历等相关记录中；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（四）医疗器械使用单位发现使用的医疗器械存在安全隐患未立即停止使用、通知检修，或者继续使用经检修仍不能达到使用安全标准的医疗器梳；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（五）医疗器械使用单位违规使用大型医用设备，不能保障医疗质量安全。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第九十一条　违反进出口商品检验相关法律、行政法规进口医疗器械的，由出入境检验检疫机构依法处理。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第九十二条　为医疗器械网络交易提供服务的电子商务平台经营者违反本条例规定，未履行对入网医疗器械经营者进行实名登记，审查许可、注册、备案情况，制止并报告违法行为，停止提供网络交易平台服务等管理义务的，由负责药品监督管理的部门依照（中华人民共和国电子商务法》的规定给予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第九十三条　未进行医疗器临床试验机构备案开展临床试验的，由负责药品监督管理的部门责令停止临床试验并改正：拒不改正的，该临床试验数据不得用于产品注册、备案，处5万元以上10万元以下罚款，并向社会公告；造成严重后果的，5年内禁止其开展相关专业医疗器械临床试验，并处10万元以上30万元以下罚款，由卫生主管部门对违法单位的法定代表人、主要负责人、直接负责的主管人员和其他责任人员，没收违法行为发生期间自本单位所获收入，并处所获收入30%以上3倍以下罚款，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临床试验申办者开展临床试验未经备案的，由负责药品监督管理的部门责令停止临床试验，对临床试验申办者处5万元以上10万元以下罚款，并向社会公告；造成严重后果的，处10万元以上30万元以下罚款。该临床试验数据不得用于产品注册、备案，5年内不受理相关责人以及单位提出的医疗器械注册申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临床试验申办者未经批准开展对人体具有较高风险的第三类医疗器械临床试验的，由负责药品监督管理的部门责令立即停止临床试验，对临床试验申办者处10万元以上30万元以下罚款，并向社会公告；造成严重后果的，处30万元以上100万元以下罚款。该临床试验数据不得用于产品注册，10年内不受理相关责任人以及单位提出的医疗器临床试验和注册申请，对违法单位的法定代表人、主要负责人、直接负责的主管人员和其他责任人员，没收违法行为发生期间自本单位所获收入，并处所获收入30%以上3倍以下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第九十四条　医疗器临床试验机构开展医疗器械临床试验未道守临床试验质量管理规范的，由负责药品监督管理的部门责令改正或者立即停止临床试验，处5万元以上10万元以下罚款；造成严重后果的，5年内禁止其开展相关专业医疗器械临床试验，由卫生主管部门对违法单位的法定代表人、主要负责人、直接负责的主管人员和其他责任人员，没收违法行为发生期间自本单位所获收入，并处所获收入30%以上3倍以下罚款，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第九十五条　医疗器械临床试验机构出具虚假报告的，由负责药品监督管理的部门处10万元以上30万元以下罚款；有违法所得的，没收违法所得；10年内禁止其开展相关专业医疗器临床试验；由卫生主管部门对违法单位的法定代表人、主要负责人、直接负责的主管人员和其他责任人员，没收违法行为发生期间自本单位所获收入，并处所获收入30%以上3倍以下罚款，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第九十六条　医疗器械检验机构出具虚假检验报告的，由授予其资质的主管部门撤销检验资质，10年内不受理相关责任人以及单位提出的资质认定申请，并处10万元以上30万元以下罚款；有违法所得的，没收违法所得；对违法单位的法定代表人、主要负责人、直接负责的主管人员和其他责任人员，没收违法行为发生期间自本单位所获收入，并处所获收入30%以上3倍以下罚款，依法给予处分；受到开除处分的，10年内禁止其从事医疗器械检验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第九十七条　违反本条例有关医疗器械广告管理规定的，依照《中华人民共和国广告法》的规定给予处罚。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第九十八条　境外医疗器械注册人、备案人指定的我国境内企业法人未依照本条例规定履行相关义务的，由省、自治区、直辖市人民政府药品监督管理部门责令改正，给予警告，并处5万元以上10万元以下罚款；情节严重的，处10万元以上50万元以下罚款，5年内禁止其法定代表人、主要负责人、直接负责的主管人员和其他责任人员从事医疗器械生产经菅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境外医疗器械注册人、备案人拒不履行依据本条例作出的行政处罚决定的，10年内禁止其医疗器械进口。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第九十九条　医疗器械研制、生产、经营单位和检验机构违反本条例规定使用禁止从事医疗器械生产经营活动、检验工作的人员的，由负责药品监督管理的部门责令改正，给予警告；拒不改正的，责令停产停业直至吊销许可证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第一百条　医疗器械技术审评机构、医疗器械不良事件监测技术机构未依照本条例规定履行职责，致使审评、监测工作出现重大失误的，由负责药品监督管理的部门责令改正，通报批评，给予警告；造成严重后果的，对违法单位的法定代表人、主要负责人、直接负责的主管人员和其他责任人员，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第一百零一条　负责药品监督管理的部门或者其他有关部门工作人员违反本条例规定，滥用职权、玩忽职守、徇私舞弊的，依法给予处分。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第一百零二条　违反本条例规定，构成犯罪的，依法追究刑事责任；造成人身、财产或者其他损害的，依法承担赔偿责任。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i w:val="0"/>
          <w:caps w:val="0"/>
          <w:color w:val="333333"/>
          <w:spacing w:val="8"/>
          <w:kern w:val="0"/>
          <w:sz w:val="24"/>
          <w:szCs w:val="24"/>
          <w:shd w:val="clear" w:fill="FFFFFF"/>
          <w:lang w:val="en-US" w:eastAsia="zh-CN" w:bidi="ar"/>
        </w:rPr>
        <w:t>第八章　附则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5"/>
          <w:szCs w:val="25"/>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4"/>
          <w:szCs w:val="24"/>
          <w:shd w:val="clear" w:fill="FFFFFF"/>
          <w:lang w:val="en-US" w:eastAsia="zh-CN" w:bidi="ar"/>
        </w:rPr>
        <w:t>　　</w:t>
      </w: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第一百零三条　本条例下列用语的含义：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是指直接或者间接用于人体的仪器、设备、器具、体外诊试剂及校准物、材料以及其他类似或者相关的物品，包括所需要的计算机软件；其效用主要通过物理等方式获得，不是通过药理学、免疫学或者代谢的方式获得，或者虽然有这些方式参与但是只起辅助作用；其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（一）疾病的诊断、预防、监护、治疗或者缓解；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（二）损伤的诊断、监护、治疗、缓解或者功能补偿；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（三）生理结构或者生理过程的检验、替代、调节或者支持；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（四）生命的支持或者维持；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（五）妊娠控制；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（六）通过对来自人体的样本进行检查，为医疗或者诊断目的提供信息。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医疗器械注册人、备案人，是指取得医疗器械注册证或者办理医疗器械备案的企业或者研制机构。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医疗器械使用单位，是指使用医疗器械为他人提供医疗等技术服务的机构，包括医疗机构、计划生育技术服务机构、血站、单采血浆站、康复辅助器具适配机构等。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大型医用设备，是指使用技术复杂、资金投入量大、运行成本高、对医疗费用影响大且纳入目录管理的大型医疗器梳。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第一百零四条　医疗器械产品注册可以收取费用。具体收费项目、标准分别由国务院财政、价格主管部门按照国家有关规定制定。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第一百零五条　医疗卫生机构为应对突发公共卫生事件而研制的医疗器械的管理办法，由国务院药品监督管理部门会同国务院卫生主管部门制定。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从事非营利的避孕医疗器械的存储、调拨和供应，应当遵守国务院卫生主管部门会同国务院药品监督管理部门制定的管理办法。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中医医疗器械的技术指导原则，由国务院药品监管理部门会同国务院中医药管理部门制定。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第一百零六条　军队医疗器械使用的监管理，依照本条例和军队有关规定执行。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第一百零七条　本条例自2021年6月1日起施行。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r>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8"/>
          <w:kern w:val="0"/>
          <w:sz w:val="22"/>
          <w:szCs w:val="22"/>
          <w:shd w:val="clear" w:fill="FFFFFF"/>
          <w:lang w:val="en-US" w:eastAsia="zh-CN" w:bidi="ar"/>
        </w:rPr>
      </w:pPr>
    </w:p>
    <w:sectPr>
      <w:footerReference r:id="rId3"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iti SC Light">
    <w:altName w:val="Arial Unicode MS"/>
    <w:panose1 w:val="00000000000000000000"/>
    <w:charset w:val="50"/>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Microsoft YaHei UI">
    <w:panose1 w:val="020B0503020204020204"/>
    <w:charset w:val="86"/>
    <w:family w:val="auto"/>
    <w:pitch w:val="default"/>
    <w:sig w:usb0="80000287" w:usb1="28C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6"/>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112951"/>
    <w:multiLevelType w:val="multilevel"/>
    <w:tmpl w:val="64112951"/>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
    <w:nsid w:val="74785F03"/>
    <w:multiLevelType w:val="multilevel"/>
    <w:tmpl w:val="74785F0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8A31CBC"/>
    <w:rsid w:val="09D05DEC"/>
    <w:rsid w:val="09F63639"/>
    <w:rsid w:val="11951C6C"/>
    <w:rsid w:val="17744A6A"/>
    <w:rsid w:val="1CD1367D"/>
    <w:rsid w:val="226D27CD"/>
    <w:rsid w:val="2FAF3271"/>
    <w:rsid w:val="2FE52C0C"/>
    <w:rsid w:val="4B782949"/>
    <w:rsid w:val="4BDD0A4C"/>
    <w:rsid w:val="53E14797"/>
    <w:rsid w:val="594A6F4C"/>
    <w:rsid w:val="5B897A39"/>
    <w:rsid w:val="5EDC6BF2"/>
    <w:rsid w:val="5F18231B"/>
    <w:rsid w:val="60723523"/>
    <w:rsid w:val="61A85346"/>
    <w:rsid w:val="68DA2FED"/>
    <w:rsid w:val="71C85B07"/>
    <w:rsid w:val="72D4487B"/>
    <w:rsid w:val="77006B5D"/>
    <w:rsid w:val="78263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rules v:ext="edit">
        <o:r id="V:Rule1" type="connector" idref="#Straight Connector 2"/>
        <o:r id="V:Rule2" type="connector" idref="#Straight Connector 4"/>
        <o:r id="V:Rule3" type="connector" idref="#Straight Connector 5"/>
        <o:r id="V:Rule4" type="connector" idref="#Straight Connector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2"/>
    <w:qFormat/>
    <w:uiPriority w:val="9"/>
    <w:pPr>
      <w:widowControl/>
      <w:spacing w:before="100" w:beforeAutospacing="1" w:after="100" w:afterAutospacing="1"/>
      <w:jc w:val="left"/>
      <w:outlineLvl w:val="1"/>
    </w:pPr>
    <w:rPr>
      <w:rFonts w:ascii="宋体" w:hAnsi="宋体" w:cs="宋体"/>
      <w:kern w:val="0"/>
      <w:sz w:val="36"/>
      <w:szCs w:val="36"/>
    </w:rPr>
  </w:style>
  <w:style w:type="paragraph" w:styleId="3">
    <w:name w:val="heading 4"/>
    <w:basedOn w:val="1"/>
    <w:next w:val="1"/>
    <w:link w:val="23"/>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33"/>
    <w:semiHidden/>
    <w:unhideWhenUsed/>
    <w:qFormat/>
    <w:uiPriority w:val="0"/>
    <w:pPr>
      <w:ind w:left="100" w:leftChars="2500"/>
    </w:pPr>
  </w:style>
  <w:style w:type="paragraph" w:styleId="5">
    <w:name w:val="Balloon Text"/>
    <w:basedOn w:val="1"/>
    <w:link w:val="15"/>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Strong"/>
    <w:basedOn w:val="11"/>
    <w:qFormat/>
    <w:uiPriority w:val="22"/>
    <w:rPr>
      <w:b/>
      <w:bCs/>
    </w:rPr>
  </w:style>
  <w:style w:type="character" w:styleId="13">
    <w:name w:val="Emphasis"/>
    <w:basedOn w:val="11"/>
    <w:qFormat/>
    <w:uiPriority w:val="20"/>
    <w:rPr>
      <w:i/>
      <w:iCs/>
    </w:rPr>
  </w:style>
  <w:style w:type="character" w:styleId="14">
    <w:name w:val="Hyperlink"/>
    <w:basedOn w:val="11"/>
    <w:unhideWhenUsed/>
    <w:qFormat/>
    <w:uiPriority w:val="99"/>
    <w:rPr>
      <w:color w:val="0000FF"/>
      <w:u w:val="single"/>
    </w:rPr>
  </w:style>
  <w:style w:type="character" w:customStyle="1" w:styleId="15">
    <w:name w:val="批注框文本 Char"/>
    <w:basedOn w:val="11"/>
    <w:link w:val="5"/>
    <w:semiHidden/>
    <w:qFormat/>
    <w:uiPriority w:val="99"/>
    <w:rPr>
      <w:sz w:val="18"/>
      <w:szCs w:val="18"/>
    </w:rPr>
  </w:style>
  <w:style w:type="character" w:customStyle="1" w:styleId="16">
    <w:name w:val="页眉 Char"/>
    <w:basedOn w:val="11"/>
    <w:link w:val="7"/>
    <w:semiHidden/>
    <w:qFormat/>
    <w:uiPriority w:val="99"/>
    <w:rPr>
      <w:sz w:val="18"/>
      <w:szCs w:val="18"/>
    </w:rPr>
  </w:style>
  <w:style w:type="character" w:customStyle="1" w:styleId="17">
    <w:name w:val="页脚 Char"/>
    <w:basedOn w:val="11"/>
    <w:link w:val="6"/>
    <w:qFormat/>
    <w:uiPriority w:val="99"/>
    <w:rPr>
      <w:sz w:val="18"/>
      <w:szCs w:val="18"/>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rFonts w:asciiTheme="minorHAnsi" w:hAnsiTheme="minorHAnsi" w:eastAsiaTheme="minorEastAsia" w:cstheme="minorBidi"/>
      <w:sz w:val="22"/>
      <w:szCs w:val="22"/>
    </w:rPr>
  </w:style>
  <w:style w:type="paragraph" w:styleId="20">
    <w:name w:val="List Paragraph"/>
    <w:basedOn w:val="1"/>
    <w:unhideWhenUsed/>
    <w:qFormat/>
    <w:uiPriority w:val="34"/>
    <w:pPr>
      <w:ind w:firstLine="420" w:firstLineChars="200"/>
    </w:pPr>
  </w:style>
  <w:style w:type="paragraph" w:customStyle="1" w:styleId="21">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2">
    <w:name w:val="标题 2 Char"/>
    <w:basedOn w:val="11"/>
    <w:link w:val="2"/>
    <w:qFormat/>
    <w:uiPriority w:val="9"/>
    <w:rPr>
      <w:rFonts w:ascii="宋体" w:hAnsi="宋体" w:cs="宋体"/>
      <w:sz w:val="36"/>
      <w:szCs w:val="36"/>
    </w:rPr>
  </w:style>
  <w:style w:type="character" w:customStyle="1" w:styleId="23">
    <w:name w:val="标题 4 Char"/>
    <w:basedOn w:val="11"/>
    <w:link w:val="3"/>
    <w:qFormat/>
    <w:uiPriority w:val="9"/>
    <w:rPr>
      <w:rFonts w:ascii="宋体" w:hAnsi="宋体" w:cs="宋体"/>
      <w:sz w:val="24"/>
      <w:szCs w:val="24"/>
    </w:rPr>
  </w:style>
  <w:style w:type="paragraph" w:customStyle="1" w:styleId="24">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5">
    <w:name w:val="articlel"/>
    <w:basedOn w:val="11"/>
    <w:qFormat/>
    <w:uiPriority w:val="0"/>
  </w:style>
  <w:style w:type="character" w:customStyle="1" w:styleId="26">
    <w:name w:val="articler"/>
    <w:basedOn w:val="11"/>
    <w:qFormat/>
    <w:uiPriority w:val="0"/>
  </w:style>
  <w:style w:type="paragraph" w:customStyle="1" w:styleId="27">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8">
    <w:name w:val="rich_media_meta1"/>
    <w:basedOn w:val="11"/>
    <w:qFormat/>
    <w:uiPriority w:val="0"/>
    <w:rPr>
      <w:sz w:val="24"/>
      <w:szCs w:val="24"/>
    </w:rPr>
  </w:style>
  <w:style w:type="character" w:customStyle="1" w:styleId="29">
    <w:name w:val="profile_meta_value1"/>
    <w:basedOn w:val="11"/>
    <w:qFormat/>
    <w:uiPriority w:val="0"/>
    <w:rPr>
      <w:color w:val="ADADAD"/>
    </w:rPr>
  </w:style>
  <w:style w:type="character" w:customStyle="1" w:styleId="30">
    <w:name w:val="apple-converted-space"/>
    <w:basedOn w:val="11"/>
    <w:qFormat/>
    <w:uiPriority w:val="0"/>
  </w:style>
  <w:style w:type="character" w:customStyle="1" w:styleId="31">
    <w:name w:val="rich_media_meta"/>
    <w:basedOn w:val="11"/>
    <w:qFormat/>
    <w:uiPriority w:val="0"/>
  </w:style>
  <w:style w:type="character" w:customStyle="1" w:styleId="32">
    <w:name w:val="blue"/>
    <w:basedOn w:val="11"/>
    <w:qFormat/>
    <w:uiPriority w:val="0"/>
  </w:style>
  <w:style w:type="character" w:customStyle="1" w:styleId="33">
    <w:name w:val="日期 Char"/>
    <w:basedOn w:val="11"/>
    <w:link w:val="4"/>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GIF"/><Relationship Id="rId7" Type="http://schemas.openxmlformats.org/officeDocument/2006/relationships/image" Target="../NUL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3"/>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Pages>
  <Words>2181</Words>
  <Characters>12432</Characters>
  <Lines>1</Lines>
  <Paragraphs>1</Paragraphs>
  <TotalTime>32</TotalTime>
  <ScaleCrop>false</ScaleCrop>
  <LinksUpToDate>false</LinksUpToDate>
  <CharactersWithSpaces>14584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Administrator</cp:lastModifiedBy>
  <cp:lastPrinted>2018-09-29T05:55:00Z</cp:lastPrinted>
  <dcterms:modified xsi:type="dcterms:W3CDTF">2021-03-29T07:57:41Z</dcterms:modified>
  <dc:subject>2015年7月29日</dc:subject>
  <dc:title>2015年第一期</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7EB6DB202D15400ABD3B585EBF018C2B</vt:lpwstr>
  </property>
</Properties>
</file>