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1"/>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20"/>
                  <w:rPr>
                    <w:color w:val="4F81BD" w:themeColor="accent1"/>
                  </w:rPr>
                </w:pPr>
              </w:p>
              <w:p>
                <w:pPr>
                  <w:pStyle w:val="20"/>
                  <w:rPr>
                    <w:color w:val="4F81BD" w:themeColor="accent1"/>
                  </w:rPr>
                </w:pPr>
              </w:p>
              <w:p>
                <w:pPr>
                  <w:pStyle w:val="20"/>
                  <w:rPr>
                    <w:color w:val="4F81BD" w:themeColor="accent1"/>
                  </w:rPr>
                </w:pPr>
              </w:p>
              <w:p>
                <w:pPr>
                  <w:pStyle w:val="20"/>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年第</w:t>
          </w:r>
          <w:r>
            <w:rPr>
              <w:rFonts w:hint="eastAsia" w:ascii="Heiti SC Light" w:eastAsia="Heiti SC Light"/>
              <w:color w:val="FFFFFF"/>
              <w:sz w:val="32"/>
              <w:szCs w:val="32"/>
              <w:lang w:val="en-US" w:eastAsia="zh-CN"/>
            </w:rPr>
            <w:t>1</w:t>
          </w:r>
          <w:r>
            <w:rPr>
              <w:rFonts w:hint="eastAsia" w:ascii="Heiti SC Light" w:eastAsia="Heiti SC Light"/>
              <w:color w:val="FFFFFF"/>
              <w:sz w:val="32"/>
              <w:szCs w:val="32"/>
            </w:rPr>
            <w:t>期） 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w:t>
          </w:r>
          <w:r>
            <w:rPr>
              <w:rFonts w:hint="eastAsia" w:ascii="Heiti SC Light" w:eastAsia="Heiti SC Light"/>
              <w:color w:val="FFFFFF"/>
              <w:sz w:val="32"/>
              <w:szCs w:val="32"/>
              <w:lang w:val="en-US" w:eastAsia="zh-CN"/>
            </w:rPr>
            <w:t>1</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5</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3" o:spid="_x0000_s1033" o:spt="32" type="#_x0000_t32" style="position:absolute;left:0pt;margin-left:102pt;margin-top:0.8pt;height:629.65pt;width:1.75pt;z-index:251660288;mso-width-relative:page;mso-height-relative:page;" filled="f" stroked="t" coordsize="21600,21600">
            <v:path arrowok="t"/>
            <v:fill on="f" focussize="0,0"/>
            <v:stroke weight="2.5pt" color="#548DD4"/>
            <v:imagedata o:title=""/>
            <o:lock v:ext="edit" aspectratio="f"/>
          </v:shape>
        </w:pict>
      </w:r>
      <w:r>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20pt;width:331.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v:imagedata o:title=""/>
            <o:lock v:ext="edit" aspectratio="f"/>
            <v:textbox>
              <w:txbxContent>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1. 2021年医药健康产业政策大盘点</w:t>
                  </w:r>
                </w:p>
                <w:p>
                  <w:pPr>
                    <w:rPr>
                      <w:b/>
                      <w:sz w:val="36"/>
                      <w:szCs w:val="36"/>
                    </w:rPr>
                  </w:pPr>
                </w:p>
                <w:p>
                  <w:pPr>
                    <w:rPr>
                      <w:rFonts w:hint="eastAsia" w:ascii="宋体" w:hAnsi="宋体" w:eastAsia="宋体" w:cs="宋体"/>
                      <w:b/>
                      <w:bCs/>
                      <w:kern w:val="0"/>
                      <w:sz w:val="33"/>
                      <w:szCs w:val="33"/>
                      <w:lang w:val="en-US" w:eastAsia="zh-CN" w:bidi="ar-SA"/>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2. 新版基药目录调整最新进展来了！</w:t>
                  </w:r>
                </w:p>
                <w:p>
                  <w:pPr>
                    <w:rPr>
                      <w:rFonts w:hint="eastAsia" w:ascii="宋体" w:hAnsi="宋体" w:eastAsia="宋体" w:cs="宋体"/>
                      <w:b/>
                      <w:bCs/>
                      <w:kern w:val="0"/>
                      <w:sz w:val="33"/>
                      <w:szCs w:val="33"/>
                      <w:lang w:val="en-US" w:eastAsia="zh-CN" w:bidi="ar-SA"/>
                    </w:rPr>
                  </w:pPr>
                </w:p>
                <w:p>
                  <w:pPr>
                    <w:rPr>
                      <w:b/>
                      <w:sz w:val="36"/>
                      <w:szCs w:val="36"/>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3. 重磅！第七批国采正式开始，涉58个大品种（附文件下载）</w:t>
                  </w:r>
                </w:p>
                <w:p>
                  <w:pPr>
                    <w:rPr>
                      <w:b/>
                      <w:sz w:val="36"/>
                      <w:szCs w:val="36"/>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4.275个国谈大品种，利好消息公布（附名单）</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5.多家连锁药店，门店将破万</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v:textbox>
          </v:shape>
        </w:pict>
      </w:r>
      <w:r>
        <w:pict>
          <v:shape id="文本框 11" o:spid="_x0000_s1027" o:spt="202" type="#_x0000_t202" style="position:absolute;left:0pt;margin-left:-62.1pt;margin-top:3.15pt;height:251.25pt;width:156.1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1</w:t>
                  </w:r>
                  <w:r>
                    <w:rPr>
                      <w:rFonts w:hint="eastAsia"/>
                      <w:b/>
                      <w:sz w:val="36"/>
                      <w:szCs w:val="36"/>
                    </w:rPr>
                    <w:t>月第</w:t>
                  </w:r>
                  <w:r>
                    <w:rPr>
                      <w:rFonts w:hint="eastAsia"/>
                      <w:b/>
                      <w:sz w:val="36"/>
                      <w:szCs w:val="36"/>
                      <w:lang w:val="en-US" w:eastAsia="zh-CN"/>
                    </w:rPr>
                    <w:t>1</w:t>
                  </w:r>
                  <w:r>
                    <w:rPr>
                      <w:rFonts w:hint="eastAsia"/>
                      <w:b/>
                      <w:sz w:val="36"/>
                      <w:szCs w:val="36"/>
                    </w:rPr>
                    <w:t>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2</w:t>
                  </w:r>
                  <w:r>
                    <w:rPr>
                      <w:rFonts w:hint="eastAsia"/>
                      <w:sz w:val="44"/>
                      <w:szCs w:val="44"/>
                    </w:rPr>
                    <w:t>.</w:t>
                  </w:r>
                  <w:r>
                    <w:rPr>
                      <w:rFonts w:hint="eastAsia"/>
                      <w:sz w:val="44"/>
                      <w:szCs w:val="44"/>
                      <w:lang w:val="en-US" w:eastAsia="zh-CN"/>
                    </w:rPr>
                    <w:t>1</w:t>
                  </w:r>
                  <w:r>
                    <w:rPr>
                      <w:rFonts w:hint="eastAsia"/>
                      <w:sz w:val="44"/>
                      <w:szCs w:val="44"/>
                    </w:rPr>
                    <w:t>.2</w:t>
                  </w:r>
                  <w:r>
                    <w:rPr>
                      <w:rFonts w:hint="eastAsia"/>
                      <w:sz w:val="44"/>
                      <w:szCs w:val="44"/>
                      <w:lang w:val="en-US" w:eastAsia="zh-CN"/>
                    </w:rPr>
                    <w:t>5</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3.7pt;margin-top:3.85pt;height:201.75pt;width:133.5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总  编  朱卫东副总编  李厚佳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79.4pt;margin-top:68.05pt;height:0.05pt;width:534pt;z-index:251661312;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p>
    <w:p>
      <w:pPr>
        <w:tabs>
          <w:tab w:val="left" w:pos="5245"/>
        </w:tabs>
      </w:pPr>
    </w:p>
    <w:p>
      <w:pPr>
        <w:tabs>
          <w:tab w:val="left" w:pos="5245"/>
        </w:tabs>
      </w:pPr>
      <w:r>
        <w:rPr>
          <w:rFonts w:hint="eastAsia"/>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cs="宋体" w:asciiTheme="minorEastAsia" w:hAnsiTheme="minorEastAsia" w:eastAsiaTheme="minorEastAsia"/>
                <w:b/>
                <w:color w:val="000000"/>
                <w:kern w:val="0"/>
                <w:sz w:val="32"/>
                <w:szCs w:val="32"/>
              </w:rPr>
            </w:pPr>
            <w:r>
              <w:rPr>
                <w:rFonts w:hint="eastAsia" w:cs="宋体" w:asciiTheme="minorEastAsia" w:hAnsiTheme="minorEastAsia" w:eastAsiaTheme="minorEastAsia"/>
                <w:b/>
                <w:color w:val="000000"/>
                <w:kern w:val="0"/>
                <w:sz w:val="32"/>
                <w:szCs w:val="32"/>
              </w:rPr>
              <w:t>2021年医药健康产业政策大盘点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22</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tcPr>
          <w:p>
            <w:pPr>
              <w:tabs>
                <w:tab w:val="left" w:pos="7088"/>
              </w:tabs>
              <w:jc w:val="center"/>
              <w:rPr>
                <w:b/>
                <w:sz w:val="28"/>
                <w:szCs w:val="28"/>
              </w:rPr>
            </w:pPr>
            <w:r>
              <w:rPr>
                <w:rFonts w:hint="eastAsia"/>
                <w:b/>
                <w:sz w:val="30"/>
                <w:szCs w:val="30"/>
              </w:rPr>
              <w:t>信息确认</w:t>
            </w:r>
          </w:p>
        </w:tc>
        <w:tc>
          <w:tcPr>
            <w:tcW w:w="2409"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rPr>
              <w:t>医保改革、药械集采、医疗升级、新冠疫情、中医药特色、行业法规、</w:t>
            </w:r>
            <w:r>
              <w:rPr>
                <w:rFonts w:hint="eastAsia" w:asciiTheme="minorEastAsia" w:hAnsiTheme="minorEastAsia" w:eastAsiaTheme="minorEastAsia"/>
                <w:sz w:val="28"/>
                <w:szCs w:val="28"/>
                <w:lang w:eastAsia="zh-CN"/>
              </w:rPr>
              <w:t>创新</w:t>
            </w:r>
            <w:r>
              <w:rPr>
                <w:rFonts w:hint="eastAsia" w:asciiTheme="minorEastAsia" w:hAnsiTheme="minorEastAsia" w:eastAsiaTheme="minorEastAsia"/>
                <w:sz w:val="28"/>
                <w:szCs w:val="28"/>
              </w:rPr>
              <w:t>、地方政策。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vAlign w:val="center"/>
          </w:tcPr>
          <w:p>
            <w:pPr>
              <w:numPr>
                <w:ilvl w:val="0"/>
                <w:numId w:val="0"/>
              </w:numPr>
              <w:ind w:firstLine="280" w:firstLineChars="100"/>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2021年是中国共产党成立100周年，也是实施“十四五”规划、开启全面建设社会主义现代化国家新征程的第一年。这一年，我国医药健康领域政策频出。</w:t>
            </w:r>
          </w:p>
          <w:p>
            <w:pPr>
              <w:numPr>
                <w:ilvl w:val="0"/>
                <w:numId w:val="0"/>
              </w:numPr>
              <w:ind w:firstLine="280" w:firstLineChars="100"/>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1、医保改革；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w:t>
            </w:r>
            <w:r>
              <w:rPr>
                <w:rFonts w:hint="eastAsia" w:cs="Times New Roman" w:asciiTheme="minorEastAsia" w:hAnsiTheme="minorEastAsia"/>
                <w:kern w:val="2"/>
                <w:sz w:val="28"/>
                <w:szCs w:val="28"/>
                <w:lang w:val="en-US" w:eastAsia="zh-CN" w:bidi="ar-SA"/>
              </w:rPr>
              <w:t>药械集采；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3、医药升级；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4、新冠疫情防控；</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ascii="Arial" w:hAnsi="Arial" w:cs="Arial"/>
                <w:i w:val="0"/>
                <w:iCs w:val="0"/>
                <w:caps w:val="0"/>
                <w:color w:val="5A5A5A"/>
                <w:spacing w:val="15"/>
                <w:sz w:val="22"/>
                <w:szCs w:val="22"/>
                <w:shd w:val="clear" w:fill="FFFFFF"/>
                <w:lang w:eastAsia="zh-CN"/>
              </w:rPr>
            </w:pPr>
            <w:r>
              <w:rPr>
                <w:rFonts w:hint="eastAsia" w:cs="Times New Roman" w:asciiTheme="minorEastAsia" w:hAnsiTheme="minorEastAsia"/>
                <w:kern w:val="2"/>
                <w:sz w:val="28"/>
                <w:szCs w:val="28"/>
                <w:lang w:val="en-US" w:eastAsia="zh-CN" w:bidi="ar-SA"/>
              </w:rPr>
              <w:t>5、中医药特色发展；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6、行业法规条例；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7、前沿技术指南；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8、地方特色政策。</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sz w:val="28"/>
                <w:szCs w:val="28"/>
              </w:rPr>
            </w:pPr>
            <w:r>
              <w:rPr>
                <w:rFonts w:hint="eastAsia" w:ascii="Calibri" w:hAnsi="Calibri" w:eastAsia="宋体" w:cs="Times New Roman"/>
                <w:kern w:val="2"/>
                <w:sz w:val="21"/>
                <w:szCs w:val="22"/>
                <w:lang w:val="en-US" w:eastAsia="zh-CN" w:bidi="ar-SA"/>
              </w:rPr>
              <w:t>附件1: 2021年医药健康产业政策大盘点</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新版基药目录调整最新进展来了！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15</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基本药物目录，儿童基药，重点监控品种，纳入范围</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560" w:firstLineChars="200"/>
              <w:jc w:val="left"/>
              <w:rPr>
                <w:rFonts w:hint="default" w:eastAsia="宋体" w:cs="Times New Roman" w:asciiTheme="minorEastAsia" w:hAnsiTheme="minorEastAsia"/>
                <w:kern w:val="2"/>
                <w:sz w:val="28"/>
                <w:szCs w:val="28"/>
                <w:lang w:val="en-US" w:eastAsia="zh-CN" w:bidi="ar-SA"/>
              </w:rPr>
            </w:pPr>
            <w:r>
              <w:rPr>
                <w:rFonts w:hint="default" w:eastAsia="宋体" w:cs="Times New Roman" w:asciiTheme="minorEastAsia" w:hAnsiTheme="minorEastAsia"/>
                <w:kern w:val="2"/>
                <w:sz w:val="28"/>
                <w:szCs w:val="28"/>
                <w:lang w:val="en-US" w:eastAsia="zh-CN" w:bidi="ar-SA"/>
              </w:rPr>
              <w:t>近日，业内传出国家卫健委药政司召开基本药物目录管理办法沟通会，会议就《基本药物目录管理办法》公开征求意见情况进行了反馈，并就行业关注的问题与参会学协会代表进行了交流讨论。</w:t>
            </w:r>
          </w:p>
          <w:p>
            <w:pPr>
              <w:widowControl/>
              <w:numPr>
                <w:ilvl w:val="0"/>
                <w:numId w:val="1"/>
              </w:numPr>
              <w:spacing w:line="420" w:lineRule="atLeast"/>
              <w:ind w:left="420" w:leftChars="0" w:firstLineChars="0"/>
              <w:jc w:val="left"/>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基药调整最新消息；</w:t>
            </w:r>
          </w:p>
          <w:p>
            <w:pPr>
              <w:widowControl/>
              <w:numPr>
                <w:ilvl w:val="0"/>
                <w:numId w:val="1"/>
              </w:numPr>
              <w:spacing w:line="420" w:lineRule="atLeast"/>
              <w:ind w:left="420" w:leftChars="0" w:firstLineChars="0"/>
              <w:jc w:val="left"/>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儿童基药目录参考WHO标准制定；</w:t>
            </w:r>
          </w:p>
          <w:p>
            <w:pPr>
              <w:widowControl/>
              <w:numPr>
                <w:ilvl w:val="0"/>
                <w:numId w:val="1"/>
              </w:numPr>
              <w:spacing w:line="420" w:lineRule="atLeast"/>
              <w:ind w:left="420" w:leftChars="0" w:firstLineChars="0"/>
              <w:jc w:val="left"/>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不接受企业申报。</w:t>
            </w:r>
          </w:p>
          <w:p>
            <w:pPr>
              <w:widowControl/>
              <w:numPr>
                <w:ilvl w:val="0"/>
                <w:numId w:val="1"/>
              </w:numPr>
              <w:spacing w:line="420" w:lineRule="atLeast"/>
              <w:ind w:left="420" w:leftChars="0" w:firstLineChars="0"/>
              <w:jc w:val="left"/>
              <w:rPr>
                <w:rFonts w:hint="default"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重点监控品种有望纳入基药；</w:t>
            </w:r>
          </w:p>
          <w:p>
            <w:pPr>
              <w:widowControl/>
              <w:numPr>
                <w:ilvl w:val="0"/>
                <w:numId w:val="1"/>
              </w:numPr>
              <w:spacing w:line="420" w:lineRule="atLeast"/>
              <w:ind w:left="420" w:leftChars="0" w:firstLineChars="0"/>
              <w:jc w:val="left"/>
              <w:rPr>
                <w:rFonts w:hint="default"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纳入范围：医保甲类、国谈品种、集采品种；</w:t>
            </w:r>
          </w:p>
          <w:p>
            <w:pPr>
              <w:widowControl/>
              <w:numPr>
                <w:ilvl w:val="0"/>
                <w:numId w:val="1"/>
              </w:numPr>
              <w:spacing w:line="420" w:lineRule="atLeast"/>
              <w:ind w:left="420" w:leftChars="0" w:firstLineChars="0"/>
              <w:jc w:val="left"/>
              <w:rPr>
                <w:rFonts w:hint="default"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基药目录：同品种限定剂型和规格。</w:t>
            </w: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lang w:eastAsia="zh-CN"/>
              </w:rPr>
              <w:t>附件</w:t>
            </w:r>
            <w:r>
              <w:rPr>
                <w:rFonts w:hint="eastAsia"/>
                <w:lang w:val="en-US" w:eastAsia="zh-CN"/>
              </w:rPr>
              <w:t>2：新版基药目录调整最新进展来了！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rPr>
                <w:rFonts w:hint="eastAsia"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重磅！第七批国采正式开始，涉58个大品种（附文件下载）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22</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default" w:eastAsia="宋体"/>
                <w:sz w:val="28"/>
                <w:szCs w:val="28"/>
                <w:lang w:val="en-US"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val="en-US" w:eastAsia="zh-CN"/>
              </w:rPr>
              <w:t>第七批，</w:t>
            </w:r>
            <w:r>
              <w:rPr>
                <w:rFonts w:hint="eastAsia" w:asciiTheme="minorEastAsia" w:hAnsiTheme="minorEastAsia" w:eastAsiaTheme="minorEastAsia"/>
                <w:sz w:val="28"/>
                <w:szCs w:val="28"/>
                <w:lang w:eastAsia="zh-CN"/>
              </w:rPr>
              <w:t>带量采购，激烈竞争</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pStyle w:val="22"/>
              <w:numPr>
                <w:ilvl w:val="0"/>
                <w:numId w:val="0"/>
              </w:num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第七批国采报量目录发布，含重点监控品种、抗菌素等领域多个大品种。</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58个品种纳入；</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增加“填报说明”；</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激烈竞争来袭。</w:t>
            </w:r>
          </w:p>
          <w:p>
            <w:pPr>
              <w:numPr>
                <w:ilvl w:val="0"/>
                <w:numId w:val="0"/>
              </w:numPr>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附第七批国采涉及58个品种208个品规名单。</w:t>
            </w: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附件3：重磅！第七批国采正式开始，涉58个大品种（附文件下载）</w:t>
            </w:r>
          </w:p>
          <w:p>
            <w:pPr>
              <w:rPr>
                <w:rFonts w:cs="Helvetica" w:asciiTheme="minorEastAsia" w:hAnsiTheme="minorEastAsia" w:eastAsiaTheme="minorEastAsia"/>
                <w:color w:val="000000" w:themeColor="text1"/>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275个国谈大品种，利好消息公布（附名单）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15</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国谈</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双通道、</w:t>
            </w:r>
            <w:r>
              <w:rPr>
                <w:rFonts w:hint="eastAsia" w:asciiTheme="minorEastAsia" w:hAnsiTheme="minorEastAsia" w:eastAsiaTheme="minorEastAsia"/>
                <w:sz w:val="28"/>
                <w:szCs w:val="28"/>
                <w:lang w:val="en-US" w:eastAsia="zh-CN"/>
              </w:rPr>
              <w:t>最后一公里，利好</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numPr>
                <w:ilvl w:val="0"/>
                <w:numId w:val="0"/>
              </w:numPr>
              <w:ind w:firstLine="560" w:firstLineChars="2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2021年的医保调整共有117个品种被纳入谈判范围，谈成94个，包括目录内原有的27个品种，以及新进的67个品种。最终总体谈判成功率达到80.34%，国谈品种数量增加至275个（完整名单见文末），也使得被纳入双通道的国谈产品更加丰富。</w:t>
            </w:r>
          </w:p>
          <w:p>
            <w:pPr>
              <w:numPr>
                <w:ilvl w:val="0"/>
                <w:numId w:val="0"/>
              </w:num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1、多地发布双通道最新进展；</w:t>
            </w:r>
          </w:p>
          <w:p>
            <w:pPr>
              <w:ind w:firstLine="560" w:firstLineChars="200"/>
              <w:rPr>
                <w:rFonts w:hint="eastAsia" w:cs="宋体" w:asciiTheme="minorEastAsia" w:hAnsiTheme="minorEastAsia" w:eastAsiaTheme="minorEastAsia"/>
                <w:kern w:val="0"/>
                <w:sz w:val="28"/>
                <w:szCs w:val="28"/>
                <w:lang w:eastAsia="zh-CN"/>
              </w:rPr>
            </w:pPr>
            <w:r>
              <w:rPr>
                <w:rFonts w:hint="eastAsia" w:cs="宋体" w:asciiTheme="minorEastAsia" w:hAnsiTheme="minorEastAsia" w:eastAsiaTheme="minorEastAsia"/>
                <w:kern w:val="0"/>
                <w:sz w:val="28"/>
                <w:szCs w:val="28"/>
              </w:rPr>
              <w:t>2、剑指国谈落地最后一公里难题</w:t>
            </w:r>
            <w:r>
              <w:rPr>
                <w:rFonts w:hint="eastAsia" w:cs="宋体" w:asciiTheme="minorEastAsia" w:hAnsiTheme="minorEastAsia" w:eastAsiaTheme="minorEastAsia"/>
                <w:kern w:val="0"/>
                <w:sz w:val="28"/>
                <w:szCs w:val="28"/>
                <w:lang w:eastAsia="zh-CN"/>
              </w:rPr>
              <w:t>；</w:t>
            </w:r>
          </w:p>
          <w:p>
            <w:p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3、龙头连锁迎利好；</w:t>
            </w:r>
          </w:p>
          <w:p>
            <w:pPr>
              <w:ind w:firstLine="560" w:firstLineChars="200"/>
              <w:rPr>
                <w:rFonts w:hint="default" w:cs="宋体" w:asciiTheme="minorEastAsia" w:hAnsiTheme="minorEastAsia" w:eastAsiaTheme="minorEastAsia"/>
                <w:kern w:val="0"/>
                <w:sz w:val="28"/>
                <w:szCs w:val="28"/>
                <w:lang w:val="en-US" w:eastAsia="zh-CN"/>
              </w:rPr>
            </w:pPr>
          </w:p>
          <w:p>
            <w:pPr>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ind w:firstLine="420" w:firstLineChars="200"/>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附件4：275个国谈大品种，利好消息公布（附名单）</w:t>
            </w: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rFonts w:asciiTheme="minorEastAsia" w:hAnsiTheme="minorEastAsia" w:eastAsiaTheme="minorEastAsia"/>
                <w:b/>
                <w:sz w:val="32"/>
                <w:szCs w:val="32"/>
              </w:rPr>
            </w:pPr>
            <w:r>
              <w:rPr>
                <w:rFonts w:asciiTheme="minorEastAsia" w:hAnsiTheme="minorEastAsia" w:eastAsiaTheme="minorEastAsia"/>
                <w:b/>
                <w:sz w:val="32"/>
                <w:szCs w:val="32"/>
              </w:rPr>
              <w:t>多家连锁药店，门店将破万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w:t>
            </w:r>
            <w:r>
              <w:rPr>
                <w:rFonts w:hint="eastAsia" w:asciiTheme="minorEastAsia" w:hAnsiTheme="minorEastAsia" w:eastAsiaTheme="minorEastAsia"/>
                <w:sz w:val="30"/>
                <w:szCs w:val="30"/>
                <w:lang w:val="en-US" w:eastAsia="zh-CN"/>
              </w:rPr>
              <w:t>2</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9</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eastAsia="宋体"/>
                <w:sz w:val="28"/>
                <w:szCs w:val="28"/>
                <w:lang w:eastAsia="zh-CN"/>
              </w:rPr>
            </w:pPr>
            <w:r>
              <w:rPr>
                <w:rFonts w:hint="eastAsia"/>
                <w:sz w:val="30"/>
                <w:szCs w:val="30"/>
                <w:lang w:eastAsia="zh-CN"/>
              </w:rPr>
              <w:t>药店经理人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30"/>
                <w:szCs w:val="30"/>
              </w:rPr>
              <w:t>来源：</w:t>
            </w:r>
            <w:r>
              <w:rPr>
                <w:rFonts w:hint="eastAsia"/>
                <w:sz w:val="30"/>
                <w:szCs w:val="30"/>
                <w:lang w:eastAsia="zh-CN"/>
              </w:rPr>
              <w:t>药店经理人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eastAsia="zh-CN"/>
              </w:rPr>
              <w:t>双</w:t>
            </w:r>
            <w:r>
              <w:rPr>
                <w:rFonts w:hint="eastAsia" w:cs="宋体" w:asciiTheme="minorEastAsia" w:hAnsiTheme="minorEastAsia" w:eastAsiaTheme="minorEastAsia"/>
                <w:kern w:val="0"/>
                <w:sz w:val="28"/>
                <w:szCs w:val="28"/>
                <w:lang w:val="en-US" w:eastAsia="zh-CN"/>
              </w:rPr>
              <w:t>11</w:t>
            </w:r>
            <w:r>
              <w:rPr>
                <w:rFonts w:hint="eastAsia" w:cs="宋体" w:asciiTheme="minorEastAsia" w:hAnsiTheme="minorEastAsia" w:eastAsiaTheme="minorEastAsia"/>
                <w:kern w:val="0"/>
                <w:sz w:val="28"/>
                <w:szCs w:val="28"/>
                <w:lang w:eastAsia="zh-CN"/>
              </w:rPr>
              <w:t>，线上，健康产品，增长</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leftChars="0"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 xml:space="preserve">借助资本并购之利、之力，“万家药店”不久将成批出现，不出意外的话，上市连锁老百姓、益丰、大参林、一心堂以及国大药房将顺利加入“万家俱乐部”。              </w:t>
            </w:r>
          </w:p>
          <w:p>
            <w:pPr>
              <w:numPr>
                <w:ilvl w:val="0"/>
                <w:numId w:val="0"/>
              </w:numPr>
              <w:ind w:leftChars="0" w:firstLine="560" w:firstLineChars="2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1、资本并购之往；</w:t>
            </w:r>
          </w:p>
          <w:p>
            <w:pPr>
              <w:numPr>
                <w:ilvl w:val="0"/>
                <w:numId w:val="3"/>
              </w:num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资本并购之望；</w:t>
            </w:r>
          </w:p>
          <w:p>
            <w:pPr>
              <w:numPr>
                <w:ilvl w:val="0"/>
                <w:numId w:val="3"/>
              </w:num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资本并购之惘。</w:t>
            </w: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ind w:leftChars="0"/>
              <w:rPr>
                <w:rFonts w:hint="eastAsia" w:cs="宋体" w:asciiTheme="minorEastAsia" w:hAnsiTheme="minorEastAsia" w:eastAsiaTheme="minorEastAsia"/>
                <w:kern w:val="0"/>
                <w:sz w:val="28"/>
                <w:szCs w:val="28"/>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b/>
                <w:sz w:val="32"/>
                <w:szCs w:val="32"/>
              </w:rPr>
            </w:pPr>
            <w:r>
              <w:rPr>
                <w:rFonts w:hint="eastAsia" w:ascii="宋体" w:hAnsi="宋体" w:cs="宋体"/>
                <w:kern w:val="0"/>
                <w:szCs w:val="21"/>
              </w:rPr>
              <w:t>附件5:</w:t>
            </w:r>
            <w:r>
              <w:rPr>
                <w:b/>
                <w:sz w:val="32"/>
                <w:szCs w:val="32"/>
              </w:rPr>
              <w:t xml:space="preserve"> </w:t>
            </w:r>
            <w:r>
              <w:rPr>
                <w:rFonts w:hint="eastAsia" w:ascii="宋体" w:hAnsi="宋体" w:cs="宋体"/>
                <w:kern w:val="0"/>
                <w:szCs w:val="21"/>
              </w:rPr>
              <w:t>多家连锁药店，门店将破万</w:t>
            </w:r>
          </w:p>
        </w:tc>
      </w:tr>
    </w:tbl>
    <w:p>
      <w:pPr>
        <w:widowControl/>
        <w:shd w:val="clear" w:color="auto" w:fill="FFFFFF"/>
        <w:spacing w:after="210"/>
        <w:jc w:val="lef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bCs/>
          <w:i w:val="0"/>
          <w:iCs w:val="0"/>
          <w:caps w:val="0"/>
          <w:color w:val="333333"/>
          <w:spacing w:val="8"/>
          <w:sz w:val="33"/>
          <w:szCs w:val="33"/>
        </w:rPr>
      </w:pPr>
      <w:r>
        <w:rPr>
          <w:rFonts w:hint="eastAsia" w:ascii="Microsoft YaHei UI" w:hAnsi="Microsoft YaHei UI" w:eastAsia="Microsoft YaHei UI" w:cs="Microsoft YaHei UI"/>
          <w:b/>
          <w:bCs/>
          <w:i w:val="0"/>
          <w:iCs w:val="0"/>
          <w:caps w:val="0"/>
          <w:color w:val="333333"/>
          <w:spacing w:val="8"/>
          <w:sz w:val="33"/>
          <w:szCs w:val="33"/>
          <w:shd w:val="clear" w:fill="FFFFFF"/>
        </w:rPr>
        <w:t>2021年医药健康产业政策大盘点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药闻康策</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333333"/>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333333"/>
          <w:spacing w:val="8"/>
          <w:kern w:val="0"/>
          <w:sz w:val="22"/>
          <w:szCs w:val="22"/>
          <w:shd w:val="clear" w:fill="FFFFFF"/>
          <w:lang w:val="en-US" w:eastAsia="zh-CN" w:bidi="ar"/>
        </w:rPr>
        <w:t>2022-01-24 00:00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2" w:firstLineChars="200"/>
        <w:jc w:val="both"/>
        <w:rPr>
          <w:rFonts w:hint="eastAsia" w:eastAsia="宋体" w:cs="Times New Roman" w:asciiTheme="minorEastAsia" w:hAnsiTheme="minorEastAsia"/>
          <w:b/>
          <w:bCs/>
          <w:color w:val="366091" w:themeColor="accent1" w:themeShade="BF"/>
          <w:kern w:val="2"/>
          <w:sz w:val="28"/>
          <w:szCs w:val="28"/>
          <w:lang w:val="en-US" w:eastAsia="zh-CN" w:bidi="ar-SA"/>
        </w:rPr>
      </w:pPr>
      <w:r>
        <w:rPr>
          <w:rFonts w:hint="eastAsia" w:eastAsia="宋体" w:cs="Times New Roman" w:asciiTheme="minorEastAsia" w:hAnsiTheme="minorEastAsia"/>
          <w:b/>
          <w:bCs/>
          <w:color w:val="366091" w:themeColor="accent1" w:themeShade="BF"/>
          <w:kern w:val="2"/>
          <w:sz w:val="28"/>
          <w:szCs w:val="28"/>
          <w:lang w:val="en-US" w:eastAsia="zh-CN" w:bidi="ar-SA"/>
        </w:rPr>
        <w:t>2021年是中国共产党成立100周年，也是实施“十四五”规划、开启全面建设社会主义现代化国家新征程的第一年。这一年，我国医药健康领域政策频出。通过追踪盘点，我们归纳出年度政策主题词，分别是</w:t>
      </w:r>
      <w:r>
        <w:rPr>
          <w:rFonts w:hint="eastAsia" w:eastAsia="宋体" w:cs="Times New Roman" w:asciiTheme="minorEastAsia" w:hAnsiTheme="minorEastAsia"/>
          <w:b/>
          <w:bCs/>
          <w:kern w:val="2"/>
          <w:sz w:val="28"/>
          <w:szCs w:val="28"/>
          <w:lang w:val="en-US" w:eastAsia="zh-CN" w:bidi="ar-SA"/>
        </w:rPr>
        <w:t>“医保改革、药械集采、医疗升级、新冠疫情防控、中医药特色发展、行业法规条例、前沿技术指南、地方特色政策”。</w:t>
      </w:r>
      <w:r>
        <w:rPr>
          <w:rFonts w:hint="eastAsia" w:eastAsia="宋体" w:cs="Times New Roman" w:asciiTheme="minorEastAsia" w:hAnsiTheme="minorEastAsia"/>
          <w:b/>
          <w:bCs/>
          <w:color w:val="366091" w:themeColor="accent1" w:themeShade="BF"/>
          <w:kern w:val="2"/>
          <w:sz w:val="28"/>
          <w:szCs w:val="28"/>
          <w:lang w:val="en-US" w:eastAsia="zh-CN" w:bidi="ar-SA"/>
        </w:rPr>
        <w:t>我们从各个主题分别展开，一探医药健康领域2021的政策动向。</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57800" cy="4171315"/>
            <wp:effectExtent l="0" t="0" r="0" b="635"/>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9"/>
                    <a:stretch>
                      <a:fillRect/>
                    </a:stretch>
                  </pic:blipFill>
                  <pic:spPr>
                    <a:xfrm>
                      <a:off x="0" y="0"/>
                      <a:ext cx="5257800" cy="41713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图1：2021年度医药健康政策主题</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01医保改革</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r>
        <w:rPr>
          <w:rFonts w:hint="eastAsia" w:eastAsia="宋体" w:cs="Times New Roman" w:asciiTheme="minorEastAsia" w:hAnsiTheme="minorEastAsia"/>
          <w:b/>
          <w:bCs/>
          <w:color w:val="FF0000"/>
          <w:kern w:val="2"/>
          <w:sz w:val="28"/>
          <w:szCs w:val="28"/>
          <w:lang w:val="en-US" w:eastAsia="zh-CN" w:bidi="ar-SA"/>
        </w:rPr>
        <w:t>2021年医保改革相关政策出台活跃</w:t>
      </w:r>
      <w:r>
        <w:rPr>
          <w:rStyle w:val="14"/>
          <w:rFonts w:hint="eastAsia" w:ascii="Microsoft YaHei UI" w:hAnsi="Microsoft YaHei UI" w:eastAsia="Microsoft YaHei UI" w:cs="Microsoft YaHei UI"/>
          <w:i w:val="0"/>
          <w:iCs w:val="0"/>
          <w:caps w:val="0"/>
          <w:color w:val="CC0000"/>
          <w:spacing w:val="15"/>
          <w:kern w:val="0"/>
          <w:sz w:val="22"/>
          <w:szCs w:val="22"/>
          <w:shd w:val="clear" w:fill="FFFFFF"/>
          <w:lang w:val="en-US" w:eastAsia="zh-CN" w:bidi="ar"/>
        </w:rPr>
        <w:t>。</w:t>
      </w:r>
      <w:r>
        <w:rPr>
          <w:rFonts w:hint="eastAsia" w:eastAsia="宋体" w:cs="Times New Roman" w:asciiTheme="minorEastAsia" w:hAnsiTheme="minorEastAsia"/>
          <w:kern w:val="2"/>
          <w:sz w:val="28"/>
          <w:szCs w:val="28"/>
          <w:lang w:val="en-US" w:eastAsia="zh-CN" w:bidi="ar-SA"/>
        </w:rPr>
        <w:t>《深化医药卫生体制改革2021年重点工作任务》指出，进一步推广三明市医改经验，加快推进医疗、医保、医药联动改革。纵观全年医保政策动态，政策高频关键词包括医保跨省结算、DRG/DIP 支付方式改革、医保药品目录更新、医保规划以及重点保障等。</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35905" cy="3172460"/>
            <wp:effectExtent l="0" t="0" r="17145" b="8890"/>
            <wp:docPr id="17"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0"/>
                    <pic:cNvPicPr>
                      <a:picLocks noChangeAspect="1"/>
                    </pic:cNvPicPr>
                  </pic:nvPicPr>
                  <pic:blipFill>
                    <a:blip r:embed="rId10"/>
                    <a:stretch>
                      <a:fillRect/>
                    </a:stretch>
                  </pic:blipFill>
                  <pic:spPr>
                    <a:xfrm>
                      <a:off x="0" y="0"/>
                      <a:ext cx="5335905" cy="317246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840" w:right="0" w:hanging="840" w:hangingChars="400"/>
        <w:jc w:val="left"/>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图2：医保改革政策来源：火石创造根据公开资料整理</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p>
    <w:p>
      <w:pPr>
        <w:keepNext w:val="0"/>
        <w:keepLines w:val="0"/>
        <w:widowControl/>
        <w:suppressLineNumbers w:val="0"/>
        <w:spacing w:before="0" w:beforeAutospacing="0" w:after="240" w:afterAutospacing="0"/>
        <w:ind w:right="0" w:firstLine="562"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b/>
          <w:bCs/>
          <w:color w:val="FF0000"/>
          <w:kern w:val="2"/>
          <w:sz w:val="28"/>
          <w:szCs w:val="28"/>
          <w:lang w:val="en-US" w:eastAsia="zh-CN" w:bidi="ar-SA"/>
        </w:rPr>
        <w:t>医保跨省结算由点及面、逐步推开。</w:t>
      </w:r>
      <w:r>
        <w:rPr>
          <w:rFonts w:hint="eastAsia" w:eastAsia="宋体" w:cs="Times New Roman" w:asciiTheme="minorEastAsia" w:hAnsiTheme="minorEastAsia"/>
          <w:kern w:val="2"/>
          <w:sz w:val="28"/>
          <w:szCs w:val="28"/>
          <w:lang w:val="en-US" w:eastAsia="zh-CN" w:bidi="ar-SA"/>
        </w:rPr>
        <w:t>党的十九届四中、五中全会均提出要加快落实异地就医结算制度，稳妥有序推进门诊费用跨省直接结算试点工作。2021年《政府工作报告》做出了推进门诊费用跨省直接结算的部署。2021年2月，国家医保局决定联通京津冀、长三角、西南五省等12个先行试点省际间的普通门诊费用跨省直接结算服务。2021年5月，国家医保局和财政部发布关于加快推进门诊费用跨省直接结算工作的通知，提出2022年底前，每个县至少有1家定点医疗机构能够提供包括门诊费用在内的医疗费用跨省直接结算服务；基本实现高血压、糖尿病、恶性肿瘤门诊放化疗、尿毒症透析、器官移植术后抗排异治疗等5个主要门诊慢特病的相关治疗费用跨省直接结算统筹地区全覆盖，推进其他门诊慢特病的相关治疗费用跨省直接结算或线上零星报销。2021年9月，国家医保局办公室和财政部办公厅发布关于开展门诊慢特病相关治疗费用跨省直接结算试点工作的通知，通知提出在加快推进普通门诊医疗费用跨省直接结算基础上，决定开展门诊慢特病相关治疗费用跨省直接结算试点工</w:t>
      </w:r>
    </w:p>
    <w:p>
      <w:pPr>
        <w:keepNext w:val="0"/>
        <w:keepLines w:val="0"/>
        <w:widowControl/>
        <w:suppressLineNumbers w:val="0"/>
        <w:spacing w:before="0" w:beforeAutospacing="0" w:after="240" w:afterAutospacing="0"/>
        <w:ind w:right="0" w:firstLine="562" w:firstLineChars="200"/>
        <w:jc w:val="left"/>
        <w:rPr>
          <w:rFonts w:hint="eastAsia" w:cs="Times New Roman" w:asciiTheme="minorEastAsia" w:hAnsiTheme="minorEastAsia"/>
          <w:kern w:val="2"/>
          <w:sz w:val="28"/>
          <w:szCs w:val="28"/>
          <w:lang w:val="en-US" w:eastAsia="zh-CN" w:bidi="ar-SA"/>
        </w:rPr>
      </w:pPr>
      <w:r>
        <w:rPr>
          <w:rFonts w:hint="eastAsia" w:eastAsia="宋体" w:cs="Times New Roman" w:asciiTheme="minorEastAsia" w:hAnsiTheme="minorEastAsia"/>
          <w:b/>
          <w:bCs/>
          <w:color w:val="FF0000"/>
          <w:kern w:val="2"/>
          <w:sz w:val="28"/>
          <w:szCs w:val="28"/>
          <w:lang w:val="en-US" w:eastAsia="zh-CN" w:bidi="ar-SA"/>
        </w:rPr>
        <w:t>DRG/DIP 支付方式改革加快落地。</w:t>
      </w:r>
      <w:r>
        <w:rPr>
          <w:rFonts w:hint="eastAsia" w:cs="Times New Roman" w:asciiTheme="minorEastAsia" w:hAnsiTheme="minorEastAsia"/>
          <w:kern w:val="2"/>
          <w:sz w:val="28"/>
          <w:szCs w:val="28"/>
          <w:lang w:val="en-US" w:eastAsia="zh-CN" w:bidi="ar-SA"/>
        </w:rPr>
        <w:t xml:space="preserve">                              </w:t>
      </w:r>
    </w:p>
    <w:p>
      <w:pPr>
        <w:keepNext w:val="0"/>
        <w:keepLines w:val="0"/>
        <w:widowControl/>
        <w:suppressLineNumbers w:val="0"/>
        <w:spacing w:before="0" w:beforeAutospacing="0" w:after="240" w:afterAutospacing="0"/>
        <w:ind w:right="0" w:firstLine="562" w:firstLineChars="200"/>
        <w:jc w:val="left"/>
      </w:pPr>
      <w:r>
        <w:rPr>
          <w:rFonts w:hint="eastAsia" w:eastAsia="宋体" w:cs="Times New Roman" w:asciiTheme="minorEastAsia" w:hAnsiTheme="minorEastAsia"/>
          <w:b/>
          <w:bCs/>
          <w:color w:val="FF0000"/>
          <w:kern w:val="2"/>
          <w:sz w:val="28"/>
          <w:szCs w:val="28"/>
          <w:lang w:val="en-US" w:eastAsia="zh-CN" w:bidi="ar-SA"/>
        </w:rPr>
        <w:t>医保药品目录动态更新。</w:t>
      </w:r>
      <w:r>
        <w:rPr>
          <w:rFonts w:hint="eastAsia" w:eastAsia="宋体" w:cs="Times New Roman" w:asciiTheme="minorEastAsia" w:hAnsiTheme="minorEastAsia"/>
          <w:kern w:val="2"/>
          <w:sz w:val="28"/>
          <w:szCs w:val="28"/>
          <w:lang w:val="en-US" w:eastAsia="zh-CN" w:bidi="ar-SA"/>
        </w:rPr>
        <w:t>按照《基本医疗保险用药管理暂行办法》（国家医疗保障局令第1号）及《2021年国家医保药品目录调整工作方案》要求，国家医保局、人力资源社会保障部组织专家调整制定了《国家基本医疗保险、工伤保险和生育保险药品目录（2021年）》。目录收载西药和中成药共2860种，其中西药1486种，中成药1374种。另外，还有基金可以支付的中药饮片892种。目录自2022年1月1日起正式执行，各地不得自行调整目录内药品的限定支付范围和甲乙分类。省级医保部门要加快原自行增补品种的消化工作，确保2022年6月30日前完成全部消化任务。扎实推进推动谈判药品落地。各省（自治区、直辖市）药品集中采购机构要在2021年12月底前将谈判药品在省级药品集中采购平台上直接挂网采购。省级医保部门要按照《关于建立完善国家医保谈判药品“双通道”管理机制的指导意见》（医保发〔2021〕28号）和《关于适应国家医保谈判常态化持续做好谈判药品落地工作的通知》（医保函〔2021〕182号）要求，结合本省情况，及时更新本省纳入“双通道”管理的药品名单，加强“双通道”药店管理，切实提升谈判药品的供应保障水平。</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医保体系长远规划。</w:t>
      </w:r>
      <w:r>
        <w:rPr>
          <w:rFonts w:hint="eastAsia" w:eastAsia="宋体" w:cs="Times New Roman" w:asciiTheme="minorEastAsia" w:hAnsiTheme="minorEastAsia"/>
          <w:kern w:val="2"/>
          <w:sz w:val="28"/>
          <w:szCs w:val="28"/>
          <w:lang w:val="en-US" w:eastAsia="zh-CN" w:bidi="ar-SA"/>
        </w:rPr>
        <w:t>2021年9月，国务院办公厅印发《“十四五”全民医疗保障规划》（以下简称《规划》）。《规划》指出，坚持以人民为中心的发展思想，深入实施健康中国战略，深化医药卫生体制改革，以推动中国特色医疗保障制度更加成熟定型为主线，以体制机制创新为动力，发挥医保基金战略性购买作用，坚持医疗保障需求侧管理和医药服务供给侧改革并重，加快建设覆盖全民、统筹城乡、公平统一、可持续的多层次医疗保障体系，努力为人民群众提供全方位全周期的医疗保障。到2025年，医疗保障制度更加成熟定型，基本完成待遇保障、筹资运行、医保支付、基金监管等重要机制和医药服务供给、医保管理服务等关键领域的改革任务，医疗保障政策规范化、管理精细化、服务便捷化、改革协同化程度明显提升。</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医疗保障重点覆盖。</w:t>
      </w:r>
      <w:r>
        <w:rPr>
          <w:rFonts w:hint="eastAsia" w:eastAsia="宋体" w:cs="Times New Roman" w:asciiTheme="minorEastAsia" w:hAnsiTheme="minorEastAsia"/>
          <w:kern w:val="2"/>
          <w:sz w:val="28"/>
          <w:szCs w:val="28"/>
          <w:lang w:val="en-US" w:eastAsia="zh-CN" w:bidi="ar-SA"/>
        </w:rPr>
        <w:t>2021年11月，国务院办公厅印发关于健全重特大疾病医疗保险和救助制度的意见。聚焦减轻困难群众重特大疾病医疗费用负担，建立健全防范和化解因病致贫返贫长效机制，强化基本医保、大病保险、医疗救助（以下统称三重制度）综合保障。促进三重制度综合保障与慈善救助、商业健康保险等协同发展、有效衔接，构建政府主导、多方参与的多层次医疗保障体系。《意见》明确五方面措施：一是科学确定医疗救助对象范围。救助对象既覆盖低保对象、特困人员、低保边缘家庭成员和农村易返贫致贫人口等低收入人口，同时也将因病致贫重病患者纳入救助范围，增强救助公平性、可及性。二是强化三重制度综合保障。厘清三重制度功能定位，发挥基本医保主体保障功能，增强大病保险减负功能，强化医疗救助托底保障功能，按照“先保险后救助”的原则，做好制度功能衔接，发挥保障合力。三是夯实医疗救助托底保障。四是建立健全防范和化解因病致贫返贫长效机制。五是引导社会力量参与救助保障。发展壮大慈善救助，用好社会慈善救助资源，发挥补充救助作用。鼓励医疗互助和商业健康保险发展，更好满足基本医疗保障外的保障需求。</w:t>
      </w: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b/>
          <w:bCs/>
          <w:kern w:val="2"/>
          <w:sz w:val="28"/>
          <w:szCs w:val="28"/>
          <w:lang w:val="en-US" w:eastAsia="zh-CN" w:bidi="ar-SA"/>
        </w:rPr>
        <w:t>02</w:t>
      </w:r>
      <w:r>
        <w:rPr>
          <w:rFonts w:hint="default" w:eastAsia="宋体" w:cs="Times New Roman" w:asciiTheme="minorEastAsia" w:hAnsiTheme="minorEastAsia"/>
          <w:b/>
          <w:bCs/>
          <w:kern w:val="2"/>
          <w:sz w:val="28"/>
          <w:szCs w:val="28"/>
          <w:lang w:val="en-US" w:eastAsia="zh-CN" w:bidi="ar-SA"/>
        </w:rPr>
        <w:t>药械集采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240" w:afterAutospacing="0"/>
        <w:ind w:left="279" w:leftChars="133"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药品、医疗器械集中带量采购是协同推进医药服务供给侧改革的重要举措。党的十九大以来，按照党中央、国务院决策部署，药品集中带量采购改革取得明显成效，在增进民生福祉、推动三医联动改革、促进医药行业健康发展等方面发挥了重要作用。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15585" cy="2925445"/>
            <wp:effectExtent l="0" t="0" r="18415" b="8255"/>
            <wp:docPr id="5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IMG_261"/>
                    <pic:cNvPicPr>
                      <a:picLocks noChangeAspect="1"/>
                    </pic:cNvPicPr>
                  </pic:nvPicPr>
                  <pic:blipFill>
                    <a:blip r:embed="rId11"/>
                    <a:stretch>
                      <a:fillRect/>
                    </a:stretch>
                  </pic:blipFill>
                  <pic:spPr>
                    <a:xfrm>
                      <a:off x="0" y="0"/>
                      <a:ext cx="5315585" cy="29254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420" w:right="0" w:hanging="420" w:hangingChars="200"/>
        <w:jc w:val="left"/>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图3：药械集采政策来源：火石创造根据公开资料整理</w:t>
      </w:r>
    </w:p>
    <w:p>
      <w:pPr>
        <w:keepNext w:val="0"/>
        <w:keepLines w:val="0"/>
        <w:widowControl/>
        <w:suppressLineNumbers w:val="0"/>
        <w:spacing w:before="0" w:beforeAutospacing="0" w:after="0" w:afterAutospacing="0"/>
        <w:ind w:left="420" w:right="0" w:hanging="420" w:hangingChars="200"/>
        <w:jc w:val="left"/>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pPr>
    </w:p>
    <w:p>
      <w:pPr>
        <w:keepNext w:val="0"/>
        <w:keepLines w:val="0"/>
        <w:widowControl/>
        <w:suppressLineNumbers w:val="0"/>
        <w:spacing w:before="0" w:beforeAutospacing="0" w:after="0" w:afterAutospacing="0"/>
        <w:ind w:right="0" w:firstLine="562"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b/>
          <w:bCs/>
          <w:color w:val="FF0000"/>
          <w:kern w:val="2"/>
          <w:sz w:val="28"/>
          <w:szCs w:val="28"/>
          <w:lang w:val="en-US" w:eastAsia="zh-CN" w:bidi="ar-SA"/>
        </w:rPr>
        <w:t>药品集中带量采购工作常态化制度化。</w:t>
      </w:r>
      <w:r>
        <w:rPr>
          <w:rFonts w:hint="eastAsia" w:eastAsia="宋体" w:cs="Times New Roman" w:asciiTheme="minorEastAsia" w:hAnsiTheme="minorEastAsia"/>
          <w:kern w:val="2"/>
          <w:sz w:val="28"/>
          <w:szCs w:val="28"/>
          <w:lang w:val="en-US" w:eastAsia="zh-CN" w:bidi="ar-SA"/>
        </w:rPr>
        <w:t>2021年1月，国务院办公厅印发《关于推动药品集中带量采购工作常态化制度化开展的意见》。从五个方面提出了推动药品集中带量采购工作常态化制度化开展的具体举措。一是明确覆盖范围，重点将基本医保药品目录内用量大、采购金额高的药品纳入采购范围，逐步覆盖各类药品；所有公立医疗机构均应参加药品集中带量采购。二是完善采购规则，合理确定采购量，完善竞争规则，优化中选规则；严格遵守协议，各方应严格遵守法律法规和协议约定，落实中选结果；采购协议期满后，坚持招采合一、量价挂钩，依法依规确定供应企业、约定采购量和采购协议期。三是强化保障措施，加强质量保障，严格药品质量入围标准，强化中选企业保证产品质量的主体责任；落实地方政府属地监管责任，将中选药品列入重点监管品种，加强生产、流通、使用的全链条质量监管；做好供应配送，中选药品由中选企业自主委托配送企业配送或自行配送，配送费用由中选企业承担；确保优先使用，医疗机构应根据临床用药需求优先使用中选药品。四是完善配套政策，改进结算方式，医疗机构应承担采购结算主体责任，按采购合同与企业及时结清药款；在医保基金总额预算基础上，建立药品集中带量采购预付机制，探索推进医保基金与医药企业直接结算；做好中选价格与医保支付标准协同，以中选价格为基准确定医保支付标准；完善对医疗机构的激励机制，对因集中带量采购节约的医保资金，按照相关规定给予医疗机构结余留用激励。五是健全运行机制，完善药品集中采购平台功能，加强药品集中采购平台规范化建设，统一基本操作规则、工作流程和药品挂网撤网标准，实现省际药品集中采购信息互联互通，加快形成全国统一开放的药品集中采购市场；健全联盟采购机制，推进构建区域性、全国性联盟采购机制。</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高值医用耗材集中带量采购。</w:t>
      </w:r>
      <w:r>
        <w:rPr>
          <w:rFonts w:hint="eastAsia" w:eastAsia="宋体" w:cs="Times New Roman" w:asciiTheme="minorEastAsia" w:hAnsiTheme="minorEastAsia"/>
          <w:kern w:val="2"/>
          <w:sz w:val="28"/>
          <w:szCs w:val="28"/>
          <w:lang w:val="en-US" w:eastAsia="zh-CN" w:bidi="ar-SA"/>
        </w:rPr>
        <w:t>2021年6月，国家医保局等八个部门印发《关于开展国家组织高值医用耗材集中带量采购和使用的指导意见》。重点将部分临床用量较大、采购金额较高、临床使用较成熟、市场竞争较充分、同质化水平较高的高值医用耗材纳入采购范围，并根据市场销售情况、临床使用需求以及医疗技术进步等因素，确定入围标准。所有公立医疗机构均应按规定参加高值医用耗材集中带量采购。采购量基数根据医疗机构报送的需求量，结合上年度使用量、临床使用状况和医疗技术进步等因素进行核定。约定采购比例根据市场竞争格局和中选企业数量等合理确定。约定采购量根据采购量基数和约定采购比例确定，在采购文书中公开。</w:t>
      </w:r>
      <w:r>
        <w:rPr>
          <w:rFonts w:hint="eastAsia" w:eastAsia="宋体" w:cs="Times New Roman" w:asciiTheme="minorEastAsia" w:hAnsiTheme="minorEastAsia"/>
          <w:kern w:val="2"/>
          <w:sz w:val="28"/>
          <w:szCs w:val="28"/>
          <w:lang w:val="en-US" w:eastAsia="zh-CN" w:bidi="ar-SA"/>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03</w:t>
      </w:r>
      <w:r>
        <w:rPr>
          <w:rFonts w:hint="default" w:eastAsia="宋体" w:cs="Times New Roman" w:asciiTheme="minorEastAsia" w:hAnsiTheme="minorEastAsia"/>
          <w:b/>
          <w:bCs/>
          <w:kern w:val="2"/>
          <w:sz w:val="28"/>
          <w:szCs w:val="28"/>
          <w:lang w:val="en-US" w:eastAsia="zh-CN" w:bidi="ar-SA"/>
        </w:rPr>
        <w:t>医疗升级</w:t>
      </w:r>
      <w:r>
        <w:rPr>
          <w:rFonts w:hint="eastAsia" w:eastAsia="宋体" w:cs="Times New Roman" w:asciiTheme="minorEastAsia" w:hAnsiTheme="minorEastAsia"/>
          <w:kern w:val="2"/>
          <w:sz w:val="28"/>
          <w:szCs w:val="28"/>
          <w:lang w:val="en-US" w:eastAsia="zh-CN" w:bidi="ar-SA"/>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r>
        <w:rPr>
          <w:rFonts w:hint="eastAsia" w:eastAsia="宋体" w:cs="Times New Roman" w:asciiTheme="minorEastAsia" w:hAnsiTheme="minorEastAsia"/>
          <w:kern w:val="2"/>
          <w:sz w:val="28"/>
          <w:szCs w:val="28"/>
          <w:lang w:val="en-US" w:eastAsia="zh-CN" w:bidi="ar-SA"/>
        </w:rPr>
        <w:t>2021年，医疗升级聚焦医疗保障、临床专科能力、互联网医疗、公立医院综合改革等工作。</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全民医保规划。</w:t>
      </w:r>
      <w:r>
        <w:rPr>
          <w:rFonts w:hint="eastAsia" w:eastAsia="宋体" w:cs="Times New Roman" w:asciiTheme="minorEastAsia" w:hAnsiTheme="minorEastAsia"/>
          <w:kern w:val="2"/>
          <w:sz w:val="28"/>
          <w:szCs w:val="28"/>
          <w:lang w:val="en-US" w:eastAsia="zh-CN" w:bidi="ar-SA"/>
        </w:rPr>
        <w:t>《“十四五”全民医疗保障规划》指出要深化审评审批制度改革，促进群众急需的新药和医疗器械研发使用，并对未来五年全民医疗保障指明了发展方向。</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临床专科能力建设。</w:t>
      </w:r>
      <w:r>
        <w:rPr>
          <w:rFonts w:hint="eastAsia" w:eastAsia="宋体" w:cs="Times New Roman" w:asciiTheme="minorEastAsia" w:hAnsiTheme="minorEastAsia"/>
          <w:kern w:val="2"/>
          <w:sz w:val="28"/>
          <w:szCs w:val="28"/>
          <w:lang w:val="en-US" w:eastAsia="zh-CN" w:bidi="ar-SA"/>
        </w:rPr>
        <w:t>《“十四五”国家临床专科能力建设规划》提出，要从建设国际高水平临床专科、普遍提升主要临床专科能力、促进临床专科能力均衡发展以及补齐薄弱专科资源短板四个方向建设国家临床专科能力，同时深化推广“互联网+”医疗服务新模式，争取在手术机器人、3D打印、新医学材料应用、计算机智能辅助诊疗、远程医疗等方面取得积极进展。</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优质高效医疗卫生服务体系。</w:t>
      </w:r>
      <w:r>
        <w:rPr>
          <w:rFonts w:hint="eastAsia" w:eastAsia="宋体" w:cs="Times New Roman" w:asciiTheme="minorEastAsia" w:hAnsiTheme="minorEastAsia"/>
          <w:kern w:val="2"/>
          <w:sz w:val="28"/>
          <w:szCs w:val="28"/>
          <w:lang w:val="en-US" w:eastAsia="zh-CN" w:bidi="ar-SA"/>
        </w:rPr>
        <w:t>《“十四五”优质高效医疗卫生服务体系建设实施方案》明确要建成优质高效整合型医疗卫生服务体系，显著提升重大疫情防控救治和突发公共卫生事件应对水平，国家医学中心、区域医疗中心等重大基地建设取得明显进展。</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公立医院综合改革。</w:t>
      </w:r>
      <w:r>
        <w:rPr>
          <w:rFonts w:hint="eastAsia" w:eastAsia="宋体" w:cs="Times New Roman" w:asciiTheme="minorEastAsia" w:hAnsiTheme="minorEastAsia"/>
          <w:kern w:val="2"/>
          <w:sz w:val="28"/>
          <w:szCs w:val="28"/>
          <w:lang w:val="en-US" w:eastAsia="zh-CN" w:bidi="ar-SA"/>
        </w:rPr>
        <w:t>国家财政部等部委印发关于2021年医疗服务与保障能力提升（公立医院综合改革）补助资金预算的通知，明确各地医疗服务与保障能力提升项目补助资金预算指标，持续深化公立医院综合改革，支持公立医院高质量发展。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24475" cy="3581400"/>
            <wp:effectExtent l="0" t="0" r="9525" b="0"/>
            <wp:docPr id="52"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IMG_262"/>
                    <pic:cNvPicPr>
                      <a:picLocks noChangeAspect="1"/>
                    </pic:cNvPicPr>
                  </pic:nvPicPr>
                  <pic:blipFill>
                    <a:blip r:embed="rId12"/>
                    <a:stretch>
                      <a:fillRect/>
                    </a:stretch>
                  </pic:blipFill>
                  <pic:spPr>
                    <a:xfrm>
                      <a:off x="0" y="0"/>
                      <a:ext cx="5324475" cy="35814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图4：医疗升级政策来源：火石创造根据公开资料整理</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04</w:t>
      </w:r>
      <w:r>
        <w:rPr>
          <w:rFonts w:hint="default" w:eastAsia="宋体" w:cs="Times New Roman" w:asciiTheme="minorEastAsia" w:hAnsiTheme="minorEastAsia"/>
          <w:b/>
          <w:bCs/>
          <w:kern w:val="2"/>
          <w:sz w:val="28"/>
          <w:szCs w:val="28"/>
          <w:lang w:val="en-US" w:eastAsia="zh-CN" w:bidi="ar-SA"/>
        </w:rPr>
        <w:t>新冠疫情防控</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p>
    <w:p>
      <w:pPr>
        <w:keepNext w:val="0"/>
        <w:keepLines w:val="0"/>
        <w:widowControl/>
        <w:suppressLineNumbers w:val="0"/>
        <w:spacing w:before="0" w:beforeAutospacing="0" w:after="0" w:afterAutospacing="0"/>
        <w:ind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2021年，国家持续出台相关政策措施，统筹抓好疫情常态化防控和经济社会发展。</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在疫情防控方面，</w:t>
      </w:r>
      <w:r>
        <w:rPr>
          <w:rFonts w:hint="eastAsia" w:eastAsia="宋体" w:cs="Times New Roman" w:asciiTheme="minorEastAsia" w:hAnsiTheme="minorEastAsia"/>
          <w:kern w:val="2"/>
          <w:sz w:val="28"/>
          <w:szCs w:val="28"/>
          <w:lang w:val="en-US" w:eastAsia="zh-CN" w:bidi="ar-SA"/>
        </w:rPr>
        <w:t>《国务院应对新型冠状病毒感染肺炎疫情联防联控机制印发通知》指出，主抓疫情应急指挥体系建设、提升核酸检测能力、加强流调溯源力量、严格重点人员隔离管控、加快补齐口岸城市防控短板弱项等工作。</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在防疫物资方面，</w:t>
      </w:r>
      <w:r>
        <w:rPr>
          <w:rFonts w:hint="eastAsia" w:eastAsia="宋体" w:cs="Times New Roman" w:asciiTheme="minorEastAsia" w:hAnsiTheme="minorEastAsia"/>
          <w:kern w:val="2"/>
          <w:sz w:val="28"/>
          <w:szCs w:val="28"/>
          <w:lang w:val="en-US" w:eastAsia="zh-CN" w:bidi="ar-SA"/>
        </w:rPr>
        <w:t>海关总署对于进出口的捐赠物资、出入境特殊物品等管理办法进行修订与强化管理，切实保障疫情防控物资的安全性。</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在疫苗监管方面，</w:t>
      </w:r>
      <w:r>
        <w:rPr>
          <w:rFonts w:hint="eastAsia" w:eastAsia="宋体" w:cs="Times New Roman" w:asciiTheme="minorEastAsia" w:hAnsiTheme="minorEastAsia"/>
          <w:kern w:val="2"/>
          <w:sz w:val="28"/>
          <w:szCs w:val="28"/>
          <w:lang w:val="en-US" w:eastAsia="zh-CN" w:bidi="ar-SA"/>
        </w:rPr>
        <w:t>国家药监局出台《疫苗生产流通管理规定（征求意见稿）》，旨在构建科学、有效的疫苗生产流通监管体系，依法对疫苗的生产、流通管理活动进行规范。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20970" cy="3248660"/>
            <wp:effectExtent l="0" t="0" r="17780" b="8890"/>
            <wp:docPr id="68"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IMG_263"/>
                    <pic:cNvPicPr>
                      <a:picLocks noChangeAspect="1"/>
                    </pic:cNvPicPr>
                  </pic:nvPicPr>
                  <pic:blipFill>
                    <a:blip r:embed="rId13"/>
                    <a:stretch>
                      <a:fillRect/>
                    </a:stretch>
                  </pic:blipFill>
                  <pic:spPr>
                    <a:xfrm>
                      <a:off x="0" y="0"/>
                      <a:ext cx="5220970" cy="32486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kern w:val="2"/>
          <w:sz w:val="28"/>
          <w:szCs w:val="28"/>
          <w:lang w:val="en-US" w:eastAsia="zh-CN" w:bidi="ar-SA"/>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图5：新冠疫情防控政策来源：火石创造根据公开资料整理</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05</w:t>
      </w:r>
      <w:r>
        <w:rPr>
          <w:rFonts w:hint="default" w:eastAsia="宋体" w:cs="Times New Roman" w:asciiTheme="minorEastAsia" w:hAnsiTheme="minorEastAsia"/>
          <w:b/>
          <w:bCs/>
          <w:kern w:val="2"/>
          <w:sz w:val="28"/>
          <w:szCs w:val="28"/>
          <w:lang w:val="en-US" w:eastAsia="zh-CN" w:bidi="ar-SA"/>
        </w:rPr>
        <w:t>中医药特色发展</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r>
        <w:rPr>
          <w:rFonts w:hint="eastAsia" w:eastAsia="宋体" w:cs="Times New Roman" w:asciiTheme="minorEastAsia" w:hAnsiTheme="minorEastAsia"/>
          <w:kern w:val="2"/>
          <w:sz w:val="28"/>
          <w:szCs w:val="28"/>
          <w:lang w:val="en-US" w:eastAsia="zh-CN" w:bidi="ar-SA"/>
        </w:rPr>
        <w:t>2021年，中医药利好政策频出，行业迎来发展良机。</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推出中医药特色发展若干政策措施。</w:t>
      </w:r>
      <w:r>
        <w:rPr>
          <w:rFonts w:hint="eastAsia" w:eastAsia="宋体" w:cs="Times New Roman" w:asciiTheme="minorEastAsia" w:hAnsiTheme="minorEastAsia"/>
          <w:kern w:val="2"/>
          <w:sz w:val="28"/>
          <w:szCs w:val="28"/>
          <w:lang w:val="en-US" w:eastAsia="zh-CN" w:bidi="ar-SA"/>
        </w:rPr>
        <w:t>2021年2月，国务院办公厅印发《关于加快中医药特色发展若干政策措施的通知》，明确要提高中药产业发展活力，加快推进中药审评审批机制改革，提升中药注册申请技术指导水平和注册服务能力。同时，完善中药分类注册管理，优化具有人用经验的中药新药审评审批。</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建成预防、治疗和康复的中医药服务体系。</w:t>
      </w:r>
      <w:r>
        <w:rPr>
          <w:rFonts w:hint="eastAsia" w:eastAsia="宋体" w:cs="Times New Roman" w:asciiTheme="minorEastAsia" w:hAnsiTheme="minorEastAsia"/>
          <w:kern w:val="2"/>
          <w:sz w:val="28"/>
          <w:szCs w:val="28"/>
          <w:lang w:val="en-US" w:eastAsia="zh-CN" w:bidi="ar-SA"/>
        </w:rPr>
        <w:t>2021年6月，国家发展改革委、国家卫生健康委、国家中医药管理局、国家疾病预防控制局联合印发《“十四五”优质高效医疗卫生服务体系建设实施方案》，明确要促进中医药传承创新；中央预算内投资将重点支持国家中医药传承创新中心、国家中医疫病防治基地、中西医协同“旗舰”医院、中医特色重点医院和名医堂建设等，发挥中医药整体医学优势，推动建成融预防保健、疾病治疗和康复于一体的中医药服务体系。</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支持中医药创新团队及人才。</w:t>
      </w:r>
      <w:r>
        <w:rPr>
          <w:rFonts w:hint="eastAsia" w:eastAsia="宋体" w:cs="Times New Roman" w:asciiTheme="minorEastAsia" w:hAnsiTheme="minorEastAsia"/>
          <w:kern w:val="2"/>
          <w:sz w:val="28"/>
          <w:szCs w:val="28"/>
          <w:lang w:val="en-US" w:eastAsia="zh-CN" w:bidi="ar-SA"/>
        </w:rPr>
        <w:t>2021年10月，《中医药创新团队及人才支持计划项目实施方案》出台，以中医药发展重大需求为牵引，以促进融合创新、团队实践为导向，以多学科交叉团队建设和人才培养为重点，遴选组建若干国家中医药多学科交叉创新团队和国家中医药传承创新团队。</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中药配方颗粒品种实施备案管理。</w:t>
      </w:r>
      <w:r>
        <w:rPr>
          <w:rFonts w:hint="eastAsia" w:eastAsia="宋体" w:cs="Times New Roman" w:asciiTheme="minorEastAsia" w:hAnsiTheme="minorEastAsia"/>
          <w:kern w:val="2"/>
          <w:sz w:val="28"/>
          <w:szCs w:val="28"/>
          <w:lang w:val="en-US" w:eastAsia="zh-CN" w:bidi="ar-SA"/>
        </w:rPr>
        <w:t>多部委于2021年2月联合印发关于结束中药配方颗粒试点工作的公告，结束了长达20年的中药配方颗粒试点工作，规定了中药配方颗粒品种实施备案管理，不实施批准文号管理，在上市前由生产企业报所在地省级药品监督管理部门备案。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115560" cy="3239135"/>
            <wp:effectExtent l="0" t="0" r="8890" b="18415"/>
            <wp:docPr id="71"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descr="IMG_264"/>
                    <pic:cNvPicPr>
                      <a:picLocks noChangeAspect="1"/>
                    </pic:cNvPicPr>
                  </pic:nvPicPr>
                  <pic:blipFill>
                    <a:blip r:embed="rId14"/>
                    <a:stretch>
                      <a:fillRect/>
                    </a:stretch>
                  </pic:blipFill>
                  <pic:spPr>
                    <a:xfrm>
                      <a:off x="0" y="0"/>
                      <a:ext cx="5115560" cy="3239135"/>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rPr>
          <w:rFonts w:hint="eastAsia" w:eastAsia="宋体" w:cs="Times New Roman" w:asciiTheme="minorEastAsia" w:hAnsiTheme="minorEastAsia"/>
          <w:kern w:val="2"/>
          <w:sz w:val="28"/>
          <w:szCs w:val="28"/>
          <w:lang w:val="en-US" w:eastAsia="zh-CN" w:bidi="ar-SA"/>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图6：中医药特色发展政策来源：火石创造根据公开资料整理</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06</w:t>
      </w:r>
      <w:r>
        <w:rPr>
          <w:rFonts w:hint="default" w:eastAsia="宋体" w:cs="Times New Roman" w:asciiTheme="minorEastAsia" w:hAnsiTheme="minorEastAsia"/>
          <w:b/>
          <w:bCs/>
          <w:kern w:val="2"/>
          <w:sz w:val="28"/>
          <w:szCs w:val="28"/>
          <w:lang w:val="en-US" w:eastAsia="zh-CN" w:bidi="ar-SA"/>
        </w:rPr>
        <w:t>行业法规条例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240" w:afterAutospacing="0"/>
        <w:ind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2021年，国务院和各部委在医药健康领域出台了多项产业监管政令，内容涉及医保基金、原料药、医美美妆和医疗器械等方面。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105400" cy="3305810"/>
            <wp:effectExtent l="0" t="0" r="0" b="8890"/>
            <wp:docPr id="72"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descr="IMG_265"/>
                    <pic:cNvPicPr>
                      <a:picLocks noChangeAspect="1"/>
                    </pic:cNvPicPr>
                  </pic:nvPicPr>
                  <pic:blipFill>
                    <a:blip r:embed="rId15"/>
                    <a:stretch>
                      <a:fillRect/>
                    </a:stretch>
                  </pic:blipFill>
                  <pic:spPr>
                    <a:xfrm>
                      <a:off x="0" y="0"/>
                      <a:ext cx="5105400" cy="330581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420" w:right="0" w:hanging="420" w:hangingChars="200"/>
        <w:jc w:val="left"/>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图7：医药健康产业法规条例来源：火石创造根据公开资料整理</w:t>
      </w:r>
    </w:p>
    <w:p>
      <w:pPr>
        <w:keepNext w:val="0"/>
        <w:keepLines w:val="0"/>
        <w:widowControl/>
        <w:suppressLineNumbers w:val="0"/>
        <w:spacing w:before="0" w:beforeAutospacing="0" w:after="240" w:afterAutospacing="0"/>
        <w:ind w:left="420" w:right="0" w:hanging="420" w:hangingChars="200"/>
        <w:jc w:val="left"/>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pPr>
    </w:p>
    <w:p>
      <w:pPr>
        <w:keepNext w:val="0"/>
        <w:keepLines w:val="0"/>
        <w:widowControl/>
        <w:suppressLineNumbers w:val="0"/>
        <w:spacing w:before="0" w:beforeAutospacing="0" w:after="240" w:afterAutospacing="0"/>
        <w:ind w:right="0" w:firstLine="562" w:firstLineChars="20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color w:val="FF0000"/>
          <w:kern w:val="2"/>
          <w:sz w:val="28"/>
          <w:szCs w:val="28"/>
          <w:lang w:val="en-US" w:eastAsia="zh-CN" w:bidi="ar-SA"/>
        </w:rPr>
        <w:t>织密扎牢医保基金监管的制度笼子。</w:t>
      </w:r>
      <w:r>
        <w:rPr>
          <w:rFonts w:hint="eastAsia" w:eastAsia="宋体" w:cs="Times New Roman" w:asciiTheme="minorEastAsia" w:hAnsiTheme="minorEastAsia"/>
          <w:kern w:val="2"/>
          <w:sz w:val="28"/>
          <w:szCs w:val="28"/>
          <w:lang w:val="en-US" w:eastAsia="zh-CN" w:bidi="ar-SA"/>
        </w:rPr>
        <w:t>2021年2月，国家出台《医疗保障基金使用监督管理条例》。《条例》具体包括六方面内容：明确基金使用相关主体的职责；对构建行政监管、社会监督、行业自律相结合的监管体制作出了规定；对建立医保、卫生、中医药、市场监督、财政、审计、公安等部门的监管合作机制作出安排；对加强医保协议管理提出了要求；对监管的形式作出规范；对监督检查的措施及程序作出了规定。近几年，医保诈骗呈高发多发态势，一些医疗机构也存在不同程度的过度诊疗问题。《条例》加大对违法行为处罚力度，提高法律震慑力。</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加快原料药绿色高质量发展，破除垄断乱相。</w:t>
      </w:r>
      <w:r>
        <w:rPr>
          <w:rFonts w:hint="eastAsia" w:eastAsia="宋体" w:cs="Times New Roman" w:asciiTheme="minorEastAsia" w:hAnsiTheme="minorEastAsia"/>
          <w:kern w:val="2"/>
          <w:sz w:val="28"/>
          <w:szCs w:val="28"/>
          <w:lang w:val="en-US" w:eastAsia="zh-CN" w:bidi="ar-SA"/>
        </w:rPr>
        <w:t>2021年10月，国家发展改革委、工业和信息化部共同出台《关于推动原料药产业高质量发展实施方案》，《实施方案》明确了推动原料药产业高质量发展的基本原则、发展目标和重点任务。原料药行业后续将在技术创新升级、绿色低碳发展、产业布局调整和国际化发展等方面重点发力。2021年11月，国务院反垄断委员会发布《关于原料药领域的反垄断指南》，《指南》包括六章29条，将预防和制止原料药领域垄断行为，进一步明确市场竞争规则，维护原料药领域市场竞争秩序，保护消费者利益和社会公共利益。</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医美美妆行业迎来规范化发展。2021年，国家市场监督管理总局先后颁布《化妆品注册备案管理办法》（国家市场监督管理总局令第35号）、《化妆品生产经营监督管理办法》（国家市场监督管理总局令第46号），管理办法将规范化妆品注册和备案行为，规范化妆品生产经营活动，加强化妆品监督管理，保证化妆品质量安全。同时，国家市场监管总局发布《医疗美容广告执法指南》，将规范和加强医疗美容广告监管，有效维护医疗美容广告市场秩序，保护消费者合法权益。</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为医疗器械产业高质量发展提供法规保障。</w:t>
      </w:r>
      <w:r>
        <w:rPr>
          <w:rFonts w:hint="eastAsia" w:eastAsia="宋体" w:cs="Times New Roman" w:asciiTheme="minorEastAsia" w:hAnsiTheme="minorEastAsia"/>
          <w:kern w:val="2"/>
          <w:sz w:val="28"/>
          <w:szCs w:val="28"/>
          <w:lang w:val="en-US" w:eastAsia="zh-CN" w:bidi="ar-SA"/>
        </w:rPr>
        <w:t>《医疗器械监督管理条例》已经2020年12月21日国务院第119次常务会议修订通过，自2021年6月1日起施行。《条例》落实医疗器械注册人、备案人制度，强化企业主体责任。规定注册人、备案人应当建立并有效运行质量管理体系，加强产品上市后管理，建立并执行产品追溯和召回制度，对医疗器械研制、生产、经营、使用全过程中的安全性、有效性依法承担责任。《条例》落实“放管服”改革举措，鼓励行业创新发展。将医疗器械创新纳入发展重点，优化审批、备案程序，对临床试验实行默示许可，缩短审查期限，实行告知性备案。《条例》完善监管制度，提高监管效能。《条例》加大惩处力度，提高违法成本。《医疗器械注册与备案管理办法》（国家市场监督管理总局令第47号）自2021年10月1日起施行，将规范医疗器械注册与备案行为，保证医疗器械的安全、有效和质量可控。《体外诊断试剂注册与备案管理办法》（国家市场监督管理总局令第48号）自2021年10月1日起施行，对体外诊断这一器械细分领域的注册与备案进行规范，保证体外诊断试剂的安全、有效和质量可控。</w:t>
      </w:r>
      <w:r>
        <w:rPr>
          <w:rFonts w:hint="eastAsia" w:eastAsia="宋体" w:cs="Times New Roman" w:asciiTheme="minorEastAsia" w:hAnsiTheme="minorEastAsia"/>
          <w:kern w:val="2"/>
          <w:sz w:val="28"/>
          <w:szCs w:val="28"/>
          <w:lang w:val="en-US" w:eastAsia="zh-CN" w:bidi="ar-SA"/>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eastAsia="宋体" w:cs="Times New Roman" w:asciiTheme="minorEastAsia" w:hAnsiTheme="minorEastAsia"/>
          <w:b/>
          <w:bCs/>
          <w:kern w:val="2"/>
          <w:sz w:val="28"/>
          <w:szCs w:val="28"/>
          <w:lang w:val="en-US" w:eastAsia="zh-CN" w:bidi="ar-SA"/>
        </w:rPr>
        <w:t>07</w:t>
      </w:r>
      <w:r>
        <w:rPr>
          <w:rFonts w:hint="default" w:eastAsia="宋体" w:cs="Times New Roman" w:asciiTheme="minorEastAsia" w:hAnsiTheme="minorEastAsia"/>
          <w:b/>
          <w:bCs/>
          <w:kern w:val="2"/>
          <w:sz w:val="28"/>
          <w:szCs w:val="28"/>
          <w:lang w:val="en-US" w:eastAsia="zh-CN" w:bidi="ar-SA"/>
        </w:rPr>
        <w:t>前沿技术指南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240" w:afterAutospacing="0"/>
        <w:ind w:left="0"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创新是我国当下医药产业发展的主线。2021年国家药监局药审中心出台一系列指导原则鼓励前沿医疗科技的发展。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4982210" cy="3486150"/>
            <wp:effectExtent l="0" t="0" r="8890" b="0"/>
            <wp:docPr id="73"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descr="IMG_266"/>
                    <pic:cNvPicPr>
                      <a:picLocks noChangeAspect="1"/>
                    </pic:cNvPicPr>
                  </pic:nvPicPr>
                  <pic:blipFill>
                    <a:blip r:embed="rId16"/>
                    <a:stretch>
                      <a:fillRect/>
                    </a:stretch>
                  </pic:blipFill>
                  <pic:spPr>
                    <a:xfrm>
                      <a:off x="0" y="0"/>
                      <a:ext cx="4982210" cy="34861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default" w:eastAsia="宋体" w:cs="Times New Roman" w:asciiTheme="minorEastAsia" w:hAnsiTheme="minorEastAsia"/>
          <w:b/>
          <w:bCs/>
          <w:kern w:val="2"/>
          <w:sz w:val="28"/>
          <w:szCs w:val="28"/>
          <w:lang w:val="en-US" w:eastAsia="zh-CN" w:bidi="ar-SA"/>
        </w:rPr>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图8：医药前沿技术指南</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来源：火石创造根据公开资料整理</w:t>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r>
        <w:rPr>
          <w:rFonts w:hint="eastAsia" w:eastAsia="宋体" w:cs="Times New Roman" w:asciiTheme="minorEastAsia" w:hAnsiTheme="minorEastAsia"/>
          <w:b/>
          <w:bCs/>
          <w:color w:val="FF0000"/>
          <w:kern w:val="2"/>
          <w:sz w:val="28"/>
          <w:szCs w:val="28"/>
          <w:lang w:val="en-US" w:eastAsia="zh-CN" w:bidi="ar-SA"/>
        </w:rPr>
        <w:t>前沿生物科技有规可循。</w:t>
      </w:r>
      <w:r>
        <w:rPr>
          <w:rFonts w:hint="eastAsia" w:eastAsia="宋体" w:cs="Times New Roman" w:asciiTheme="minorEastAsia" w:hAnsiTheme="minorEastAsia"/>
          <w:kern w:val="2"/>
          <w:sz w:val="28"/>
          <w:szCs w:val="28"/>
          <w:lang w:val="en-US" w:eastAsia="zh-CN" w:bidi="ar-SA"/>
        </w:rPr>
        <w:t>2021年国家药监局药审中心在细胞治疗、基因治疗、溶瘤病毒和纳米药物等领域出台专门的技术指导原则，为相关企业的研发提供指导，加快前沿生物医疗技术的开发，推动新产品上市。</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创新产品研发详细指导。</w:t>
      </w:r>
      <w:r>
        <w:rPr>
          <w:rFonts w:hint="eastAsia" w:eastAsia="宋体" w:cs="Times New Roman" w:asciiTheme="minorEastAsia" w:hAnsiTheme="minorEastAsia"/>
          <w:kern w:val="2"/>
          <w:sz w:val="28"/>
          <w:szCs w:val="28"/>
          <w:lang w:val="en-US" w:eastAsia="zh-CN" w:bidi="ar-SA"/>
        </w:rPr>
        <w:t>2021年国家药监局在化学新药、生物类似药、治疗性蛋白、放射性体内诊断药物、中药新药等领域出台指导原则，为创新产品的研发上市提供更多的指引。</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重点用药领域深度关注。</w:t>
      </w:r>
      <w:r>
        <w:rPr>
          <w:rFonts w:hint="eastAsia" w:eastAsia="宋体" w:cs="Times New Roman" w:asciiTheme="minorEastAsia" w:hAnsiTheme="minorEastAsia"/>
          <w:kern w:val="2"/>
          <w:sz w:val="28"/>
          <w:szCs w:val="28"/>
          <w:lang w:val="en-US" w:eastAsia="zh-CN" w:bidi="ar-SA"/>
        </w:rPr>
        <w:t>2021年国家药监局在抗肿瘤用药、儿童用药、流感防治、新冠药物开发等重大疾病领域出台指导原则，将加快相关领域产品的研发突破。</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以临床价值为导向的药物开发。</w:t>
      </w:r>
      <w:r>
        <w:rPr>
          <w:rFonts w:hint="eastAsia" w:eastAsia="宋体" w:cs="Times New Roman" w:asciiTheme="minorEastAsia" w:hAnsiTheme="minorEastAsia"/>
          <w:kern w:val="2"/>
          <w:sz w:val="28"/>
          <w:szCs w:val="28"/>
          <w:lang w:val="en-US" w:eastAsia="zh-CN" w:bidi="ar-SA"/>
        </w:rPr>
        <w:t>针对创新药开发中存在的的靶点扎堆、疗效平平、投资无序、简单重复等乱象，国家药监局推出以临床价值为导向的药物开发指南，将推动我国创新药的开发回归到临床价值这一最根本的诉求上来。</w:t>
      </w: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b/>
          <w:bCs/>
          <w:kern w:val="2"/>
          <w:sz w:val="28"/>
          <w:szCs w:val="28"/>
          <w:lang w:val="en-US" w:eastAsia="zh-CN" w:bidi="ar-SA"/>
        </w:rPr>
        <w:t>08</w:t>
      </w:r>
      <w:r>
        <w:rPr>
          <w:rFonts w:hint="default" w:eastAsia="宋体" w:cs="Times New Roman" w:asciiTheme="minorEastAsia" w:hAnsiTheme="minorEastAsia"/>
          <w:b/>
          <w:bCs/>
          <w:kern w:val="2"/>
          <w:sz w:val="28"/>
          <w:szCs w:val="28"/>
          <w:lang w:val="en-US" w:eastAsia="zh-CN" w:bidi="ar-SA"/>
        </w:rPr>
        <w:t>地方特色政策</w:t>
      </w: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kern w:val="2"/>
          <w:sz w:val="28"/>
          <w:szCs w:val="28"/>
          <w:lang w:val="en-US" w:eastAsia="zh-CN" w:bidi="ar-SA"/>
        </w:rPr>
      </w:pP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br w:type="textWrapping"/>
      </w:r>
      <w:r>
        <w:rPr>
          <w:rFonts w:hint="eastAsia" w:ascii="Microsoft YaHei UI" w:hAnsi="Microsoft YaHei UI" w:eastAsia="Microsoft YaHei UI" w:cs="Microsoft YaHei UI"/>
          <w:i w:val="0"/>
          <w:iCs w:val="0"/>
          <w:caps w:val="0"/>
          <w:color w:val="5A5A5A"/>
          <w:spacing w:val="15"/>
          <w:kern w:val="0"/>
          <w:sz w:val="22"/>
          <w:szCs w:val="22"/>
          <w:shd w:val="clear" w:fill="FFFFFF"/>
          <w:lang w:val="en-US" w:eastAsia="zh-CN" w:bidi="ar"/>
        </w:rPr>
        <w:t xml:space="preserve">    </w:t>
      </w:r>
      <w:r>
        <w:rPr>
          <w:rFonts w:hint="eastAsia" w:eastAsia="宋体" w:cs="Times New Roman" w:asciiTheme="minorEastAsia" w:hAnsiTheme="minorEastAsia"/>
          <w:kern w:val="2"/>
          <w:sz w:val="28"/>
          <w:szCs w:val="28"/>
          <w:lang w:val="en-US" w:eastAsia="zh-CN" w:bidi="ar-SA"/>
        </w:rPr>
        <w:t>生物医药产业是我国重点发展的战略性新兴产业，也是各地大力培育的新的经济增长点。各地纷纷加码布局生物医药产业，出台相关产业政策，聚力产业高质量发展。其中，以长三角、京津冀、粤港澳大湾区等生物医药产业先进集聚区为代表。</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长三角地区打造全产业链政策支撑体系。</w:t>
      </w:r>
      <w:r>
        <w:rPr>
          <w:rFonts w:hint="eastAsia" w:eastAsia="宋体" w:cs="Times New Roman" w:asciiTheme="minorEastAsia" w:hAnsiTheme="minorEastAsia"/>
          <w:kern w:val="2"/>
          <w:sz w:val="28"/>
          <w:szCs w:val="28"/>
          <w:lang w:val="en-US" w:eastAsia="zh-CN" w:bidi="ar-SA"/>
        </w:rPr>
        <w:t>上海、杭州分别出台关于促进本市生物医药产业高质量发展的若干意见，皆提出建立健全全产业链政策支撑体系，进一步完善生物医药产业空间布局。</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京津冀地区推出医药健康协同创新行动。</w:t>
      </w:r>
      <w:r>
        <w:rPr>
          <w:rFonts w:hint="eastAsia" w:eastAsia="宋体" w:cs="Times New Roman" w:asciiTheme="minorEastAsia" w:hAnsiTheme="minorEastAsia"/>
          <w:kern w:val="2"/>
          <w:sz w:val="28"/>
          <w:szCs w:val="28"/>
          <w:lang w:val="en-US" w:eastAsia="zh-CN" w:bidi="ar-SA"/>
        </w:rPr>
        <w:t>北京颁发《北京市加快医药健康协同创新行动计划(2021—2023年)》，提出在提升原始创新策源能力、推动临床溢出效应显现、推动产业国际化高质量发展、完善产业发展生态、加强重点区域功能布局等5个方面重点着力。</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b/>
          <w:bCs/>
          <w:color w:val="FF0000"/>
          <w:kern w:val="2"/>
          <w:sz w:val="28"/>
          <w:szCs w:val="28"/>
          <w:lang w:val="en-US" w:eastAsia="zh-CN" w:bidi="ar-SA"/>
        </w:rPr>
        <w:t>粤港澳大湾区对细胞与基因产业发展进行立法。</w:t>
      </w:r>
      <w:r>
        <w:rPr>
          <w:rFonts w:hint="eastAsia" w:eastAsia="宋体" w:cs="Times New Roman" w:asciiTheme="minorEastAsia" w:hAnsiTheme="minorEastAsia"/>
          <w:kern w:val="2"/>
          <w:sz w:val="28"/>
          <w:szCs w:val="28"/>
          <w:lang w:val="en-US" w:eastAsia="zh-CN" w:bidi="ar-SA"/>
        </w:rPr>
        <w:t>深圳市发布《深圳经济特区细胞和基因产业促进条例（征求意见稿）》，该条例是深圳市人大常委会运用经济特区立法权，在细胞与基因这一新兴领域进行探索，对促进细胞与基因产业发展进行立法，有助于促进细胞与基因产业落实创新驱动战略，推动深圳的生物医药产业实现跨越式发展。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031105" cy="3030220"/>
            <wp:effectExtent l="0" t="0" r="17145" b="17780"/>
            <wp:docPr id="74"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IMG_267"/>
                    <pic:cNvPicPr>
                      <a:picLocks noChangeAspect="1"/>
                    </pic:cNvPicPr>
                  </pic:nvPicPr>
                  <pic:blipFill>
                    <a:blip r:embed="rId17"/>
                    <a:stretch>
                      <a:fillRect/>
                    </a:stretch>
                  </pic:blipFill>
                  <pic:spPr>
                    <a:xfrm>
                      <a:off x="0" y="0"/>
                      <a:ext cx="5031105" cy="30302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5A5A5A"/>
          <w:spacing w:val="15"/>
          <w:kern w:val="0"/>
          <w:sz w:val="18"/>
          <w:szCs w:val="18"/>
          <w:shd w:val="clear" w:fill="FFFFFF"/>
          <w:lang w:val="en-US" w:eastAsia="zh-CN" w:bidi="ar"/>
        </w:rPr>
        <w:t>图9：地方特色产业政策</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left="0" w:right="0" w:firstLine="42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各地医疗保障部门要切实担负起统筹协调和督促指导责任，细化完善本地区实施方案，会同相关部门加强政策协同和工作配合，及时开展接续工作，重大问题要及时向国家医疗保障局报告。国家组织药品联合采购办公室继续做好日常监测分析，督促执行采购结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left="0" w:right="0" w:firstLine="42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特此通知。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left="0" w:right="0" w:firstLine="42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国家医疗保障局办公室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left="0" w:right="0" w:firstLine="42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2021年11月3日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b/>
          <w:bCs/>
          <w:i w:val="0"/>
          <w:iCs w:val="0"/>
          <w:caps w:val="0"/>
          <w:color w:val="333333"/>
          <w:spacing w:val="8"/>
          <w:sz w:val="33"/>
          <w:szCs w:val="33"/>
          <w:shd w:val="clear" w:fill="FFFFFF"/>
        </w:rPr>
      </w:pPr>
      <w:r>
        <w:rPr>
          <w:rFonts w:hint="eastAsia" w:ascii="微软雅黑" w:hAnsi="微软雅黑" w:eastAsia="微软雅黑" w:cs="宋体"/>
          <w:b/>
          <w:color w:val="333333"/>
          <w:kern w:val="36"/>
          <w:sz w:val="24"/>
          <w:szCs w:val="22"/>
          <w:lang w:val="en-US" w:eastAsia="zh-CN" w:bidi="ar-SA"/>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bCs/>
          <w:i w:val="0"/>
          <w:iCs w:val="0"/>
          <w:caps w:val="0"/>
          <w:color w:val="333333"/>
          <w:spacing w:val="8"/>
          <w:sz w:val="33"/>
          <w:szCs w:val="33"/>
        </w:rPr>
      </w:pPr>
      <w:r>
        <w:rPr>
          <w:rFonts w:hint="eastAsia" w:ascii="Microsoft YaHei UI" w:hAnsi="Microsoft YaHei UI" w:eastAsia="Microsoft YaHei UI" w:cs="Microsoft YaHei UI"/>
          <w:b/>
          <w:bCs/>
          <w:i w:val="0"/>
          <w:iCs w:val="0"/>
          <w:caps w:val="0"/>
          <w:color w:val="333333"/>
          <w:spacing w:val="8"/>
          <w:sz w:val="33"/>
          <w:szCs w:val="33"/>
          <w:shd w:val="clear" w:fill="FFFFFF"/>
        </w:rPr>
        <w:t>新版基药目录调整最新进展来了！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333333"/>
          <w:spacing w:val="8"/>
          <w:sz w:val="0"/>
          <w:szCs w:val="0"/>
        </w:rPr>
      </w:pPr>
      <w:r>
        <w:rPr>
          <w:rFonts w:hint="eastAsia" w:ascii="Microsoft YaHei UI" w:hAnsi="Microsoft YaHei UI" w:eastAsia="Microsoft YaHei UI" w:cs="Microsoft YaHei UI"/>
          <w:i w:val="0"/>
          <w:iCs w:val="0"/>
          <w:caps w:val="0"/>
          <w:color w:val="333333"/>
          <w:spacing w:val="8"/>
          <w:kern w:val="0"/>
          <w:sz w:val="22"/>
          <w:szCs w:val="22"/>
          <w:shd w:val="clear" w:fill="FFFFFF"/>
          <w:lang w:val="en-US" w:eastAsia="zh-CN" w:bidi="ar"/>
        </w:rPr>
        <w:t>点击关注</w:t>
      </w:r>
      <w:r>
        <w:rPr>
          <w:rFonts w:hint="eastAsia" w:ascii="Microsoft YaHei UI" w:hAnsi="Microsoft YaHei UI" w:eastAsia="Microsoft YaHei UI" w:cs="Microsoft YaHei UI"/>
          <w:i w:val="0"/>
          <w:iCs w:val="0"/>
          <w:caps w:val="0"/>
          <w:color w:val="333333"/>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药闻康策</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333333"/>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333333"/>
          <w:spacing w:val="8"/>
          <w:kern w:val="0"/>
          <w:sz w:val="22"/>
          <w:szCs w:val="22"/>
          <w:shd w:val="clear" w:fill="FFFFFF"/>
          <w:lang w:val="en-US" w:eastAsia="zh-CN" w:bidi="ar"/>
        </w:rPr>
        <w:t>2022-01-15 00:00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color w:val="366091" w:themeColor="accent1" w:themeShade="BF"/>
          <w:kern w:val="2"/>
          <w:sz w:val="28"/>
          <w:szCs w:val="28"/>
          <w:lang w:val="en-US" w:eastAsia="zh-CN" w:bidi="ar-SA"/>
        </w:rPr>
      </w:pPr>
      <w:r>
        <w:rPr>
          <w:rFonts w:hint="eastAsia" w:eastAsia="宋体" w:cs="Times New Roman" w:asciiTheme="minorEastAsia" w:hAnsiTheme="minorEastAsia"/>
          <w:color w:val="366091" w:themeColor="accent1" w:themeShade="BF"/>
          <w:kern w:val="2"/>
          <w:sz w:val="28"/>
          <w:szCs w:val="28"/>
          <w:lang w:val="en-US" w:eastAsia="zh-CN" w:bidi="ar-SA"/>
        </w:rPr>
        <w:t>近日，业内传出国家卫健委药政司召开基本药物目录管理办法沟通会，会议就《基本药物目录管理办法》公开征求意见情况进行了反馈，并就行业关注的问题与参会学协会代表进行了交流讨论。</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pPr>
      <w:r>
        <w:rPr>
          <w:rFonts w:hint="eastAsia" w:eastAsia="宋体" w:cs="Times New Roman" w:asciiTheme="minorEastAsia" w:hAnsiTheme="minorEastAsia"/>
          <w:b/>
          <w:bCs/>
          <w:kern w:val="2"/>
          <w:sz w:val="28"/>
          <w:szCs w:val="28"/>
          <w:lang w:val="en-US" w:eastAsia="zh-CN" w:bidi="ar-SA"/>
        </w:rPr>
        <w:t>1基药调整最新消息</w:t>
      </w:r>
    </w:p>
    <w:p>
      <w:pPr>
        <w:keepNext w:val="0"/>
        <w:keepLines w:val="0"/>
        <w:widowControl/>
        <w:suppressLineNumbers w:val="0"/>
        <w:spacing w:before="0" w:beforeAutospacing="0" w:after="0" w:afterAutospacing="0"/>
        <w:ind w:left="0" w:right="0" w:firstLine="560" w:firstLineChars="20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color w:val="E36C09" w:themeColor="accent6" w:themeShade="BF"/>
          <w:kern w:val="2"/>
          <w:sz w:val="28"/>
          <w:szCs w:val="28"/>
          <w:lang w:val="en-US" w:eastAsia="zh-CN" w:bidi="ar-SA"/>
        </w:rPr>
        <w:t>基药目录调整再传消息。其中，儿童基药目录，将参考WHO的定义和标准制定，专家认为，纳入抗菌药物非常必要；暂不接受企业申报，但会参考国际、国家级指南等；“重点监控药品不纳入基药”这条款将删除，避免过度解读；“优先纳入医保甲类、谈判药、过评药、集采中选药”将予以考虑；同时，目录将限定剂型与规格。</w:t>
      </w:r>
      <w:r>
        <w:rPr>
          <w:rFonts w:hint="eastAsia" w:eastAsia="宋体" w:cs="Times New Roman" w:asciiTheme="minorEastAsia" w:hAnsiTheme="minorEastAsia"/>
          <w:color w:val="E36C09" w:themeColor="accent6" w:themeShade="BF"/>
          <w:kern w:val="2"/>
          <w:sz w:val="28"/>
          <w:szCs w:val="28"/>
          <w:lang w:val="en-US" w:eastAsia="zh-CN" w:bidi="ar-SA"/>
        </w:rPr>
        <w:br w:type="textWrapping"/>
      </w:r>
      <w:r>
        <w:rPr>
          <w:rFonts w:hint="eastAsia" w:cs="Times New Roman" w:asciiTheme="minorEastAsia" w:hAnsiTheme="minorEastAsia"/>
          <w:color w:val="E36C09" w:themeColor="accent6" w:themeShade="BF"/>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据业内消息，近日，相关部门组织召开基药目录管理办法沟通会，会议内容不径而走。</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11月15日，国家卫健委发布</w:t>
      </w:r>
      <w:r>
        <w:rPr>
          <w:rFonts w:hint="eastAsia" w:eastAsia="宋体" w:cs="Times New Roman" w:asciiTheme="minorEastAsia" w:hAnsiTheme="minorEastAsia"/>
          <w:kern w:val="2"/>
          <w:sz w:val="28"/>
          <w:szCs w:val="28"/>
          <w:lang w:val="en-US" w:eastAsia="zh-CN" w:bidi="ar-SA"/>
        </w:rPr>
        <w:fldChar w:fldCharType="begin"/>
      </w:r>
      <w:r>
        <w:rPr>
          <w:rFonts w:hint="eastAsia" w:eastAsia="宋体" w:cs="Times New Roman" w:asciiTheme="minorEastAsia" w:hAnsiTheme="minorEastAsia"/>
          <w:kern w:val="2"/>
          <w:sz w:val="28"/>
          <w:szCs w:val="28"/>
          <w:lang w:val="en-US" w:eastAsia="zh-CN" w:bidi="ar-SA"/>
        </w:rPr>
        <w:instrText xml:space="preserve"> HYPERLINK "http://mp.weixin.qq.com/s?__biz=MzA3NDM5MzA3Mg==&amp;mid=2653737786&amp;idx=1&amp;sn=4000a15a8bb2a606ffb86e9d6ceff04f&amp;chksm=84d807a5b3af8eb3f7256edc6b1590b35a038e7810402b6643d3e20d3114943c598a742c1a2a&amp;scene=21" \l "wechat_redirect" \t "https://mp.weixin.qq.com/_blank" </w:instrText>
      </w:r>
      <w:r>
        <w:rPr>
          <w:rFonts w:hint="eastAsia" w:eastAsia="宋体" w:cs="Times New Roman" w:asciiTheme="minorEastAsia" w:hAnsiTheme="minorEastAsia"/>
          <w:kern w:val="2"/>
          <w:sz w:val="28"/>
          <w:szCs w:val="28"/>
          <w:lang w:val="en-US" w:eastAsia="zh-CN" w:bidi="ar-SA"/>
        </w:rPr>
        <w:fldChar w:fldCharType="separate"/>
      </w:r>
      <w:r>
        <w:rPr>
          <w:rFonts w:hint="eastAsia" w:eastAsia="宋体" w:cs="Times New Roman" w:asciiTheme="minorEastAsia" w:hAnsiTheme="minorEastAsia"/>
          <w:kern w:val="2"/>
          <w:sz w:val="28"/>
          <w:szCs w:val="28"/>
          <w:lang w:val="en-US" w:eastAsia="zh-CN" w:bidi="ar-SA"/>
        </w:rPr>
        <w:t>《国家基本药物目录管理办法（修订草案）》</w:t>
      </w:r>
      <w:r>
        <w:rPr>
          <w:rFonts w:hint="eastAsia" w:eastAsia="宋体" w:cs="Times New Roman" w:asciiTheme="minorEastAsia" w:hAnsiTheme="minorEastAsia"/>
          <w:kern w:val="2"/>
          <w:sz w:val="28"/>
          <w:szCs w:val="28"/>
          <w:lang w:val="en-US" w:eastAsia="zh-CN" w:bidi="ar-SA"/>
        </w:rPr>
        <w:fldChar w:fldCharType="end"/>
      </w:r>
      <w:r>
        <w:rPr>
          <w:rFonts w:hint="eastAsia" w:eastAsia="宋体" w:cs="Times New Roman" w:asciiTheme="minorEastAsia" w:hAnsiTheme="minorEastAsia"/>
          <w:kern w:val="2"/>
          <w:sz w:val="28"/>
          <w:szCs w:val="28"/>
          <w:lang w:val="en-US" w:eastAsia="zh-CN" w:bidi="ar-SA"/>
        </w:rPr>
        <w:t>征求意见稿，明确基本药物遴选按照</w:t>
      </w:r>
      <w:r>
        <w:rPr>
          <w:rFonts w:hint="eastAsia" w:eastAsia="宋体" w:cs="Times New Roman" w:asciiTheme="minorEastAsia" w:hAnsiTheme="minorEastAsia"/>
          <w:b/>
          <w:bCs/>
          <w:kern w:val="2"/>
          <w:sz w:val="28"/>
          <w:szCs w:val="28"/>
          <w:lang w:val="en-US" w:eastAsia="zh-CN" w:bidi="ar-SA"/>
        </w:rPr>
        <w:t>“突出基本、防治必需、保障供应、优先使用、保证质量、降低负担”的功能定位，</w:t>
      </w:r>
      <w:r>
        <w:rPr>
          <w:rFonts w:hint="eastAsia" w:eastAsia="宋体" w:cs="Times New Roman" w:asciiTheme="minorEastAsia" w:hAnsiTheme="minorEastAsia"/>
          <w:kern w:val="2"/>
          <w:sz w:val="28"/>
          <w:szCs w:val="28"/>
          <w:lang w:val="en-US" w:eastAsia="zh-CN" w:bidi="ar-SA"/>
        </w:rPr>
        <w:t>坚持</w:t>
      </w:r>
      <w:r>
        <w:rPr>
          <w:rFonts w:hint="eastAsia" w:eastAsia="宋体" w:cs="Times New Roman" w:asciiTheme="minorEastAsia" w:hAnsiTheme="minorEastAsia"/>
          <w:b/>
          <w:bCs/>
          <w:kern w:val="2"/>
          <w:sz w:val="28"/>
          <w:szCs w:val="28"/>
          <w:lang w:val="en-US" w:eastAsia="zh-CN" w:bidi="ar-SA"/>
        </w:rPr>
        <w:t>中西药并重、临床首选的原则</w:t>
      </w:r>
      <w:r>
        <w:rPr>
          <w:rFonts w:hint="eastAsia" w:ascii="Microsoft YaHei UI" w:hAnsi="Microsoft YaHei UI" w:eastAsia="Microsoft YaHei UI" w:cs="Microsoft YaHei UI"/>
          <w:i w:val="0"/>
          <w:iCs w:val="0"/>
          <w:caps w:val="0"/>
          <w:color w:val="333333"/>
          <w:spacing w:val="15"/>
          <w:kern w:val="0"/>
          <w:sz w:val="22"/>
          <w:szCs w:val="22"/>
          <w:shd w:val="clear" w:fill="FFFFFF"/>
          <w:lang w:val="en-US" w:eastAsia="zh-CN" w:bidi="ar"/>
        </w:rPr>
        <w:t>，</w:t>
      </w:r>
      <w:r>
        <w:rPr>
          <w:rFonts w:hint="eastAsia" w:eastAsia="宋体" w:cs="Times New Roman" w:asciiTheme="minorEastAsia" w:hAnsiTheme="minorEastAsia"/>
          <w:kern w:val="2"/>
          <w:sz w:val="28"/>
          <w:szCs w:val="28"/>
          <w:lang w:val="en-US" w:eastAsia="zh-CN" w:bidi="ar-SA"/>
        </w:rPr>
        <w:t>参照国际经验合理确定。</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t xml:space="preserve">    </w:t>
      </w:r>
      <w:r>
        <w:rPr>
          <w:rFonts w:hint="eastAsia" w:eastAsia="宋体" w:cs="Times New Roman" w:asciiTheme="minorEastAsia" w:hAnsiTheme="minorEastAsia"/>
          <w:kern w:val="2"/>
          <w:sz w:val="28"/>
          <w:szCs w:val="28"/>
          <w:lang w:val="en-US" w:eastAsia="zh-CN" w:bidi="ar-SA"/>
        </w:rPr>
        <w:t>国家基本药物</w:t>
      </w:r>
      <w:r>
        <w:rPr>
          <w:rFonts w:hint="eastAsia" w:eastAsia="宋体" w:cs="Times New Roman" w:asciiTheme="minorEastAsia" w:hAnsiTheme="minorEastAsia"/>
          <w:b/>
          <w:bCs/>
          <w:kern w:val="2"/>
          <w:sz w:val="28"/>
          <w:szCs w:val="28"/>
          <w:lang w:val="en-US" w:eastAsia="zh-CN" w:bidi="ar-SA"/>
        </w:rPr>
        <w:t>包括化学药品和生物制品目录、中药目录和儿童药品目录等。</w:t>
      </w:r>
      <w:r>
        <w:rPr>
          <w:rFonts w:hint="eastAsia" w:eastAsia="宋体" w:cs="Times New Roman" w:asciiTheme="minorEastAsia" w:hAnsiTheme="minorEastAsia"/>
          <w:kern w:val="2"/>
          <w:sz w:val="28"/>
          <w:szCs w:val="28"/>
          <w:lang w:val="en-US" w:eastAsia="zh-CN" w:bidi="ar-SA"/>
        </w:rPr>
        <w:t>化学药品和生物制品主要依据临床药理学分类，中成药主要依据功能分类，儿童药品主要依据儿童专用适用药分类。</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纳入国家基本药物目录中的药品，应当是经国家药品监管部门批准，并取得药品注册证书或批准文号的药品,以及按国家标准炮制的中药饮片。除急（抢）救用药外，独家生产品种纳入国家基本药物目录应当经过单独论证。</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国家基本药物目录坚持定期评估、动态管理，</w:t>
      </w:r>
      <w:r>
        <w:rPr>
          <w:rFonts w:hint="eastAsia" w:eastAsia="宋体" w:cs="Times New Roman" w:asciiTheme="minorEastAsia" w:hAnsiTheme="minorEastAsia"/>
          <w:b/>
          <w:bCs/>
          <w:kern w:val="2"/>
          <w:sz w:val="28"/>
          <w:szCs w:val="28"/>
          <w:lang w:val="en-US" w:eastAsia="zh-CN" w:bidi="ar-SA"/>
        </w:rPr>
        <w:t>调整周期原则上不超过3年。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240" w:afterAutospacing="0"/>
        <w:ind w:left="281" w:right="0" w:hanging="281" w:hangingChars="10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2儿童基药目录参考WHO标准制定</w:t>
      </w:r>
    </w:p>
    <w:p>
      <w:pPr>
        <w:keepNext w:val="0"/>
        <w:keepLines w:val="0"/>
        <w:widowControl/>
        <w:suppressLineNumbers w:val="0"/>
        <w:spacing w:before="0" w:beforeAutospacing="0" w:after="240" w:afterAutospacing="0"/>
        <w:ind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而此次会议内容，应该是对征求意见稿反馈的意见进行讨论。据悉，关于儿童药品的定义、划分标准等，将参考世界卫生组织的儿童基药目录，并成立专门的儿童药物评审组，意见基本采纳，具体内容将在工作方案中予以细化。</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据《中国卫生杂志》报道，“我们很需要一个儿童基本药物目录，也期待了好多年，希望能够尽快看到中国儿童基本药物目录的诞生。”复旦大学附属儿科医院传染科主任曾玫在接受采访时说出了自己的期待。</w:t>
      </w:r>
    </w:p>
    <w:p>
      <w:pPr>
        <w:keepNext w:val="0"/>
        <w:keepLines w:val="0"/>
        <w:widowControl/>
        <w:suppressLineNumbers w:val="0"/>
        <w:spacing w:before="0" w:beforeAutospacing="0" w:after="240" w:afterAutospacing="0"/>
        <w:ind w:right="0" w:firstLine="560" w:firstLineChars="200"/>
        <w:jc w:val="left"/>
        <w:rPr>
          <w:rFonts w:hint="eastAsia" w:ascii="Microsoft YaHei UI" w:hAnsi="Microsoft YaHei UI" w:eastAsia="Microsoft YaHei UI" w:cs="Microsoft YaHei UI"/>
          <w:spacing w:val="8"/>
          <w:sz w:val="24"/>
          <w:szCs w:val="24"/>
        </w:rPr>
      </w:pPr>
      <w:r>
        <w:rPr>
          <w:rFonts w:hint="eastAsia" w:eastAsia="宋体" w:cs="Times New Roman" w:asciiTheme="minorEastAsia" w:hAnsiTheme="minorEastAsia"/>
          <w:kern w:val="2"/>
          <w:sz w:val="28"/>
          <w:szCs w:val="28"/>
          <w:lang w:val="en-US" w:eastAsia="zh-CN" w:bidi="ar-SA"/>
        </w:rPr>
        <w:t>曾玫表示，安全性、有效性、成本效益（cost-effectiveness），是基本药物目录制定的国际标准，也是中国标准。国家儿童基本药物目录的制定，也要遵循这样的遴选原则。当然，对于儿童重大疾病有突破性治疗效果的药物，即使是新近研发的比较贵的药物，也有理由纳入目录，以保障儿童健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她认为，鉴于同通用名药品繁多、重复生产的现状，同通用名药品的遴选中要考虑规格和剂型的适用性。例如，药品剂型的遴选应更加适合儿童用药习惯，增加刻痕片剂、颗粒型、糖浆等剂型。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在儿科领域，感染是最常见的疾病，很大一部分感染的治疗又离不开抗菌药物，所以在国家儿童基本药物目录中纳入抗菌药物非常必要，甚至可以单独做一个抗菌药物分目录。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曾玫主任参曾加过2017年世界卫生组织（WHO）启动的《WHO基本药物示范目录》修订工作，重点包括抗菌药物部分的修订。她建议，儿童基本药物目录中也应增加一些预防感染的药物。一类药物是疫苗，用于预防某些特定的儿童感染性疾病。另一类药物是免疫调节药物，虽然不能预防疾病，但是对于体质弱、易反复感染的儿童来说，该类药物能够有效提升儿童的免疫力、减少抗生素的使用、避免耐药现象的发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她认为，在将抗菌药物纳入儿童基本药物目录的同时，必须制定一些合理用药规则。例如，可以在目录中标注药品的适应证，标明此种药品只适用于某个年龄段的儿童或者只适用于某种儿童感染性疾病。再如，可以配合临床用药指南和处方集的制修订工作，标注某种药品的临床推荐使用级别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240" w:afterAutospacing="0"/>
        <w:ind w:left="0" w:right="0"/>
        <w:jc w:val="left"/>
        <w:rPr>
          <w:rFonts w:hint="eastAsia" w:ascii="Microsoft YaHei UI" w:hAnsi="Microsoft YaHei UI" w:eastAsia="Microsoft YaHei UI" w:cs="Microsoft YaHei UI"/>
          <w:spacing w:val="8"/>
        </w:rPr>
      </w:pPr>
      <w:r>
        <w:rPr>
          <w:rFonts w:hint="eastAsia" w:eastAsia="宋体" w:cs="Times New Roman" w:asciiTheme="minorEastAsia" w:hAnsiTheme="minorEastAsia"/>
          <w:b/>
          <w:bCs/>
          <w:kern w:val="2"/>
          <w:sz w:val="28"/>
          <w:szCs w:val="28"/>
          <w:lang w:val="en-US" w:eastAsia="zh-CN" w:bidi="ar-SA"/>
        </w:rPr>
        <w:t>3不接受企业申报</w:t>
      </w:r>
    </w:p>
    <w:p>
      <w:pPr>
        <w:keepNext w:val="0"/>
        <w:keepLines w:val="0"/>
        <w:widowControl/>
        <w:suppressLineNumbers w:val="0"/>
        <w:spacing w:before="0" w:beforeAutospacing="0" w:after="0" w:afterAutospacing="0"/>
        <w:ind w:left="0"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基药目录品种，不接受企业申报。这一点曾在以往的会议中也多次提到。由于目前临床综合评价尚未成熟，缺少统一客观的证据评判标准，专家个人评价主观因素过多，且考虑到专家评审的行政成本，因此暂不接受企业申报环节。</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此次会议指出，待形成高质量的、基于临床合理用药的评价规则，成熟评价机构和研究人员可出具客观的结果时，再考虑加入企业申报。虽然不接受企业申报，但会参考国际、国家级与中华医学会出台的指南、临床路径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eastAsia="宋体" w:cs="Times New Roman" w:asciiTheme="minorEastAsia" w:hAnsiTheme="minorEastAsia"/>
          <w:kern w:val="2"/>
          <w:sz w:val="28"/>
          <w:szCs w:val="28"/>
          <w:lang w:val="en-US" w:eastAsia="zh-CN" w:bidi="ar-SA"/>
        </w:rPr>
      </w:pPr>
    </w:p>
    <w:p>
      <w:pPr>
        <w:keepNext w:val="0"/>
        <w:keepLines w:val="0"/>
        <w:widowControl/>
        <w:suppressLineNumbers w:val="0"/>
        <w:spacing w:before="0" w:beforeAutospacing="0" w:after="0" w:afterAutospacing="0"/>
        <w:ind w:left="281" w:right="0" w:hanging="281" w:hangingChars="10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4重点监控品种有望纳入基药</w:t>
      </w:r>
    </w:p>
    <w:p>
      <w:pPr>
        <w:keepNext w:val="0"/>
        <w:keepLines w:val="0"/>
        <w:widowControl/>
        <w:suppressLineNumbers w:val="0"/>
        <w:spacing w:before="0" w:beforeAutospacing="0" w:after="0" w:afterAutospacing="0"/>
        <w:ind w:left="281" w:right="0" w:hanging="281" w:hangingChars="100"/>
        <w:jc w:val="left"/>
        <w:rPr>
          <w:rFonts w:hint="eastAsia" w:eastAsia="宋体" w:cs="Times New Roman" w:asciiTheme="minorEastAsia" w:hAnsiTheme="minorEastAsia"/>
          <w:b/>
          <w:bCs/>
          <w:kern w:val="2"/>
          <w:sz w:val="28"/>
          <w:szCs w:val="28"/>
          <w:lang w:val="en-US" w:eastAsia="zh-CN" w:bidi="ar-SA"/>
        </w:rPr>
      </w:pPr>
    </w:p>
    <w:p>
      <w:pPr>
        <w:keepNext w:val="0"/>
        <w:keepLines w:val="0"/>
        <w:widowControl/>
        <w:suppressLineNumbers w:val="0"/>
        <w:spacing w:before="0" w:beforeAutospacing="0" w:after="0" w:afterAutospacing="0"/>
        <w:ind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此前的意见稿中曾明确5类药品不纳入国家基本药物目录遴选范围，其中之一为：</w:t>
      </w:r>
      <w:r>
        <w:rPr>
          <w:rFonts w:hint="eastAsia" w:eastAsia="宋体" w:cs="Times New Roman" w:asciiTheme="minorEastAsia" w:hAnsiTheme="minorEastAsia"/>
          <w:b/>
          <w:bCs/>
          <w:kern w:val="2"/>
          <w:sz w:val="28"/>
          <w:szCs w:val="28"/>
          <w:lang w:val="en-US" w:eastAsia="zh-CN" w:bidi="ar-SA"/>
        </w:rPr>
        <w:t>主要用于滋补保健作用，易滥用的，以及纳入国家重点监控合理用药目录的。</w:t>
      </w:r>
      <w:r>
        <w:rPr>
          <w:rFonts w:hint="eastAsia" w:eastAsia="宋体" w:cs="Times New Roman" w:asciiTheme="minorEastAsia" w:hAnsiTheme="minorEastAsia"/>
          <w:kern w:val="2"/>
          <w:sz w:val="28"/>
          <w:szCs w:val="28"/>
          <w:lang w:val="en-US" w:eastAsia="zh-CN" w:bidi="ar-SA"/>
        </w:rPr>
        <w:t>而在本次会议上，相关部门表示，“关于重点监控目录中的药品不纳入基本药物目录”这个条款将删除，避免过度解读。</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这是否意味着，重点监控药品可能还有进入基药目录的机会？</w:t>
      </w:r>
    </w:p>
    <w:p>
      <w:pPr>
        <w:keepNext w:val="0"/>
        <w:keepLines w:val="0"/>
        <w:widowControl/>
        <w:suppressLineNumbers w:val="0"/>
        <w:spacing w:before="0" w:beforeAutospacing="0" w:after="0" w:afterAutospacing="0"/>
        <w:ind w:right="0" w:firstLine="560" w:firstLineChars="200"/>
        <w:jc w:val="left"/>
      </w:pP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b/>
          <w:bCs/>
          <w:kern w:val="2"/>
          <w:sz w:val="28"/>
          <w:szCs w:val="28"/>
          <w:lang w:val="en-US" w:eastAsia="zh-CN" w:bidi="ar-SA"/>
        </w:rPr>
        <w:t>5纳入范围：医保甲类、国谈品种、集采品种</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jc w:val="center"/>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0" w:afterAutospacing="0"/>
        <w:ind w:left="0" w:right="0" w:firstLine="560" w:firstLineChars="200"/>
        <w:jc w:val="left"/>
        <w:rPr>
          <w:rFonts w:hint="eastAsia" w:ascii="Microsoft YaHei UI" w:hAnsi="Microsoft YaHei UI" w:eastAsia="Microsoft YaHei UI" w:cs="Microsoft YaHei UI"/>
          <w:spacing w:val="8"/>
          <w:sz w:val="24"/>
          <w:szCs w:val="24"/>
        </w:rPr>
      </w:pPr>
      <w:r>
        <w:rPr>
          <w:rFonts w:hint="eastAsia" w:eastAsia="宋体" w:cs="Times New Roman" w:asciiTheme="minorEastAsia" w:hAnsiTheme="minorEastAsia"/>
          <w:kern w:val="2"/>
          <w:sz w:val="28"/>
          <w:szCs w:val="28"/>
          <w:lang w:val="en-US" w:eastAsia="zh-CN" w:bidi="ar-SA"/>
        </w:rPr>
        <w:t>关于目录遴选，会上有企业建议重点关注社会关注度高、常见多发、符合民众迫切需求的疾病领域，包括传染病、罕见病、慢性病等领域，并关注国产一类创新药。建议优先纳入医保甲类药品、谈判药品、通过一致性评价药品，集采药品品种等意见，相关部门表示，将在工作方案中予以考虑。</w:t>
      </w:r>
      <w:r>
        <w:rPr>
          <w:rFonts w:hint="eastAsia" w:eastAsia="宋体" w:cs="Times New Roman" w:asciiTheme="minorEastAsia" w:hAnsiTheme="minorEastAsia"/>
          <w:kern w:val="2"/>
          <w:sz w:val="28"/>
          <w:szCs w:val="28"/>
          <w:lang w:val="en-US" w:eastAsia="zh-CN" w:bidi="ar-SA"/>
        </w:rPr>
        <w:br w:type="textWrapping"/>
      </w:r>
      <w:r>
        <w:rPr>
          <w:rFonts w:hint="eastAsia" w:eastAsia="宋体" w:cs="Times New Roman" w:asciiTheme="minorEastAsia" w:hAnsiTheme="minorEastAsia"/>
          <w:kern w:val="2"/>
          <w:sz w:val="28"/>
          <w:szCs w:val="28"/>
          <w:lang w:val="en-US" w:eastAsia="zh-CN" w:bidi="ar-SA"/>
        </w:rPr>
        <w:t>实际上这些内容，也早在2020年11月16日的国家基药目录管理办法征求意见讨论会上，就已预判了2021年基药调整的</w:t>
      </w:r>
      <w:r>
        <w:rPr>
          <w:rFonts w:hint="eastAsia" w:eastAsia="宋体" w:cs="Times New Roman" w:asciiTheme="minorEastAsia" w:hAnsiTheme="minorEastAsia"/>
          <w:b/>
          <w:bCs/>
          <w:kern w:val="2"/>
          <w:sz w:val="28"/>
          <w:szCs w:val="28"/>
          <w:lang w:val="en-US" w:eastAsia="zh-CN" w:bidi="ar-SA"/>
        </w:rPr>
        <w:t>五个重点考虑方向</w:t>
      </w:r>
      <w:r>
        <w:rPr>
          <w:rFonts w:hint="eastAsia" w:ascii="Microsoft YaHei UI" w:hAnsi="Microsoft YaHei UI" w:eastAsia="Microsoft YaHei UI" w:cs="Microsoft YaHei UI"/>
          <w:i w:val="0"/>
          <w:iCs w:val="0"/>
          <w:caps w:val="0"/>
          <w:color w:val="333333"/>
          <w:spacing w:val="15"/>
          <w:kern w:val="0"/>
          <w:sz w:val="22"/>
          <w:szCs w:val="22"/>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1、传染病方面用药；2、慢病以及癌症、肿瘤转慢病用药；3、常见疾病用药；4、以疾病为主导方向，确实患者无药可用，需要对症治疗的，要选择最合适的一范围；5、主要看产品价值，临床终点指标的改善，能够使患者的长期生命质量能够得到提高，以能治愈为标准。</w:t>
      </w: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kern w:val="2"/>
          <w:sz w:val="28"/>
          <w:szCs w:val="28"/>
          <w:lang w:val="en-US" w:eastAsia="zh-CN" w:bidi="ar-SA"/>
        </w:rPr>
      </w:pP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6基药目录：同品种限定剂型和规格</w:t>
      </w:r>
    </w:p>
    <w:p>
      <w:pPr>
        <w:keepNext w:val="0"/>
        <w:keepLines w:val="0"/>
        <w:widowControl/>
        <w:suppressLineNumbers w:val="0"/>
        <w:spacing w:before="0" w:beforeAutospacing="0" w:after="0" w:afterAutospacing="0"/>
        <w:ind w:left="0" w:right="0"/>
        <w:jc w:val="left"/>
        <w:rPr>
          <w:rFonts w:hint="eastAsia" w:eastAsia="宋体" w:cs="Times New Roman" w:asciiTheme="minorEastAsia" w:hAnsiTheme="minorEastAsia"/>
          <w:b/>
          <w:bCs/>
          <w:kern w:val="2"/>
          <w:sz w:val="28"/>
          <w:szCs w:val="28"/>
          <w:lang w:val="en-US" w:eastAsia="zh-CN" w:bidi="ar-SA"/>
        </w:rPr>
      </w:pPr>
    </w:p>
    <w:p>
      <w:pPr>
        <w:keepNext w:val="0"/>
        <w:keepLines w:val="0"/>
        <w:widowControl/>
        <w:suppressLineNumbers w:val="0"/>
        <w:spacing w:before="0" w:beforeAutospacing="0" w:after="0" w:afterAutospacing="0"/>
        <w:ind w:right="0" w:firstLine="560" w:firstLineChars="200"/>
        <w:jc w:val="left"/>
      </w:pPr>
      <w:r>
        <w:rPr>
          <w:rFonts w:hint="eastAsia" w:eastAsia="宋体" w:cs="Times New Roman" w:asciiTheme="minorEastAsia" w:hAnsiTheme="minorEastAsia"/>
          <w:kern w:val="2"/>
          <w:sz w:val="28"/>
          <w:szCs w:val="28"/>
          <w:lang w:val="en-US" w:eastAsia="zh-CN" w:bidi="ar-SA"/>
        </w:rPr>
        <w:t>此外，关于基药目录中限定药品的剂型与规格，相关部门表示，这是在规范临床用药行为，因此明确“规格、剂型单列”，但不限制品规数量，临床实际用量大的、常用的品规都可以纳入基药目录。 目前，基药管理办法的公开征求意见阶段基本结束，将进入各部门沟通会签阶段；下一步制定遴选工作方案的过程中还将向各协会征求意见，更多在管理办法中没有体现的具体意见会在工作方案中明确。</w:t>
      </w:r>
      <w:r>
        <w:rPr>
          <w:rFonts w:hint="eastAsia" w:eastAsia="宋体" w:cs="Times New Roman" w:asciiTheme="minorEastAsia" w:hAnsiTheme="minorEastAsia"/>
          <w:kern w:val="2"/>
          <w:sz w:val="28"/>
          <w:szCs w:val="28"/>
          <w:lang w:val="en-US" w:eastAsia="zh-CN" w:bidi="ar-SA"/>
        </w:rPr>
        <w:br w:type="textWrapping"/>
      </w:r>
      <w:r>
        <w:rPr>
          <w:rFonts w:hint="eastAsia" w:ascii="Microsoft YaHei UI" w:hAnsi="Microsoft YaHei UI" w:eastAsia="Microsoft YaHei UI" w:cs="Microsoft YaHei UI"/>
          <w:i w:val="0"/>
          <w:iCs w:val="0"/>
          <w:caps w:val="0"/>
          <w:color w:val="B2B2B2"/>
          <w:spacing w:val="8"/>
          <w:kern w:val="0"/>
          <w:sz w:val="19"/>
          <w:szCs w:val="19"/>
          <w:shd w:val="clear" w:fill="FFFFFF"/>
          <w:lang w:val="en-US" w:eastAsia="zh-CN" w:bidi="ar"/>
        </w:rPr>
        <w:t>(来源:医药云端工作室)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3</w:t>
      </w:r>
      <w:r>
        <w:rPr>
          <w:rFonts w:hint="eastAsia" w:ascii="微软雅黑" w:hAnsi="微软雅黑" w:eastAsia="微软雅黑" w:cs="宋体"/>
          <w:b/>
          <w:color w:val="333333"/>
          <w:kern w:val="36"/>
          <w:sz w:val="24"/>
          <w:szCs w:val="24"/>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bCs/>
          <w:i w:val="0"/>
          <w:iCs w:val="0"/>
          <w:caps w:val="0"/>
          <w:color w:val="333333"/>
          <w:spacing w:val="8"/>
          <w:sz w:val="33"/>
          <w:szCs w:val="33"/>
        </w:rPr>
      </w:pPr>
      <w:r>
        <w:rPr>
          <w:rFonts w:hint="eastAsia" w:ascii="Microsoft YaHei UI" w:hAnsi="Microsoft YaHei UI" w:eastAsia="Microsoft YaHei UI" w:cs="Microsoft YaHei UI"/>
          <w:b/>
          <w:bCs/>
          <w:i w:val="0"/>
          <w:iCs w:val="0"/>
          <w:caps w:val="0"/>
          <w:color w:val="333333"/>
          <w:spacing w:val="8"/>
          <w:sz w:val="33"/>
          <w:szCs w:val="33"/>
          <w:shd w:val="clear" w:fill="FFFFFF"/>
        </w:rPr>
        <w:t>重磅！第七批国采正式开始，涉58个大品种（附文件下载）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spacing w:val="8"/>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333333"/>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333333"/>
          <w:spacing w:val="8"/>
          <w:kern w:val="0"/>
          <w:sz w:val="22"/>
          <w:szCs w:val="22"/>
          <w:shd w:val="clear" w:fill="FFFFFF"/>
          <w:lang w:val="en-US" w:eastAsia="zh-CN" w:bidi="ar"/>
        </w:rPr>
        <w:t>2022-01-22 12:26</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76" w:afterAutospacing="0" w:line="368" w:lineRule="atLeast"/>
        <w:ind w:left="120" w:right="120"/>
        <w:jc w:val="center"/>
        <w:rPr>
          <w:rFonts w:hint="eastAsia" w:ascii="Microsoft YaHei UI" w:hAnsi="Microsoft YaHei UI" w:eastAsia="Microsoft YaHei UI" w:cs="Microsoft YaHei UI"/>
          <w:spacing w:val="8"/>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01</w:t>
      </w:r>
      <w:r>
        <w:rPr>
          <w:rFonts w:hint="default" w:ascii="Helvetica" w:hAnsi="Helvetica" w:eastAsia="Helvetica" w:cs="Helvetica"/>
          <w:b/>
          <w:bCs/>
          <w:i w:val="0"/>
          <w:iCs w:val="0"/>
          <w:caps w:val="0"/>
          <w:color w:val="345BC1"/>
          <w:spacing w:val="30"/>
          <w:sz w:val="30"/>
          <w:szCs w:val="30"/>
          <w:shd w:val="clear" w:fill="FFFFFF"/>
        </w:rPr>
        <w:t> </w:t>
      </w:r>
      <w:r>
        <w:rPr>
          <w:rFonts w:hint="default" w:eastAsia="宋体" w:cs="Times New Roman" w:asciiTheme="minorEastAsia" w:hAnsiTheme="minorEastAsia"/>
          <w:b/>
          <w:bCs/>
          <w:color w:val="4F81BD" w:themeColor="accent1"/>
          <w:kern w:val="2"/>
          <w:sz w:val="28"/>
          <w:szCs w:val="28"/>
          <w:lang w:val="en-US" w:eastAsia="zh-CN" w:bidi="ar-SA"/>
        </w:rPr>
        <w:t>58个品种纳入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pPr>
      <w:r>
        <w:rPr>
          <w:rFonts w:hint="eastAsia" w:eastAsia="宋体" w:cs="Times New Roman" w:asciiTheme="minorEastAsia" w:hAnsiTheme="minorEastAsia"/>
          <w:kern w:val="2"/>
          <w:sz w:val="28"/>
          <w:szCs w:val="28"/>
          <w:lang w:val="en-US" w:eastAsia="zh-CN" w:bidi="ar-SA"/>
        </w:rPr>
        <w:t>近日，一份由国家组织药品联合采购办公室发布的《关于报送第七批国家组织药品集中采购品种范围相关采购数据的通知》在业内流传。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2" w:firstLineChars="200"/>
        <w:jc w:val="both"/>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经赛柏蓝向行业权威人士确认，报量信息真实，后续或将进入到公示采购文件等环节，而且预计今年的带量采购进度可能进一步加快。</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通知显示，第七批国采涉及58个品种208个品规，其中不乏一些市场上的大品种多品规纳入报量目录，包括克林霉素磷酸酯注射剂（20个品规），利多卡因注射剂（9个品规）、昂丹司琼注射剂（7个品规）、奥曲肽注射剂（7个品规）、甲泼尼龙注射剂（7个品规）、美托洛尔缓释剂型（7个品规）、米力农注射剂（7个品规）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rPr>
          <w:rFonts w:hint="eastAsia" w:eastAsia="宋体"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20335" cy="3496945"/>
            <wp:effectExtent l="0" t="0" r="18415" b="8255"/>
            <wp:docPr id="79"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descr="IMG_257"/>
                    <pic:cNvPicPr>
                      <a:picLocks noChangeAspect="1"/>
                    </pic:cNvPicPr>
                  </pic:nvPicPr>
                  <pic:blipFill>
                    <a:blip r:embed="rId18"/>
                    <a:stretch>
                      <a:fillRect/>
                    </a:stretch>
                  </pic:blipFill>
                  <pic:spPr>
                    <a:xfrm>
                      <a:off x="0" y="0"/>
                      <a:ext cx="5220335" cy="349694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19065" cy="4638675"/>
            <wp:effectExtent l="0" t="0" r="635" b="9525"/>
            <wp:docPr id="78"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descr="IMG_258"/>
                    <pic:cNvPicPr>
                      <a:picLocks noChangeAspect="1"/>
                    </pic:cNvPicPr>
                  </pic:nvPicPr>
                  <pic:blipFill>
                    <a:blip r:embed="rId19"/>
                    <a:stretch>
                      <a:fillRect/>
                    </a:stretch>
                  </pic:blipFill>
                  <pic:spPr>
                    <a:xfrm>
                      <a:off x="0" y="0"/>
                      <a:ext cx="5219065" cy="46386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67325" cy="4953000"/>
            <wp:effectExtent l="0" t="0" r="9525" b="0"/>
            <wp:docPr id="80"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descr="IMG_259"/>
                    <pic:cNvPicPr>
                      <a:picLocks noChangeAspect="1"/>
                    </pic:cNvPicPr>
                  </pic:nvPicPr>
                  <pic:blipFill>
                    <a:blip r:embed="rId20"/>
                    <a:stretch>
                      <a:fillRect/>
                    </a:stretch>
                  </pic:blipFill>
                  <pic:spPr>
                    <a:xfrm>
                      <a:off x="0" y="0"/>
                      <a:ext cx="5267325" cy="49530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center"/>
      </w:pPr>
      <w:r>
        <w:rPr>
          <w:rFonts w:hint="eastAsia" w:ascii="Microsoft YaHei UI" w:hAnsi="Microsoft YaHei UI" w:eastAsia="Microsoft YaHei UI" w:cs="Microsoft YaHei UI"/>
          <w:i w:val="0"/>
          <w:iCs w:val="0"/>
          <w:caps w:val="0"/>
          <w:color w:val="333333"/>
          <w:spacing w:val="8"/>
          <w:sz w:val="22"/>
          <w:szCs w:val="22"/>
          <w:shd w:val="clear" w:fill="FFFFFF"/>
        </w:rPr>
        <w:t>图片来源：国家组织药品联合采购办公室</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pPr>
      <w:r>
        <w:rPr>
          <w:rFonts w:hint="eastAsia" w:eastAsia="宋体" w:cs="Times New Roman" w:asciiTheme="minorEastAsia" w:hAnsiTheme="minorEastAsia"/>
          <w:kern w:val="2"/>
          <w:sz w:val="28"/>
          <w:szCs w:val="28"/>
          <w:lang w:val="en-US" w:eastAsia="zh-CN" w:bidi="ar-SA"/>
        </w:rPr>
        <w:t>值得注意的是，依达拉奉注射剂型此前被剔除医保，但本次集采报量仍纳入其中。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虽然目前只发布了报量目录，但从具体品种过评以及原研等情况来看，大多已经满足“1+3”或“4+0”竞争格局。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文件规定，</w:t>
      </w:r>
      <w:r>
        <w:rPr>
          <w:rFonts w:hint="eastAsia" w:eastAsia="宋体" w:cs="Times New Roman" w:asciiTheme="minorEastAsia" w:hAnsiTheme="minorEastAsia"/>
          <w:b/>
          <w:bCs/>
          <w:kern w:val="2"/>
          <w:sz w:val="28"/>
          <w:szCs w:val="28"/>
          <w:lang w:val="en-US" w:eastAsia="zh-CN" w:bidi="ar-SA"/>
        </w:rPr>
        <w:t>1月26日正式启动报量，各省导入2021年历史采购量数据供医疗机构参考。医疗机构须按要求填报相关药品采购需求量，并于2月16日24:00前提交数据。2月25日17:00前，各省需要完成相关药品采购需求量审核工作。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pPr>
      <w:r>
        <w:rPr>
          <w:rFonts w:hint="eastAsia" w:ascii="Microsoft YaHei UI" w:hAnsi="Microsoft YaHei UI" w:eastAsia="Microsoft YaHei UI" w:cs="Microsoft YaHei UI"/>
          <w:i w:val="0"/>
          <w:iCs w:val="0"/>
          <w:caps w:val="0"/>
          <w:color w:val="333333"/>
          <w:spacing w:val="8"/>
          <w:sz w:val="22"/>
          <w:szCs w:val="22"/>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本次报量由各省导入2021年历史采购量数据，供医疗机构填报相关药品采购需求时参考，医疗机构按报量规格填报采购需求量。各省份医保部门组织辖区内相关医疗机构，在规定的系统开放时间内通过“国家组织药品集中采购综合服务平台”完成填报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76" w:afterAutospacing="0" w:line="368" w:lineRule="atLeast"/>
        <w:ind w:left="120" w:right="120"/>
        <w:jc w:val="center"/>
        <w:rPr>
          <w:rFonts w:hint="eastAsia" w:eastAsia="宋体" w:cs="Times New Roman" w:asciiTheme="minorEastAsia" w:hAnsiTheme="minorEastAsia"/>
          <w:b/>
          <w:bCs/>
          <w:color w:val="4F81BD" w:themeColor="accent1"/>
          <w:kern w:val="2"/>
          <w:sz w:val="28"/>
          <w:szCs w:val="28"/>
          <w:lang w:val="en-US" w:eastAsia="zh-CN" w:bidi="ar-SA"/>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02</w:t>
      </w:r>
      <w:r>
        <w:rPr>
          <w:rFonts w:hint="default" w:ascii="Helvetica" w:hAnsi="Helvetica" w:eastAsia="Helvetica" w:cs="Helvetica"/>
          <w:b/>
          <w:bCs/>
          <w:i w:val="0"/>
          <w:iCs w:val="0"/>
          <w:caps w:val="0"/>
          <w:color w:val="345BC1"/>
          <w:spacing w:val="30"/>
          <w:sz w:val="30"/>
          <w:szCs w:val="30"/>
          <w:shd w:val="clear" w:fill="FFFFFF"/>
        </w:rPr>
        <w:t> </w:t>
      </w:r>
      <w:r>
        <w:rPr>
          <w:rFonts w:hint="default" w:eastAsia="宋体" w:cs="Times New Roman" w:asciiTheme="minorEastAsia" w:hAnsiTheme="minorEastAsia"/>
          <w:b/>
          <w:bCs/>
          <w:color w:val="4F81BD" w:themeColor="accent1"/>
          <w:kern w:val="2"/>
          <w:sz w:val="28"/>
          <w:szCs w:val="28"/>
          <w:lang w:val="en-US" w:eastAsia="zh-CN" w:bidi="ar-SA"/>
        </w:rPr>
        <w:t>增加“填报说明”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pPr>
      <w:r>
        <w:rPr>
          <w:rFonts w:hint="eastAsia" w:eastAsia="宋体" w:cs="Times New Roman" w:asciiTheme="minorEastAsia" w:hAnsiTheme="minorEastAsia"/>
          <w:kern w:val="2"/>
          <w:sz w:val="28"/>
          <w:szCs w:val="28"/>
          <w:lang w:val="en-US" w:eastAsia="zh-CN" w:bidi="ar-SA"/>
        </w:rPr>
        <w:t>从本次的报量目录来看，表中特别增加了一项“填报说明”，不少药品规格后的特别注明是“基药规格”，例如，阿立哌唑口腔崩解片的两个规格：5mg、10mg；奥美拉唑注射剂（40mg）等多个品种不同规格后面均标注“基药规格”。</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美罗培南注射剂的三个品规：0.25g、0.5g、1g填报说明都是“特殊使用级抗菌药物”。米内网数据显示，美罗培南注射剂在2019年中国公立医疗机构终端销售额高达60亿元，尽管疫情有所影响，但2020年其销售额仍超过55亿元。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同样填报说明是“特殊使用级抗菌药物”的还有头孢吡肟注射剂型的5个规格：0.5g、1g、2g、粉体室：盐酸头孢吡肟（按C19H24N605S2计）1.0g；液体室：氯化钠注射；粉体室：盐酸头孢吡肟（按C19H24N605S2计）2.0g；液体室：氯化钠注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米内网数据显示，中国公立医疗机构终端注射用盐酸头孢吡肟在2015年曾达到销售峰值9.1亿元，随后“限输限抗”政策影响了头孢类注射剂的销售，但目前依然有1亿元以上的销售额。</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值得一提的是，重点监控品种依达拉奉注射液6个品规被纳入，不过在规格100ml：依达拉奉30mg与氯化钠855mg中，报量排除肌萎缩侧索硬化（ALS）适应症。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jc w:val="both"/>
      </w:pPr>
      <w:r>
        <w:rPr>
          <w:rFonts w:hint="eastAsia" w:ascii="Microsoft YaHei UI" w:hAnsi="Microsoft YaHei UI" w:eastAsia="Microsoft YaHei UI" w:cs="Microsoft YaHei UI"/>
          <w:i w:val="0"/>
          <w:iCs w:val="0"/>
          <w:caps w:val="0"/>
          <w:color w:val="333333"/>
          <w:spacing w:val="8"/>
          <w:sz w:val="22"/>
          <w:szCs w:val="22"/>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76" w:afterAutospacing="0" w:line="368" w:lineRule="atLeast"/>
        <w:ind w:left="120" w:right="120"/>
        <w:jc w:val="center"/>
        <w:rPr>
          <w:rFonts w:hint="eastAsia" w:eastAsia="宋体" w:cs="Times New Roman" w:asciiTheme="minorEastAsia" w:hAnsiTheme="minorEastAsia"/>
          <w:b/>
          <w:bCs/>
          <w:color w:val="4F81BD" w:themeColor="accent1"/>
          <w:kern w:val="2"/>
          <w:sz w:val="28"/>
          <w:szCs w:val="28"/>
          <w:lang w:val="en-US" w:eastAsia="zh-CN" w:bidi="ar-SA"/>
        </w:rPr>
      </w:pPr>
      <w:r>
        <w:rPr>
          <w:rStyle w:val="14"/>
          <w:rFonts w:hint="eastAsia" w:ascii="Microsoft YaHei UI" w:hAnsi="Microsoft YaHei UI" w:eastAsia="Microsoft YaHei UI" w:cs="Microsoft YaHei UI"/>
          <w:i/>
          <w:iCs/>
          <w:caps w:val="0"/>
          <w:color w:val="000000"/>
          <w:spacing w:val="30"/>
          <w:sz w:val="30"/>
          <w:szCs w:val="30"/>
          <w:u w:val="single"/>
          <w:shd w:val="clear" w:fill="FFFFFF"/>
        </w:rPr>
        <w:t>03</w:t>
      </w:r>
      <w:r>
        <w:rPr>
          <w:rFonts w:hint="default" w:ascii="Helvetica" w:hAnsi="Helvetica" w:eastAsia="Helvetica" w:cs="Helvetica"/>
          <w:b/>
          <w:bCs/>
          <w:i w:val="0"/>
          <w:iCs w:val="0"/>
          <w:caps w:val="0"/>
          <w:color w:val="345BC1"/>
          <w:spacing w:val="30"/>
          <w:sz w:val="30"/>
          <w:szCs w:val="30"/>
          <w:shd w:val="clear" w:fill="FFFFFF"/>
        </w:rPr>
        <w:t> </w:t>
      </w:r>
      <w:r>
        <w:rPr>
          <w:rFonts w:hint="default" w:eastAsia="宋体" w:cs="Times New Roman" w:asciiTheme="minorEastAsia" w:hAnsiTheme="minorEastAsia"/>
          <w:b/>
          <w:bCs/>
          <w:color w:val="4F81BD" w:themeColor="accent1"/>
          <w:kern w:val="2"/>
          <w:sz w:val="28"/>
          <w:szCs w:val="28"/>
          <w:lang w:val="en-US" w:eastAsia="zh-CN" w:bidi="ar-SA"/>
        </w:rPr>
        <w:t>激烈竞争来袭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76" w:afterAutospacing="0" w:line="368" w:lineRule="atLeast"/>
        <w:ind w:left="120" w:right="120"/>
        <w:jc w:val="center"/>
        <w:rPr>
          <w:rFonts w:hint="eastAsia" w:ascii="Microsoft YaHei UI" w:hAnsi="Microsoft YaHei UI" w:eastAsia="Microsoft YaHei UI" w:cs="Microsoft YaHei UI"/>
          <w:spacing w:val="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从相关药品采购需求量填报表看，本次纳入的品种有很多已经超十亿，包括奥美拉唑注射剂、美罗培南注射剂、奥司他韦口服常释剂型等。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pPr>
      <w:r>
        <w:rPr>
          <w:rFonts w:hint="eastAsia" w:eastAsia="宋体" w:cs="Times New Roman" w:asciiTheme="minorEastAsia" w:hAnsiTheme="minorEastAsia"/>
          <w:kern w:val="2"/>
          <w:sz w:val="28"/>
          <w:szCs w:val="28"/>
          <w:lang w:val="en-US" w:eastAsia="zh-CN" w:bidi="ar-SA"/>
        </w:rPr>
        <w:t>米内网数据显示，2020年奥美拉唑钠注射剂国内医疗市场销售规模为52.10亿元。在同类治疗消化性溃疡药注射产品中，奥美拉唑注射剂稳居销量第一，在2020上半年中国公立医疗机构终端其厂家竞争格局中，奥赛康的市场份额接近40%，原研药企阿斯利康以16.32%的市场份额紧随其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奥司他韦曾是风靡一时的“流感神药”，在本次报量中，三个品规均被纳入：30mg、45mg、75mg，填报说明注明“基药规格，结合疾病流行发展趋势，合理报量”。奥司他韦在疫情爆发之前，中国公立医疗机构销售额曾达60亿元以上，后续集采是否可以拯救下跌的销售额仍然值得持续关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在近日召开的国务院常务会议上，明确决定常态化制度化开展药品和高值医用耗材集中带量采购，今年年底，国家和省级集采药品在每个省合计达到350个以上。</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pPr>
      <w:r>
        <w:rPr>
          <w:rFonts w:hint="eastAsia" w:eastAsia="宋体" w:cs="Times New Roman" w:asciiTheme="minorEastAsia" w:hAnsiTheme="minorEastAsia"/>
          <w:kern w:val="2"/>
          <w:sz w:val="28"/>
          <w:szCs w:val="28"/>
          <w:lang w:val="en-US" w:eastAsia="zh-CN" w:bidi="ar-SA"/>
        </w:rPr>
        <w:t>从“4+7”带量采购到第六批国采（胰岛素专项），一共覆盖了234种药品，也就意味着，今年还将有大批品种将进入国采。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尽管规则、报量、限价还需要一段时间才能发布，但第七批国采的报量品种已经浮出水面，按照此前集采经验，报量名单并不完全等同于最终集采名单，这些品种最终是否都能进国采尚不能完全确定，不过相关产家还是要提前做好准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single" w:color="auto" w:sz="6" w:space="0"/>
          <w:left w:val="single" w:color="auto" w:sz="2" w:space="0"/>
          <w:bottom w:val="single" w:color="auto" w:sz="2" w:space="0"/>
          <w:right w:val="single" w:color="auto" w:sz="2" w:space="0"/>
        </w:pBdr>
        <w:spacing w:before="0" w:beforeAutospacing="0" w:after="0" w:afterAutospacing="0"/>
        <w:ind w:left="0" w:right="0"/>
        <w:jc w:val="both"/>
      </w:pPr>
      <w:r>
        <w:pict>
          <v:rect id="_x0000_i1025" o:spt="1" style="height:1.5pt;width:432pt;" fillcolor="#A0A0A0" filled="t" stroked="f" coordsize="21600,21600" o:hr="t" o:hrstd="t" o:hralign="center">
            <v:path/>
            <v:fill on="t" focussize="0,0"/>
            <v:stroke on="f"/>
            <v:imagedata o:title=""/>
            <o:lock v:ext="edit"/>
            <w10:wrap type="none"/>
            <w10:anchorlock/>
          </v:rect>
        </w:pic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4"/>
          <w:rFonts w:hint="eastAsia" w:ascii="Microsoft YaHei UI" w:hAnsi="Microsoft YaHei UI" w:eastAsia="Microsoft YaHei UI" w:cs="Microsoft YaHei UI"/>
          <w:i w:val="0"/>
          <w:iCs w:val="0"/>
          <w:caps w:val="0"/>
          <w:color w:val="333333"/>
          <w:spacing w:val="8"/>
          <w:sz w:val="22"/>
          <w:szCs w:val="22"/>
          <w:shd w:val="clear" w:fill="FFFFFF"/>
        </w:rPr>
        <w:t>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66055" cy="3400425"/>
            <wp:effectExtent l="0" t="0" r="10795" b="9525"/>
            <wp:docPr id="83"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descr="IMG_261"/>
                    <pic:cNvPicPr>
                      <a:picLocks noChangeAspect="1"/>
                    </pic:cNvPicPr>
                  </pic:nvPicPr>
                  <pic:blipFill>
                    <a:blip r:embed="rId18"/>
                    <a:stretch>
                      <a:fillRect/>
                    </a:stretch>
                  </pic:blipFill>
                  <pic:spPr>
                    <a:xfrm>
                      <a:off x="0" y="0"/>
                      <a:ext cx="5266055" cy="34004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14315" cy="3781425"/>
            <wp:effectExtent l="0" t="0" r="635" b="9525"/>
            <wp:docPr id="84"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descr="IMG_262"/>
                    <pic:cNvPicPr>
                      <a:picLocks noChangeAspect="1"/>
                    </pic:cNvPicPr>
                  </pic:nvPicPr>
                  <pic:blipFill>
                    <a:blip r:embed="rId19"/>
                    <a:stretch>
                      <a:fillRect/>
                    </a:stretch>
                  </pic:blipFill>
                  <pic:spPr>
                    <a:xfrm>
                      <a:off x="0" y="0"/>
                      <a:ext cx="5314315" cy="37814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296535" cy="4305300"/>
            <wp:effectExtent l="0" t="0" r="18415" b="0"/>
            <wp:docPr id="85"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descr="IMG_263"/>
                    <pic:cNvPicPr>
                      <a:picLocks noChangeAspect="1"/>
                    </pic:cNvPicPr>
                  </pic:nvPicPr>
                  <pic:blipFill>
                    <a:blip r:embed="rId20"/>
                    <a:stretch>
                      <a:fillRect/>
                    </a:stretch>
                  </pic:blipFill>
                  <pic:spPr>
                    <a:xfrm>
                      <a:off x="0" y="0"/>
                      <a:ext cx="5296535" cy="43053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304800" cy="304800"/>
            <wp:effectExtent l="0" t="0" r="0" b="0"/>
            <wp:docPr id="86"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5" descr="IMG_264"/>
                    <pic:cNvPicPr>
                      <a:picLocks noChangeAspect="1"/>
                    </pic:cNvPicPr>
                  </pic:nvPicPr>
                  <pic:blipFill>
                    <a:blip r:embed="rId21"/>
                    <a:stretch>
                      <a:fillRect/>
                    </a:stretch>
                  </pic:blipFill>
                  <pic:spPr>
                    <a:xfrm>
                      <a:off x="0" y="0"/>
                      <a:ext cx="304800" cy="304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05425" cy="3895725"/>
            <wp:effectExtent l="0" t="0" r="9525" b="9525"/>
            <wp:docPr id="81" name="图片 2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descr="IMG_265"/>
                    <pic:cNvPicPr>
                      <a:picLocks noChangeAspect="1"/>
                    </pic:cNvPicPr>
                  </pic:nvPicPr>
                  <pic:blipFill>
                    <a:blip r:embed="rId22"/>
                    <a:stretch>
                      <a:fillRect/>
                    </a:stretch>
                  </pic:blipFill>
                  <pic:spPr>
                    <a:xfrm>
                      <a:off x="0" y="0"/>
                      <a:ext cx="5305425" cy="38957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06695" cy="4220210"/>
            <wp:effectExtent l="0" t="0" r="8255" b="8890"/>
            <wp:docPr id="87" name="图片 2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 descr="IMG_266"/>
                    <pic:cNvPicPr>
                      <a:picLocks noChangeAspect="1"/>
                    </pic:cNvPicPr>
                  </pic:nvPicPr>
                  <pic:blipFill>
                    <a:blip r:embed="rId23"/>
                    <a:stretch>
                      <a:fillRect/>
                    </a:stretch>
                  </pic:blipFill>
                  <pic:spPr>
                    <a:xfrm>
                      <a:off x="0" y="0"/>
                      <a:ext cx="5306695" cy="422021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304800" cy="304800"/>
            <wp:effectExtent l="0" t="0" r="0" b="0"/>
            <wp:docPr id="89" name="图片 2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8" descr="IMG_267"/>
                    <pic:cNvPicPr>
                      <a:picLocks noChangeAspect="1"/>
                    </pic:cNvPicPr>
                  </pic:nvPicPr>
                  <pic:blipFill>
                    <a:blip r:embed="rId21"/>
                    <a:stretch>
                      <a:fillRect/>
                    </a:stretch>
                  </pic:blipFill>
                  <pic:spPr>
                    <a:xfrm>
                      <a:off x="0" y="0"/>
                      <a:ext cx="304800" cy="304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23840" cy="3914775"/>
            <wp:effectExtent l="0" t="0" r="10160" b="9525"/>
            <wp:docPr id="88" name="图片 2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9" descr="IMG_268"/>
                    <pic:cNvPicPr>
                      <a:picLocks noChangeAspect="1"/>
                    </pic:cNvPicPr>
                  </pic:nvPicPr>
                  <pic:blipFill>
                    <a:blip r:embed="rId24"/>
                    <a:stretch>
                      <a:fillRect/>
                    </a:stretch>
                  </pic:blipFill>
                  <pic:spPr>
                    <a:xfrm>
                      <a:off x="0" y="0"/>
                      <a:ext cx="5323840" cy="39147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06060" cy="4038600"/>
            <wp:effectExtent l="0" t="0" r="8890" b="0"/>
            <wp:docPr id="90" name="图片 3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0" descr="IMG_269"/>
                    <pic:cNvPicPr>
                      <a:picLocks noChangeAspect="1"/>
                    </pic:cNvPicPr>
                  </pic:nvPicPr>
                  <pic:blipFill>
                    <a:blip r:embed="rId25"/>
                    <a:stretch>
                      <a:fillRect/>
                    </a:stretch>
                  </pic:blipFill>
                  <pic:spPr>
                    <a:xfrm>
                      <a:off x="0" y="0"/>
                      <a:ext cx="5306060" cy="40386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41620" cy="3791585"/>
            <wp:effectExtent l="0" t="0" r="11430" b="18415"/>
            <wp:docPr id="91" name="图片 3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1" descr="IMG_270"/>
                    <pic:cNvPicPr>
                      <a:picLocks noChangeAspect="1"/>
                    </pic:cNvPicPr>
                  </pic:nvPicPr>
                  <pic:blipFill>
                    <a:blip r:embed="rId26"/>
                    <a:stretch>
                      <a:fillRect/>
                    </a:stretch>
                  </pic:blipFill>
                  <pic:spPr>
                    <a:xfrm>
                      <a:off x="0" y="0"/>
                      <a:ext cx="5341620" cy="37915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16220" cy="4409440"/>
            <wp:effectExtent l="0" t="0" r="17780" b="10160"/>
            <wp:docPr id="92" name="图片 3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2" descr="IMG_271"/>
                    <pic:cNvPicPr>
                      <a:picLocks noChangeAspect="1"/>
                    </pic:cNvPicPr>
                  </pic:nvPicPr>
                  <pic:blipFill>
                    <a:blip r:embed="rId27"/>
                    <a:stretch>
                      <a:fillRect/>
                    </a:stretch>
                  </pic:blipFill>
                  <pic:spPr>
                    <a:xfrm>
                      <a:off x="0" y="0"/>
                      <a:ext cx="5316220" cy="44094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24475" cy="4401185"/>
            <wp:effectExtent l="0" t="0" r="9525" b="18415"/>
            <wp:docPr id="93" name="图片 3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3" descr="IMG_272"/>
                    <pic:cNvPicPr>
                      <a:picLocks noChangeAspect="1"/>
                    </pic:cNvPicPr>
                  </pic:nvPicPr>
                  <pic:blipFill>
                    <a:blip r:embed="rId28"/>
                    <a:stretch>
                      <a:fillRect/>
                    </a:stretch>
                  </pic:blipFill>
                  <pic:spPr>
                    <a:xfrm>
                      <a:off x="0" y="0"/>
                      <a:ext cx="5324475" cy="44011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26380" cy="4401820"/>
            <wp:effectExtent l="0" t="0" r="7620" b="17780"/>
            <wp:docPr id="94" name="图片 3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 descr="IMG_273"/>
                    <pic:cNvPicPr>
                      <a:picLocks noChangeAspect="1"/>
                    </pic:cNvPicPr>
                  </pic:nvPicPr>
                  <pic:blipFill>
                    <a:blip r:embed="rId29"/>
                    <a:stretch>
                      <a:fillRect/>
                    </a:stretch>
                  </pic:blipFill>
                  <pic:spPr>
                    <a:xfrm>
                      <a:off x="0" y="0"/>
                      <a:ext cx="5326380" cy="440182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15585" cy="2276475"/>
            <wp:effectExtent l="0" t="0" r="18415" b="9525"/>
            <wp:docPr id="95" name="图片 3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5" descr="IMG_274"/>
                    <pic:cNvPicPr>
                      <a:picLocks noChangeAspect="1"/>
                    </pic:cNvPicPr>
                  </pic:nvPicPr>
                  <pic:blipFill>
                    <a:blip r:embed="rId30"/>
                    <a:stretch>
                      <a:fillRect/>
                    </a:stretch>
                  </pic:blipFill>
                  <pic:spPr>
                    <a:xfrm>
                      <a:off x="0" y="0"/>
                      <a:ext cx="5315585" cy="22764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333333"/>
          <w:spacing w:val="8"/>
          <w:sz w:val="22"/>
          <w:szCs w:val="22"/>
          <w:shd w:val="clear" w:fill="FFFFFF"/>
        </w:rPr>
        <w:t>图片来源：国家组织药品联合采购办公室</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Calibri" w:hAnsi="Calibri" w:cs="Calibri"/>
          <w:color w:val="000000"/>
          <w:spacing w:val="8"/>
          <w:sz w:val="21"/>
          <w:szCs w:val="21"/>
        </w:rPr>
      </w:pPr>
      <w:r>
        <w:rPr>
          <w:rFonts w:hint="eastAsia" w:ascii="Microsoft YaHei UI" w:hAnsi="Microsoft YaHei UI" w:eastAsia="Microsoft YaHei UI" w:cs="Microsoft YaHei UI"/>
          <w:i/>
          <w:iCs/>
          <w:caps w:val="0"/>
          <w:color w:val="888888"/>
          <w:spacing w:val="8"/>
          <w:sz w:val="22"/>
          <w:szCs w:val="22"/>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 xml:space="preserve">4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bCs/>
          <w:i w:val="0"/>
          <w:iCs w:val="0"/>
          <w:caps w:val="0"/>
          <w:color w:val="333333"/>
          <w:spacing w:val="8"/>
          <w:sz w:val="33"/>
          <w:szCs w:val="33"/>
        </w:rPr>
      </w:pPr>
      <w:r>
        <w:rPr>
          <w:rFonts w:hint="eastAsia" w:ascii="Microsoft YaHei UI" w:hAnsi="Microsoft YaHei UI" w:eastAsia="Microsoft YaHei UI" w:cs="Microsoft YaHei UI"/>
          <w:b/>
          <w:bCs/>
          <w:i w:val="0"/>
          <w:iCs w:val="0"/>
          <w:caps w:val="0"/>
          <w:color w:val="333333"/>
          <w:spacing w:val="8"/>
          <w:sz w:val="33"/>
          <w:szCs w:val="33"/>
          <w:shd w:val="clear" w:fill="FFFFFF"/>
        </w:rPr>
        <w:t>275个国谈大品种，利好消息公布（附名单）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333333"/>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333333"/>
          <w:spacing w:val="8"/>
          <w:kern w:val="0"/>
          <w:sz w:val="22"/>
          <w:szCs w:val="22"/>
          <w:shd w:val="clear" w:fill="FFFFFF"/>
          <w:lang w:val="en-US" w:eastAsia="zh-CN" w:bidi="ar"/>
        </w:rPr>
        <w:t>2022-01-15 18:55</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eastAsia="宋体" w:cs="Times New Roman" w:asciiTheme="minorEastAsia" w:hAnsiTheme="minorEastAsia"/>
          <w:b/>
          <w:bCs/>
          <w:color w:val="4F81BD" w:themeColor="accent1"/>
          <w:kern w:val="2"/>
          <w:sz w:val="21"/>
          <w:szCs w:val="21"/>
          <w:lang w:val="en-US" w:eastAsia="zh-CN" w:bidi="ar-SA"/>
        </w:rPr>
        <w:t>来源 | </w:t>
      </w:r>
      <w:r>
        <w:rPr>
          <w:rFonts w:hint="default" w:eastAsia="宋体" w:cs="Times New Roman" w:asciiTheme="minorEastAsia" w:hAnsiTheme="minorEastAsia"/>
          <w:b/>
          <w:bCs/>
          <w:color w:val="4F81BD" w:themeColor="accent1"/>
          <w:kern w:val="2"/>
          <w:sz w:val="21"/>
          <w:szCs w:val="21"/>
          <w:lang w:val="en-US" w:eastAsia="zh-CN" w:bidi="ar-SA"/>
        </w:rPr>
        <w:t>赛柏蓝</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pPr>
      <w:r>
        <w:rPr>
          <w:rStyle w:val="14"/>
          <w:rFonts w:hint="eastAsia" w:ascii="Microsoft YaHei UI" w:hAnsi="Microsoft YaHei UI" w:eastAsia="Microsoft YaHei UI" w:cs="Microsoft YaHei UI"/>
          <w:i/>
          <w:iCs/>
          <w:caps w:val="0"/>
          <w:color w:val="000000"/>
          <w:spacing w:val="30"/>
          <w:kern w:val="0"/>
          <w:sz w:val="30"/>
          <w:szCs w:val="30"/>
          <w:u w:val="single"/>
          <w:shd w:val="clear" w:fill="FFFFFF"/>
          <w:lang w:val="en-US" w:eastAsia="zh-CN" w:bidi="ar"/>
        </w:rPr>
        <w:t>01</w:t>
      </w:r>
      <w:r>
        <w:rPr>
          <w:rStyle w:val="14"/>
          <w:rFonts w:hint="eastAsia" w:ascii="Microsoft YaHei UI" w:hAnsi="Microsoft YaHei UI" w:eastAsia="Microsoft YaHei UI" w:cs="Microsoft YaHei UI"/>
          <w:i/>
          <w:iCs/>
          <w:caps w:val="0"/>
          <w:color w:val="000000"/>
          <w:spacing w:val="8"/>
          <w:kern w:val="0"/>
          <w:sz w:val="30"/>
          <w:szCs w:val="30"/>
          <w:u w:val="none"/>
          <w:shd w:val="clear" w:fill="FFFFFF"/>
          <w:lang w:val="en-US" w:eastAsia="zh-CN" w:bidi="ar"/>
        </w:rPr>
        <w:t> </w:t>
      </w:r>
      <w:r>
        <w:rPr>
          <w:rFonts w:hint="default" w:eastAsia="宋体" w:cs="Times New Roman" w:asciiTheme="minorEastAsia" w:hAnsiTheme="minorEastAsia"/>
          <w:b/>
          <w:bCs/>
          <w:color w:val="4F81BD" w:themeColor="accent1"/>
          <w:kern w:val="2"/>
          <w:sz w:val="28"/>
          <w:szCs w:val="28"/>
          <w:lang w:val="en-US" w:eastAsia="zh-CN" w:bidi="ar-SA"/>
        </w:rPr>
        <w:t>多地发布双通道最新进展</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1月13日，云南省医保局等三部门联合发布《云南省药品监督管理局关于建立完善国家医保谈判药品 “双通道” 管理机制的通知》，明确国谈药品 (含同通用名仿制药和生物类似药) 全部纳入 “双通道”保障药品范围并动态调整。</w:t>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drawing>
          <wp:inline distT="0" distB="0" distL="114300" distR="114300">
            <wp:extent cx="5115560" cy="4267200"/>
            <wp:effectExtent l="0" t="0" r="8890" b="0"/>
            <wp:docPr id="96" name="图片 3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7" descr="IMG_257"/>
                    <pic:cNvPicPr>
                      <a:picLocks noChangeAspect="1"/>
                    </pic:cNvPicPr>
                  </pic:nvPicPr>
                  <pic:blipFill>
                    <a:blip r:embed="rId31"/>
                    <a:stretch>
                      <a:fillRect/>
                    </a:stretch>
                  </pic:blipFill>
                  <pic:spPr>
                    <a:xfrm>
                      <a:off x="0" y="0"/>
                      <a:ext cx="5115560" cy="42672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br w:type="textWrapping"/>
      </w:r>
      <w:r>
        <w:rPr>
          <w:rFonts w:hint="eastAsia" w:ascii="Microsoft YaHei UI" w:hAnsi="Microsoft YaHei UI" w:eastAsia="Microsoft YaHei UI" w:cs="Microsoft YaHei UI"/>
          <w:i w:val="0"/>
          <w:iCs w:val="0"/>
          <w:caps w:val="0"/>
          <w:color w:val="333333"/>
          <w:spacing w:val="8"/>
          <w:kern w:val="0"/>
          <w:sz w:val="25"/>
          <w:szCs w:val="25"/>
          <w:shd w:val="clear" w:fill="FFFFFF"/>
          <w:lang w:val="en-US" w:eastAsia="zh-CN" w:bidi="ar"/>
        </w:rPr>
        <w:t xml:space="preserve">    </w:t>
      </w:r>
      <w:r>
        <w:rPr>
          <w:rFonts w:hint="eastAsia" w:eastAsia="宋体" w:cs="Times New Roman" w:asciiTheme="minorEastAsia" w:hAnsiTheme="minorEastAsia"/>
          <w:kern w:val="2"/>
          <w:sz w:val="28"/>
          <w:szCs w:val="28"/>
          <w:lang w:val="en-US" w:eastAsia="zh-CN" w:bidi="ar-SA"/>
        </w:rPr>
        <w:t>2021年的医保调整共有117个品种被纳入谈判范围，谈成94个，包括目录内原有的27个品种，以及新进的67个品种。</w:t>
      </w:r>
      <w:r>
        <w:rPr>
          <w:rFonts w:hint="eastAsia" w:eastAsia="宋体" w:cs="Times New Roman" w:asciiTheme="minorEastAsia" w:hAnsiTheme="minorEastAsia"/>
          <w:b/>
          <w:bCs/>
          <w:kern w:val="2"/>
          <w:sz w:val="28"/>
          <w:szCs w:val="28"/>
          <w:lang w:val="en-US" w:eastAsia="zh-CN" w:bidi="ar-SA"/>
        </w:rPr>
        <w:t>最终总体谈判成功率达到80.34%，国谈品种数量增加至275个（完整名单见文末），也使得被纳入双通道的国谈产品更加丰富。</w:t>
      </w:r>
      <w:r>
        <w:rPr>
          <w:rFonts w:hint="eastAsia" w:eastAsia="宋体" w:cs="Times New Roman" w:asciiTheme="minorEastAsia" w:hAnsiTheme="minorEastAsia"/>
          <w:kern w:val="2"/>
          <w:sz w:val="28"/>
          <w:szCs w:val="28"/>
          <w:lang w:val="en-US" w:eastAsia="zh-CN" w:bidi="ar-SA"/>
        </w:rPr>
        <w:t> 除国谈药品外，云南鼓励有条件的统筹地区将符合门诊使用的云南省职工和城乡居民基本医疗保险门诊特殊病、慢性病其它用药(麻醉药品、精神药品、医疗用毒性药品除外) 纳入 “双通道”保障范围，</w:t>
      </w:r>
      <w:r>
        <w:rPr>
          <w:rFonts w:hint="eastAsia" w:eastAsia="宋体" w:cs="Times New Roman" w:asciiTheme="minorEastAsia" w:hAnsiTheme="minorEastAsia"/>
          <w:b/>
          <w:bCs/>
          <w:kern w:val="2"/>
          <w:sz w:val="28"/>
          <w:szCs w:val="28"/>
          <w:lang w:val="en-US" w:eastAsia="zh-CN" w:bidi="ar-SA"/>
        </w:rPr>
        <w:t>不过国谈药品仍然具有优先级。</w:t>
      </w:r>
      <w:r>
        <w:rPr>
          <w:rFonts w:hint="eastAsia" w:eastAsia="宋体" w:cs="Times New Roman" w:asciiTheme="minorEastAsia" w:hAnsiTheme="minorEastAsia"/>
          <w:b/>
          <w:bCs/>
          <w:kern w:val="2"/>
          <w:sz w:val="28"/>
          <w:szCs w:val="28"/>
          <w:lang w:val="en-US" w:eastAsia="zh-CN" w:bidi="ar-SA"/>
        </w:rPr>
        <w:br w:type="textWrapping"/>
      </w:r>
      <w:r>
        <w:rPr>
          <w:rFonts w:hint="eastAsia" w:cs="Times New Roman" w:asciiTheme="minorEastAsia" w:hAnsiTheme="minorEastAsia"/>
          <w:b/>
          <w:bCs/>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《通知》特别指出“双通道”药店配备国家医保谈判药品品种不得低于30%，销售双通道药品必须具备云南省药品招标采购平台挂网价格，以实际采购价格作为销售价格，且不得高于平台挂网价格。</w:t>
      </w:r>
      <w:r>
        <w:rPr>
          <w:rFonts w:hint="eastAsia" w:eastAsia="宋体" w:cs="Times New Roman" w:asciiTheme="minorEastAsia" w:hAnsiTheme="minorEastAsia"/>
          <w:b/>
          <w:bCs/>
          <w:kern w:val="2"/>
          <w:sz w:val="28"/>
          <w:szCs w:val="28"/>
          <w:lang w:val="en-US" w:eastAsia="zh-CN" w:bidi="ar-SA"/>
        </w:rPr>
        <w:t> 定点医疗机构与“双通道”药店执行统一医保药品支付标准和价格政策，</w:t>
      </w:r>
      <w:r>
        <w:rPr>
          <w:rFonts w:hint="eastAsia" w:eastAsia="宋体" w:cs="Times New Roman" w:asciiTheme="minorEastAsia" w:hAnsiTheme="minorEastAsia"/>
          <w:kern w:val="2"/>
          <w:sz w:val="28"/>
          <w:szCs w:val="28"/>
          <w:lang w:val="en-US" w:eastAsia="zh-CN" w:bidi="ar-SA"/>
        </w:rPr>
        <w:t>即国家统一的支付标准，协议期内国家谈判仿制药以云南省药品招标平台的挂网价格作为支付标准，低于支付标准的以实际采购价格支付。</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除云南外，近段时间各地区的国谈药品双通道政策的推进都有了新进展。 1月11日，广州市医保局等三部门联合发布《广州市建立国家医保谈判药品 “双通道”管理机制实施细则》，将291个药品纳入广州市首批“双通道”药品范围。广州“双通道”药品实施范围包含国谈和慢病药品，其中谈判药品275个。也就是说纳入了全部的国谈药品。</w:t>
      </w:r>
      <w:r>
        <w:rPr>
          <w:rFonts w:hint="eastAsia" w:ascii="Microsoft YaHei UI" w:hAnsi="Microsoft YaHei UI" w:eastAsia="Microsoft YaHei UI" w:cs="Microsoft YaHei UI"/>
          <w:i w:val="0"/>
          <w:iCs w:val="0"/>
          <w:caps w:val="0"/>
          <w:color w:val="333333"/>
          <w:spacing w:val="30"/>
          <w:kern w:val="0"/>
          <w:sz w:val="22"/>
          <w:szCs w:val="22"/>
          <w:shd w:val="clear" w:fill="FFFFFF"/>
          <w:lang w:val="en-US" w:eastAsia="zh-CN" w:bidi="ar"/>
        </w:rPr>
        <w:t> </w:t>
      </w:r>
      <w:r>
        <w:rPr>
          <w:rFonts w:hint="eastAsia" w:eastAsia="宋体" w:cs="Times New Roman" w:asciiTheme="minorEastAsia" w:hAnsiTheme="minorEastAsia"/>
          <w:kern w:val="2"/>
          <w:sz w:val="28"/>
          <w:szCs w:val="28"/>
          <w:lang w:val="en-US" w:eastAsia="zh-CN" w:bidi="ar-SA"/>
        </w:rPr>
        <w:t>1月10日，湖南省医保局也在官网对申报省本级第一批“双通道”管理定点医药机构进行公示，其中包括湖南省肿瘤医院、湖南省妇幼保健院等17家医疗机构，益丰大药房连锁股份有限公司长沙朝阳分店等20家零售药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333333"/>
          <w:spacing w:val="30"/>
          <w:kern w:val="0"/>
          <w:sz w:val="22"/>
          <w:szCs w:val="22"/>
          <w:shd w:val="clear" w:fill="FFFFFF"/>
          <w:lang w:val="en-US" w:eastAsia="zh-CN" w:bidi="ar"/>
        </w:rPr>
      </w:pPr>
      <w:r>
        <w:rPr>
          <w:rFonts w:hint="eastAsia" w:ascii="Microsoft YaHei UI" w:hAnsi="Microsoft YaHei UI" w:eastAsia="Microsoft YaHei UI" w:cs="Microsoft YaHei UI"/>
          <w:i w:val="0"/>
          <w:iCs w:val="0"/>
          <w:caps w:val="0"/>
          <w:color w:val="333333"/>
          <w:spacing w:val="30"/>
          <w:kern w:val="0"/>
          <w:sz w:val="22"/>
          <w:szCs w:val="22"/>
          <w:shd w:val="clear" w:fill="FFFFFF"/>
          <w:lang w:val="en-US" w:eastAsia="zh-CN" w:bidi="ar"/>
        </w:rPr>
        <w:t> </w:t>
      </w:r>
      <w:r>
        <w:rPr>
          <w:rFonts w:hint="eastAsia" w:ascii="Microsoft YaHei UI" w:hAnsi="Microsoft YaHei UI" w:eastAsia="Microsoft YaHei UI" w:cs="Microsoft YaHei UI"/>
          <w:b/>
          <w:bCs/>
          <w:i/>
          <w:iCs/>
          <w:caps w:val="0"/>
          <w:color w:val="000000"/>
          <w:spacing w:val="30"/>
          <w:kern w:val="0"/>
          <w:sz w:val="30"/>
          <w:szCs w:val="30"/>
          <w:u w:val="single"/>
          <w:shd w:val="clear" w:fill="FFFFFF"/>
          <w:lang w:val="en-US" w:eastAsia="zh-CN" w:bidi="ar"/>
        </w:rPr>
        <w:t>02</w:t>
      </w:r>
      <w:r>
        <w:rPr>
          <w:rFonts w:hint="eastAsia" w:ascii="Microsoft YaHei UI" w:hAnsi="Microsoft YaHei UI" w:eastAsia="Microsoft YaHei UI" w:cs="Microsoft YaHei UI"/>
          <w:b/>
          <w:bCs/>
          <w:i/>
          <w:iCs/>
          <w:caps w:val="0"/>
          <w:color w:val="000000"/>
          <w:spacing w:val="30"/>
          <w:kern w:val="0"/>
          <w:sz w:val="22"/>
          <w:szCs w:val="22"/>
          <w:u w:val="none"/>
          <w:shd w:val="clear" w:fill="FFFFFF"/>
          <w:lang w:val="en-US" w:eastAsia="zh-CN" w:bidi="ar"/>
        </w:rPr>
        <w:t> </w:t>
      </w:r>
      <w:r>
        <w:rPr>
          <w:rFonts w:hint="default" w:eastAsia="宋体" w:cs="Times New Roman" w:asciiTheme="minorEastAsia" w:hAnsiTheme="minorEastAsia"/>
          <w:b/>
          <w:bCs/>
          <w:color w:val="4F81BD" w:themeColor="accent1"/>
          <w:kern w:val="2"/>
          <w:sz w:val="28"/>
          <w:szCs w:val="28"/>
          <w:lang w:val="en-US" w:eastAsia="zh-CN" w:bidi="ar-SA"/>
        </w:rPr>
        <w:t>剑指国谈落地最后一公里难题</w:t>
      </w:r>
      <w:r>
        <w:rPr>
          <w:rFonts w:hint="eastAsia" w:eastAsia="宋体" w:cs="Times New Roman" w:asciiTheme="minorEastAsia" w:hAnsiTheme="minorEastAsia"/>
          <w:b/>
          <w:bCs/>
          <w:color w:val="4F81BD" w:themeColor="accent1"/>
          <w:kern w:val="2"/>
          <w:sz w:val="28"/>
          <w:szCs w:val="28"/>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国谈药品纳入双通道主要是为了解决其“进院难”的问题。在创新药上市、进入医保后，距离其到达患者手中还需要经过医疗机构的采购，不过受到多重因素的影响，“最后一公里”问题迟迟无法解决。 2021年5月10日，国家医保局发布《关于建立完善国家医保谈判药品“双通道”管理机制的指导意见》（下称《意见》），提出为破解医保谈判药品“进院难”问题，与定点医疗机构一起，形成谈判药品报销的“双通道”，努力提升药品可及性。 重点将临床价值高、需求迫切、费用高、替代性不高的药品纳入“双通道”，同时从国家层面明确将定点零售药店纳入医保药品供应保障范围（支付标准与医疗机构统一）。预计全国推行后有望解决此前部分药品“两不靠”难题（部分药品进院难，同时院外无法报销）。 据国泰证券分析，各地对双通道药品的医保支持力度较强，例如浙江、湖南、福建等地将双通道品种统一单列，不纳入总额预算范围；山东、广西等地将部分双通道品种单列，此举有望减轻医疗机构考核指标压力，促进双通道药品使用。</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实际上，随着医改的深入，目前很多创新药开始通过DTP药房进行销售。据统计，部分单抗产品90%的销售是通过DTP药房完成。双通道的推进，将进一步加大创新药在零售药店领域的放量。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right="0" w:firstLine="560" w:firstLineChars="200"/>
        <w:jc w:val="left"/>
        <w:rPr>
          <w:rFonts w:hint="default" w:ascii="Helvetica" w:hAnsi="Helvetica" w:eastAsia="Helvetica" w:cs="Helvetica"/>
          <w:b/>
          <w:bCs/>
          <w:i w:val="0"/>
          <w:iCs w:val="0"/>
          <w:caps w:val="0"/>
          <w:color w:val="345BC1"/>
          <w:spacing w:val="30"/>
          <w:kern w:val="0"/>
          <w:sz w:val="30"/>
          <w:szCs w:val="30"/>
          <w:shd w:val="clear" w:fill="FFFFFF"/>
          <w:lang w:val="en-US" w:eastAsia="zh-CN" w:bidi="ar"/>
        </w:rPr>
      </w:pPr>
      <w:r>
        <w:rPr>
          <w:rFonts w:hint="eastAsia" w:eastAsia="宋体" w:cs="Times New Roman" w:asciiTheme="minorEastAsia" w:hAnsiTheme="minorEastAsia"/>
          <w:kern w:val="2"/>
          <w:sz w:val="28"/>
          <w:szCs w:val="28"/>
          <w:lang w:val="en-US" w:eastAsia="zh-CN" w:bidi="ar-SA"/>
        </w:rPr>
        <w:br w:type="textWrapping"/>
      </w:r>
      <w:r>
        <w:rPr>
          <w:rFonts w:hint="eastAsia" w:ascii="Microsoft YaHei UI" w:hAnsi="Microsoft YaHei UI" w:eastAsia="Microsoft YaHei UI" w:cs="Microsoft YaHei UI"/>
          <w:b/>
          <w:bCs/>
          <w:i/>
          <w:iCs/>
          <w:caps w:val="0"/>
          <w:color w:val="000000"/>
          <w:spacing w:val="30"/>
          <w:kern w:val="0"/>
          <w:sz w:val="30"/>
          <w:szCs w:val="30"/>
          <w:u w:val="single"/>
          <w:shd w:val="clear" w:fill="FFFFFF"/>
          <w:lang w:val="en-US" w:eastAsia="zh-CN" w:bidi="ar"/>
        </w:rPr>
        <w:t>03 </w:t>
      </w:r>
      <w:r>
        <w:rPr>
          <w:rFonts w:hint="default" w:eastAsia="宋体" w:cs="Times New Roman" w:asciiTheme="minorEastAsia" w:hAnsiTheme="minorEastAsia"/>
          <w:b/>
          <w:bCs/>
          <w:color w:val="4F81BD" w:themeColor="accent1"/>
          <w:kern w:val="2"/>
          <w:sz w:val="28"/>
          <w:szCs w:val="28"/>
          <w:lang w:val="en-US" w:eastAsia="zh-CN" w:bidi="ar-SA"/>
        </w:rPr>
        <w:t>龙头连锁迎利好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right="0" w:firstLine="560" w:firstLineChars="200"/>
        <w:jc w:val="left"/>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目前，各地双通道政策陆续落地，最终效果如何还有待观察。相较而言，在这一过程中，连锁药店龙头有望率先受益。 一方面，双通道政策的推进有利于零售药店承接国谈药品，为患者提供更专业的药事服务，甚至未来或会成为药品流通、分销的重要形式。 另一方面，双通道政策也加速医院与药品间利益关系进一步脱钩，使得零售渠道议价能力进一步增强。 不过，《意见》明确要求相关药店需要有一定的硬件配备，信息化方面与医保信息平台、电子处方平台对接，药品管理方面要建立符合要求的储存、配送体系，医保基金监管方面采取更严格的措施。</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同时，各地对双通道药店要求严格，如要求国谈品种配备率达30%以上。 上述标准对于单纯依靠地域和固有医保资源的中小连锁来说压力加大，因此龙头连锁药店有望受益，行业集中度将进一步提升。 据了解，目前布局DTP药房的企业中，有上药、国药等医药流通企业，也有老百姓、大参林等连锁零售商，还有圆心、思派等创新支付综合平台，总的来说资本都较为雄厚。</w:t>
      </w:r>
      <w:r>
        <w:rPr>
          <w:rFonts w:hint="eastAsia" w:eastAsia="宋体" w:cs="Times New Roman" w:asciiTheme="minorEastAsia" w:hAnsiTheme="minorEastAsia"/>
          <w:kern w:val="2"/>
          <w:sz w:val="28"/>
          <w:szCs w:val="28"/>
          <w:lang w:val="en-US" w:eastAsia="zh-CN" w:bidi="ar-SA"/>
        </w:rPr>
        <w:br w:type="textWrapping"/>
      </w:r>
      <w:r>
        <w:rPr>
          <w:rFonts w:hint="eastAsia" w:cs="Times New Roman" w:asciiTheme="minorEastAsia" w:hAnsiTheme="minorEastAsia"/>
          <w:kern w:val="2"/>
          <w:sz w:val="28"/>
          <w:szCs w:val="28"/>
          <w:lang w:val="en-US" w:eastAsia="zh-CN" w:bidi="ar-SA"/>
        </w:rPr>
        <w:t xml:space="preserve">    </w:t>
      </w:r>
      <w:r>
        <w:rPr>
          <w:rFonts w:hint="eastAsia" w:eastAsia="宋体" w:cs="Times New Roman" w:asciiTheme="minorEastAsia" w:hAnsiTheme="minorEastAsia"/>
          <w:kern w:val="2"/>
          <w:sz w:val="28"/>
          <w:szCs w:val="28"/>
          <w:lang w:val="en-US" w:eastAsia="zh-CN" w:bidi="ar-SA"/>
        </w:rPr>
        <w:t>根据中物联医药物流分会资料，2018-2020年全国DTP药房药品零售规模高速增长，2020年市场规模约有180亿元，同比增长28.6%。随着行业的不断发展，可以预见药房的发展方式有望更加多元化，而不像之前仅依赖于不断开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spacing w:val="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附275个国谈品种名单：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247640" cy="9281160"/>
            <wp:effectExtent l="0" t="0" r="10160" b="15240"/>
            <wp:docPr id="1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6"/>
                    <pic:cNvPicPr>
                      <a:picLocks noChangeAspect="1"/>
                    </pic:cNvPicPr>
                  </pic:nvPicPr>
                  <pic:blipFill>
                    <a:blip r:embed="rId32"/>
                    <a:stretch>
                      <a:fillRect/>
                    </a:stretch>
                  </pic:blipFill>
                  <pic:spPr>
                    <a:xfrm>
                      <a:off x="0" y="0"/>
                      <a:ext cx="5247640" cy="928116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35905" cy="8610600"/>
            <wp:effectExtent l="0" t="0" r="17145" b="0"/>
            <wp:docPr id="1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7"/>
                    <pic:cNvPicPr>
                      <a:picLocks noChangeAspect="1"/>
                    </pic:cNvPicPr>
                  </pic:nvPicPr>
                  <pic:blipFill>
                    <a:blip r:embed="rId33"/>
                    <a:stretch>
                      <a:fillRect/>
                    </a:stretch>
                  </pic:blipFill>
                  <pic:spPr>
                    <a:xfrm>
                      <a:off x="0" y="0"/>
                      <a:ext cx="5335905" cy="861060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39715" cy="8572500"/>
            <wp:effectExtent l="0" t="0" r="13335" b="0"/>
            <wp:docPr id="1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9"/>
                    <pic:cNvPicPr>
                      <a:picLocks noChangeAspect="1"/>
                    </pic:cNvPicPr>
                  </pic:nvPicPr>
                  <pic:blipFill>
                    <a:blip r:embed="rId34"/>
                    <a:stretch>
                      <a:fillRect/>
                    </a:stretch>
                  </pic:blipFill>
                  <pic:spPr>
                    <a:xfrm>
                      <a:off x="0" y="0"/>
                      <a:ext cx="5339715" cy="857250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01615" cy="8572500"/>
            <wp:effectExtent l="0" t="0" r="13335" b="0"/>
            <wp:docPr id="1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0"/>
                    <pic:cNvPicPr>
                      <a:picLocks noChangeAspect="1"/>
                    </pic:cNvPicPr>
                  </pic:nvPicPr>
                  <pic:blipFill>
                    <a:blip r:embed="rId35"/>
                    <a:stretch>
                      <a:fillRect/>
                    </a:stretch>
                  </pic:blipFill>
                  <pic:spPr>
                    <a:xfrm>
                      <a:off x="0" y="0"/>
                      <a:ext cx="5301615" cy="857250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287645" cy="8562340"/>
            <wp:effectExtent l="0" t="0" r="8255" b="10160"/>
            <wp:docPr id="1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1"/>
                    <pic:cNvPicPr>
                      <a:picLocks noChangeAspect="1"/>
                    </pic:cNvPicPr>
                  </pic:nvPicPr>
                  <pic:blipFill>
                    <a:blip r:embed="rId36"/>
                    <a:stretch>
                      <a:fillRect/>
                    </a:stretch>
                  </pic:blipFill>
                  <pic:spPr>
                    <a:xfrm>
                      <a:off x="0" y="0"/>
                      <a:ext cx="5287645" cy="856234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20665" cy="8590915"/>
            <wp:effectExtent l="0" t="0" r="13335" b="635"/>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pic:cNvPicPr>
                  </pic:nvPicPr>
                  <pic:blipFill>
                    <a:blip r:embed="rId37"/>
                    <a:stretch>
                      <a:fillRect/>
                    </a:stretch>
                  </pic:blipFill>
                  <pic:spPr>
                    <a:xfrm>
                      <a:off x="0" y="0"/>
                      <a:ext cx="5320665" cy="8590915"/>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33365" cy="8591550"/>
            <wp:effectExtent l="0" t="0" r="635" b="0"/>
            <wp:docPr id="12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pic:cNvPicPr>
                      <a:picLocks noChangeAspect="1"/>
                    </pic:cNvPicPr>
                  </pic:nvPicPr>
                  <pic:blipFill>
                    <a:blip r:embed="rId38"/>
                    <a:stretch>
                      <a:fillRect/>
                    </a:stretch>
                  </pic:blipFill>
                  <pic:spPr>
                    <a:xfrm>
                      <a:off x="0" y="0"/>
                      <a:ext cx="5333365" cy="859155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14315" cy="8572500"/>
            <wp:effectExtent l="0" t="0" r="635" b="0"/>
            <wp:docPr id="1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pic:cNvPicPr>
                      <a:picLocks noChangeAspect="1"/>
                    </pic:cNvPicPr>
                  </pic:nvPicPr>
                  <pic:blipFill>
                    <a:blip r:embed="rId39"/>
                    <a:stretch>
                      <a:fillRect/>
                    </a:stretch>
                  </pic:blipFill>
                  <pic:spPr>
                    <a:xfrm>
                      <a:off x="0" y="0"/>
                      <a:ext cx="5314315" cy="857250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04155" cy="8598535"/>
            <wp:effectExtent l="0" t="0" r="10795" b="12065"/>
            <wp:docPr id="1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5"/>
                    <pic:cNvPicPr>
                      <a:picLocks noChangeAspect="1"/>
                    </pic:cNvPicPr>
                  </pic:nvPicPr>
                  <pic:blipFill>
                    <a:blip r:embed="rId40"/>
                    <a:stretch>
                      <a:fillRect/>
                    </a:stretch>
                  </pic:blipFill>
                  <pic:spPr>
                    <a:xfrm>
                      <a:off x="0" y="0"/>
                      <a:ext cx="5304155" cy="8598535"/>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47970" cy="8870950"/>
            <wp:effectExtent l="0" t="0" r="5080" b="6350"/>
            <wp:docPr id="1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6"/>
                    <pic:cNvPicPr>
                      <a:picLocks noChangeAspect="1"/>
                    </pic:cNvPicPr>
                  </pic:nvPicPr>
                  <pic:blipFill>
                    <a:blip r:embed="rId41"/>
                    <a:stretch>
                      <a:fillRect/>
                    </a:stretch>
                  </pic:blipFill>
                  <pic:spPr>
                    <a:xfrm>
                      <a:off x="0" y="0"/>
                      <a:ext cx="5347970" cy="887095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38445" cy="3469640"/>
            <wp:effectExtent l="0" t="0" r="14605" b="16510"/>
            <wp:docPr id="13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7"/>
                    <pic:cNvPicPr>
                      <a:picLocks noChangeAspect="1"/>
                    </pic:cNvPicPr>
                  </pic:nvPicPr>
                  <pic:blipFill>
                    <a:blip r:embed="rId42"/>
                    <a:stretch>
                      <a:fillRect/>
                    </a:stretch>
                  </pic:blipFill>
                  <pic:spPr>
                    <a:xfrm>
                      <a:off x="0" y="0"/>
                      <a:ext cx="5338445" cy="346964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333333"/>
          <w:spacing w:val="8"/>
          <w:sz w:val="25"/>
          <w:szCs w:val="25"/>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333333"/>
          <w:spacing w:val="8"/>
          <w:sz w:val="25"/>
          <w:szCs w:val="25"/>
          <w:shd w:val="clear" w:fill="FFFFFF"/>
        </w:rPr>
      </w:pPr>
      <w:r>
        <w:drawing>
          <wp:inline distT="0" distB="0" distL="114300" distR="114300">
            <wp:extent cx="5327650" cy="2167890"/>
            <wp:effectExtent l="0" t="0" r="635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327650" cy="216789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333333"/>
          <w:spacing w:val="8"/>
          <w:sz w:val="25"/>
          <w:szCs w:val="25"/>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333333"/>
          <w:spacing w:val="8"/>
          <w:sz w:val="25"/>
          <w:szCs w:val="25"/>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307330" cy="9466580"/>
            <wp:effectExtent l="0" t="0" r="7620" b="12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4"/>
                    <a:stretch>
                      <a:fillRect/>
                    </a:stretch>
                  </pic:blipFill>
                  <pic:spPr>
                    <a:xfrm>
                      <a:off x="0" y="0"/>
                      <a:ext cx="5307330" cy="946658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311775" cy="8525510"/>
            <wp:effectExtent l="0" t="0" r="3175" b="889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5"/>
                    <a:stretch>
                      <a:fillRect/>
                    </a:stretch>
                  </pic:blipFill>
                  <pic:spPr>
                    <a:xfrm>
                      <a:off x="0" y="0"/>
                      <a:ext cx="5311775" cy="852551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r>
        <w:drawing>
          <wp:inline distT="0" distB="0" distL="114300" distR="114300">
            <wp:extent cx="5307965" cy="9387840"/>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307965" cy="93878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5</w:t>
      </w:r>
      <w:r>
        <w:rPr>
          <w:rFonts w:hint="eastAsia" w:ascii="宋体" w:hAnsi="宋体" w:eastAsia="宋体" w:cs="宋体"/>
          <w:b/>
          <w:kern w:val="0"/>
          <w:sz w:val="33"/>
          <w:szCs w:val="33"/>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b/>
          <w:bCs/>
          <w:sz w:val="33"/>
          <w:szCs w:val="33"/>
        </w:rPr>
      </w:pPr>
      <w:r>
        <w:rPr>
          <w:b/>
          <w:bCs/>
          <w:sz w:val="33"/>
          <w:szCs w:val="33"/>
        </w:rPr>
        <w:t>多家连锁药店，门店将破万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hint="eastAsia" w:ascii="Microsoft YaHei UI" w:hAnsi="Microsoft YaHei UI" w:eastAsia="Microsoft YaHei UI" w:cs="Microsoft YaHei UI"/>
          <w:i w:val="0"/>
          <w:iCs w:val="0"/>
          <w:caps w:val="0"/>
          <w:color w:val="333333"/>
          <w:spacing w:val="8"/>
          <w:sz w:val="25"/>
          <w:szCs w:val="25"/>
        </w:rPr>
      </w:pP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"javascript:void(0);" </w:instrText>
      </w:r>
      <w:r>
        <w:rPr>
          <w:rFonts w:ascii="宋体" w:hAnsi="宋体" w:eastAsia="宋体" w:cs="宋体"/>
          <w:color w:val="576B95"/>
          <w:kern w:val="0"/>
          <w:sz w:val="22"/>
          <w:szCs w:val="22"/>
          <w:u w:val="none"/>
          <w:lang w:val="en-US" w:eastAsia="zh-CN" w:bidi="ar"/>
        </w:rPr>
        <w:fldChar w:fldCharType="separate"/>
      </w:r>
      <w:r>
        <w:rPr>
          <w:rStyle w:val="16"/>
          <w:rFonts w:ascii="宋体" w:hAnsi="宋体" w:eastAsia="宋体" w:cs="宋体"/>
          <w:color w:val="576B95"/>
          <w:sz w:val="22"/>
          <w:szCs w:val="22"/>
          <w:u w:val="none"/>
        </w:rPr>
        <w:t>药店经理人</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2022-01-09 19:22</w:t>
      </w:r>
      <w:bookmarkStart w:id="0" w:name="_GoBack"/>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Theme="minorEastAsia" w:hAnsiTheme="minorEastAsia" w:eastAsiaTheme="minorEastAsia" w:cstheme="minorEastAsia"/>
          <w:i/>
          <w:iCs/>
          <w:kern w:val="2"/>
          <w:sz w:val="28"/>
          <w:szCs w:val="28"/>
          <w:lang w:val="en-US" w:eastAsia="zh-CN" w:bidi="ar-SA"/>
        </w:rPr>
      </w:pPr>
      <w:r>
        <w:rPr>
          <w:rFonts w:hint="eastAsia" w:asciiTheme="minorEastAsia" w:hAnsiTheme="minorEastAsia" w:eastAsiaTheme="minorEastAsia" w:cstheme="minorEastAsia"/>
          <w:i w:val="0"/>
          <w:iCs w:val="0"/>
          <w:kern w:val="2"/>
          <w:sz w:val="28"/>
          <w:szCs w:val="28"/>
          <w:lang w:val="en-US" w:eastAsia="zh-CN" w:bidi="ar-SA"/>
        </w:rPr>
        <w:t>借助资本并购之利、之力，“万家药店”不久将成批出现，不出意外的话，上市连锁老百姓、益丰、大参林、一心堂以及国大药房将顺利加入“万家俱乐部”。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资本犹如一张大网，网住了每一个企业，左右着药店的长远规划与运营，用其逐利的本性鞭策着连锁药店更好更快发展，给连锁药店带来了预想中的福利。但不容忽视的是，伴资本并购而生的“并购综合症”以及不得不防的“大企业病”。大规模、高强度、连续化的资本并购扩张，也给连锁药店带来潜在的运营、效益下滑、资金链紧张等风险，特别是并购整合风险、高商誉风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置身现代经济社会里，无孔不入的资本确实如一张大网，网住了每一个企业，连锁药店当然也不例外；资本的血液、资本的力量与意志早已渗透到了连锁药店的生态里，左右着药店的长远规划与规范运营，也用逐利的本性鞭策着连锁药店更好更快发展。如果将资本从药品零售业的每一家药店完全剥离，剩下的或许是一地鸡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资本并购之网对上市连锁的影响更加深刻、深入。资本市场为上市连锁发展提供了源源不断的资金来源，资本并购早已成为上市连锁做大做强的最直接、最有效途径。如果说2014年7月一心堂勇夺“上市连锁药店第一股”只是让业内对股市的“造富神话”感到艳羡和向往，那么7年后整个行业愈来愈严峻的竞争形势、上市连锁板块形成并携资本之利在全国扩张、昔日的难兄难弟已经借助资本并购迅速成长为头部连锁等，则让资本市场外的连锁药店感受到巨大的发展压力以及竞争一步步逼近的寒意，登陆资本市场，借力资本并购谋发展已经成为事关药店业生存的大问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上市连锁的发展史，某种程度上就是不断并购持续扩张的进化史。2021年，资本并购的力量与后劲在药品零售业体现得尤为明显。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eastAsia="宋体" w:cs="Times New Roman" w:asciiTheme="minorEastAsia" w:hAnsiTheme="minorEastAsia"/>
          <w:b/>
          <w:bCs/>
          <w:color w:val="4F81BD" w:themeColor="accent1"/>
          <w:kern w:val="2"/>
          <w:sz w:val="28"/>
          <w:szCs w:val="28"/>
          <w:lang w:val="en-US" w:eastAsia="zh-CN" w:bidi="ar-SA"/>
        </w:rPr>
      </w:pPr>
      <w:r>
        <w:rPr>
          <w:rFonts w:hint="eastAsia" w:eastAsia="宋体" w:cs="Times New Roman" w:asciiTheme="minorEastAsia" w:hAnsiTheme="minorEastAsia"/>
          <w:b/>
          <w:bCs/>
          <w:color w:val="4F81BD" w:themeColor="accent1"/>
          <w:kern w:val="2"/>
          <w:sz w:val="28"/>
          <w:szCs w:val="28"/>
          <w:lang w:val="en-US" w:eastAsia="zh-CN" w:bidi="ar-SA"/>
        </w:rPr>
        <w:t>资本并购之往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ascii="Microsoft YaHei UI" w:hAnsi="Microsoft YaHei UI" w:eastAsia="Microsoft YaHei UI" w:cs="Microsoft YaHei UI"/>
          <w:i w:val="0"/>
          <w:iCs w:val="0"/>
          <w:caps w:val="0"/>
          <w:color w:val="333333"/>
          <w:spacing w:val="8"/>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2021年的药店并购，有如下几大特征：</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第一，2021年度的药店并购明星当属老百姓。年内几乎所有大项目都是老百姓推动的：斥资6.8亿元并购内蒙古赤峰人川100%股权，一口吃下287家门店；并购河北华佗大药房51%股权更是耗资14.28亿元，无论是收购金额还是715家的门店数，都是业内名列前茅的大并购；对兰州惠仁堂以及“江苏三强”华康大药房、江苏百佳惠、泰州隆泰源剩余股权的收购，则说明老百姓之前的并购达到了预期。12月10日晚临近岁末，老百姓又添了一把火：拟以现金方式受让湖南怀仁大健康部分股东合计持有的怀仁大健康46%-72%的股权，将怀仁大健康在湖南、贵州拥有650余家自营药店纳入麾下，老百姓在湖南的门店数有望达2700家，成为湖南省药店的龙头老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第二，上市连锁几乎是战略一致、目标一致、步调一致地同时发力并购。年初及之前老百姓、大参林、益丰等几大连锁先后喊出“今后三年内每年扩张2000家门店”的目标，业内对此其实是将信将疑的，年底盘点战绩，则让我们深感并购扩张凶猛不可阻挡。前三季度老百姓就新增门店1866家，再加上怀仁大健康650家，不算四季度其他扩张门店，就已经超过了2500家，其中并购1185家。大参林前三季度发生了29起并购业务、涉及门店数839家，其中新签并购项目20起、涉及门店685家。就连上市新贵健之佳，前三季度也在云南、广西两省重点布局并发生8起并购、涉及门店数172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第三，在2021年并购中各上市连锁的战略意图体现得非常明显。老百姓年内并购的内蒙古赤峰人川、河北华佗药房均是当地首屈一指的区域龙头，并购赤峰人川后与之前已经并购的通辽泽强强势合力、遥相呼应，进一步强化了内蒙古市场的领先优势，有利于整合地区地采资源，提高议价能力和市场影响力；并购河北华佗后，老百姓就有了战略支撑，今后可以依次为据点稳扎稳打，逐步扩张势力范围。大参林的并购单笔规模不大，但有7起布局发生在黑龙江、涉及门店184家，显然采取的是“涤清重来”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第四，尘埃尚未落定，我国药店业的市场格局随着大并购大扩张将出现大变化。近年来，一心堂借助最早IPO上市的机遇一直是门店最多的上市连锁，截至2021年三季度门店总数8356家，老百姓以8163家紧随其后，如果怀仁大健康650家门店并入老百姓版图，则门店数将一举超过一心堂。这些年，一心堂始终坚持发展直营店、不涉足加盟业务，新增门店也转为自建新店为主，考虑到今后三年老百姓、益丰、大参林均以2000家为扩张目标而一心堂目标只有1000多家，门店最多上市连锁的桂冠有可能很快易主。</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区域布局方面，健之佳的以云南为根据地，逐步向广西、四川、重庆扩张的“路线图”与一心堂高度重叠，二强相争在所难免；在东北区域，大参林已经先手进入并通过并购抓紧布局，漱玉平民则先后在哈尔滨、沈阳设立以异省扩张为目的的全资子公司，摆明了要红红火火“闯关东”大干一场；在华北区域，益丰药房早在2018年7月斥巨资13.8亿元并购了河北新兴大药房，此番老百姓斥资14.28亿元并购河北华佗，也必将撼动华北市场格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eastAsia="宋体" w:cs="Times New Roman" w:asciiTheme="minorEastAsia" w:hAnsiTheme="minorEastAsia"/>
          <w:b/>
          <w:bCs/>
          <w:color w:val="4F81BD" w:themeColor="accent1"/>
          <w:kern w:val="2"/>
          <w:sz w:val="28"/>
          <w:szCs w:val="28"/>
          <w:lang w:val="en-US" w:eastAsia="zh-CN" w:bidi="ar-SA"/>
        </w:rPr>
      </w:pPr>
      <w:r>
        <w:rPr>
          <w:rFonts w:hint="eastAsia" w:eastAsia="宋体" w:cs="Times New Roman" w:asciiTheme="minorEastAsia" w:hAnsiTheme="minorEastAsia"/>
          <w:b/>
          <w:bCs/>
          <w:color w:val="4F81BD" w:themeColor="accent1"/>
          <w:kern w:val="2"/>
          <w:sz w:val="28"/>
          <w:szCs w:val="28"/>
          <w:lang w:val="en-US" w:eastAsia="zh-CN" w:bidi="ar-SA"/>
        </w:rPr>
        <w:t>资本并购之望</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ascii="Microsoft YaHei UI" w:hAnsi="Microsoft YaHei UI" w:eastAsia="Microsoft YaHei UI" w:cs="Microsoft YaHei UI"/>
          <w:i w:val="0"/>
          <w:iCs w:val="0"/>
          <w:caps w:val="0"/>
          <w:color w:val="333333"/>
          <w:spacing w:val="8"/>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并购“战车”一经启动，短期内就停不下来，也无法停下来。可以肯定：在行业政策、竞争需要、市值驱动等内外因素共同作用下，2022年我国药品零售业资本并购的力度、深度将更加凶猛，新一轮药店大并购大扩张的势头有望延续到“十四五”末。</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国家主管部门鼓励并支持头部连锁进一步做大做强，以此拉动药店连锁率提升到70%。2021年10月28日商务部发布《关于“十四五”时期促进药品流通行业高质量发展的指导意见》提出，“到2025年培育形成5-10家超五百亿元的专业化、多元化药品零售连锁企业，药品零售百强企业年销售额占药品零售市场总额65%以上；药品零售连锁率接近70%。”这一政策指导性文件，奠定了我国药品零售业今后五年发展的主基调：上规模，提水平，专业化，多元化，高质量发展。2020年一心堂、益丰药房、老百姓、大参林分别实现营业收入126.56亿元、131.45亿元、139.67亿元、145.83亿元；据太平洋证券测算，上述四家上市连锁2021年营业收入预计分别完成152.50亿元、152.48亿元、157.82亿元、173.53亿元，以2021年预测值为基数到2025年完成500亿元营收，须年均增长34.56%、34.57%、33.41%、30.28%，大大高出近年来上市连锁的年均增速。显然，加快并购扩张是必由之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left"/>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头部连锁每年扩张2000家门店的上限肯定会被一次次突破。在商务部《意见》指导下，行业鼓励支持并购的政策环境可以期待。2020年喊出“新增2000家门店”口号的上市连锁，有的超额完成了目标，有的还有一定差距，其中老百姓至少新增2516家门店，堪称“并购领头羊”。在“羊群效应”作用下，其他连锁会加快步伐跟进并购，以保持门店总数的新平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2" w:firstLineChars="200"/>
        <w:jc w:val="left"/>
        <w:rPr>
          <w:rFonts w:hint="eastAsia" w:eastAsia="宋体" w:cs="Times New Roman" w:asciiTheme="minorEastAsia" w:hAnsiTheme="minorEastAsia"/>
          <w:b/>
          <w:bCs/>
          <w:kern w:val="2"/>
          <w:sz w:val="28"/>
          <w:szCs w:val="28"/>
          <w:lang w:val="en-US" w:eastAsia="zh-CN" w:bidi="ar-SA"/>
        </w:rPr>
      </w:pPr>
      <w:r>
        <w:rPr>
          <w:rFonts w:hint="eastAsia" w:eastAsia="宋体" w:cs="Times New Roman" w:asciiTheme="minorEastAsia" w:hAnsiTheme="minorEastAsia"/>
          <w:b/>
          <w:bCs/>
          <w:kern w:val="2"/>
          <w:sz w:val="28"/>
          <w:szCs w:val="28"/>
          <w:lang w:val="en-US" w:eastAsia="zh-CN" w:bidi="ar-SA"/>
        </w:rPr>
        <w:t>借助资本并购之利、之力，“万家药店”不久将成批出现，不出意外的话，上市连锁老百姓、益丰、大参林、一心堂以及国大药房将顺利加入“万家俱乐部”。</w:t>
      </w:r>
    </w:p>
    <w:p>
      <w:pPr>
        <w:bidi w:val="0"/>
        <w:ind w:firstLine="560" w:firstLineChars="200"/>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规模一向是我国药店业最大的核心竞争力之一，药店的销售额、单品采购价、上游资源与学术支持等均与药店的规模、门店数等正相关，“万家药店”也一直是我国药店界的心结与梦想。前些年有多家企业集团先后喊出创办“万家药店”“5万家药店”，但都落了空甚至连企业本尊都不存在了。这一次的“万家药店”近在咫尺，尤其是老百姓门店总数已经接近9000家，2022年门店总数过万家可以说板上钉钉；2021年三季度末一心堂门店达8356家、国大药房超过8600家以及门店数在7000-8000家的益丰药房、大参林也会跻身这场争夺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eastAsia="宋体"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ascii="Microsoft YaHei UI" w:hAnsi="Microsoft YaHei UI" w:eastAsia="Microsoft YaHei UI" w:cs="Microsoft YaHei UI"/>
          <w:i w:val="0"/>
          <w:iCs w:val="0"/>
          <w:caps w:val="0"/>
          <w:color w:val="333333"/>
          <w:spacing w:val="8"/>
          <w:sz w:val="25"/>
          <w:szCs w:val="25"/>
        </w:rPr>
      </w:pPr>
      <w:r>
        <w:rPr>
          <w:rFonts w:hint="eastAsia" w:eastAsia="宋体" w:cs="Times New Roman" w:asciiTheme="minorEastAsia" w:hAnsiTheme="minorEastAsia"/>
          <w:kern w:val="2"/>
          <w:sz w:val="28"/>
          <w:szCs w:val="28"/>
          <w:lang w:val="en-US" w:eastAsia="zh-CN" w:bidi="ar-SA"/>
        </w:rPr>
        <w:t>资本并购不是上市连锁的专利，实际上，很多拟上市连锁也一直是门店并购的积极实践者与推动者。与已上市连锁的并购驱动力相比较，拟上市连锁有过之而无不及，一方面是药店创始人及创业团队资产与财富增值的迫切需要，另一方面创业发展过程中加入的PE/VC等机构也亟需通过IPO上市完成变现或退出，连锁自身要增强竞争实力快速做强做大，更离不开资本市场的加持。截至目前，有多家头部药店正在谋划或推进上市事宜，包括泉源堂、安徽华人健康、养天和、贵州一树、甘肃德生堂、浙江瑞人堂等。在发行注册制改革背景下，连锁药店上市的进程将加快，但依靠并购扩张做强自身，无疑有助于拟上市连锁梦圆IPO。</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2022年上市连锁的并购扩张看点多多。第一，在一个财年内交出2500多家新增门店的优秀成绩单后，老百姓新的一年会放出哪些大招，第10000家门店的幸运儿花落哪一家并购标的？第二，多年来始终坚持直营模式不改的一心堂，过去整整一年没有像样的并购动作，新的一年如何奋马扬鞭，是否会改变策略通过加盟加快扩张？第三，海外并购扩张何时迈出第一步，谁又是第一个“吃螃蟹者”？2019年10月8日一心堂与美国安士制药合作在著名的纽约曼哈顿第五大道开出了第一家美国门店，尽管其销售收入占比不大，但开设后赶上了疫情，该门店业绩大幅增长，大大提升了一心堂在美国市场的品牌认知度。第四，阿里健康、京东健康等电商在完成线上布局后，会否转身开始对线下实体店的并购？已经得到高层认可的“网订店取”“网订店送”模式，如何快速对接织网实现线下线上一体化？在这过程中资本并购将发挥什么作用等等，也是业内所关心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eastAsia="宋体" w:cs="Times New Roman" w:asciiTheme="minorEastAsia" w:hAnsiTheme="minorEastAsia"/>
          <w:b/>
          <w:bCs/>
          <w:color w:val="4F81BD" w:themeColor="accent1"/>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eastAsia="宋体" w:cs="Times New Roman" w:asciiTheme="minorEastAsia" w:hAnsiTheme="minorEastAsia"/>
          <w:b/>
          <w:bCs/>
          <w:color w:val="4F81BD" w:themeColor="accent1"/>
          <w:kern w:val="2"/>
          <w:sz w:val="28"/>
          <w:szCs w:val="28"/>
          <w:lang w:val="en-US" w:eastAsia="zh-CN" w:bidi="ar-SA"/>
        </w:rPr>
      </w:pPr>
      <w:r>
        <w:rPr>
          <w:rFonts w:hint="eastAsia" w:eastAsia="宋体" w:cs="Times New Roman" w:asciiTheme="minorEastAsia" w:hAnsiTheme="minorEastAsia"/>
          <w:b/>
          <w:bCs/>
          <w:color w:val="4F81BD" w:themeColor="accent1"/>
          <w:kern w:val="2"/>
          <w:sz w:val="28"/>
          <w:szCs w:val="28"/>
          <w:lang w:val="en-US" w:eastAsia="zh-CN" w:bidi="ar-SA"/>
        </w:rPr>
        <w:t>资本并购之惘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0"/>
        <w:jc w:val="both"/>
        <w:rPr>
          <w:rFonts w:hint="eastAsia" w:ascii="Microsoft YaHei UI" w:hAnsi="Microsoft YaHei UI" w:eastAsia="Microsoft YaHei UI" w:cs="Microsoft YaHei UI"/>
          <w:i w:val="0"/>
          <w:iCs w:val="0"/>
          <w:caps w:val="0"/>
          <w:color w:val="333333"/>
          <w:spacing w:val="8"/>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资本并购给连锁药店带来了预想中的福利。以老百姓为例。截至2021年9月底其营销网络已覆盖全国22个省级市场、140多个地级以上城市，拥有门店8163家，其中直营门店6055家、加盟门店2108家；直营门店中医保门店占比87.37%，院边店占比10%，特殊门诊425个，DTP药房145家，其中双通道资格DTP药房93家。依靠强大的门店布局与资本实力，老百姓大力推动数字化转型、新零售等业务，2021年前9个月线上渠道实现销售额5亿元，同比增长160%。</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但不容忽视的是，伴并购而生的“并购综合症”以及不得不防的“大企业病”。在频繁的大规模并购、企业度过“并购红利期”后，或有可能出现收入大幅增长但利润不增反降，过于依赖并购外力、连锁内生力量及创新精神缺失致使经营不振等情况，严重者被并购方与原主体甚至相互掣肘拖累。至于大企业病，更是我国大企业大集团所常见，当连锁下属门店达到几万家、营收规模数百亿元，总部的管理力、控制力以及总体效率等或严重衰减，这也是笔者质疑“我国连锁药店门店总数扩张的‘天花板’在哪里”的原因所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大规模、高强度、连续化的资本并购扩张，也给连锁药店带来潜在的运营、效益下滑、资金链紧张等风险，特别是并购整合风险、高商誉风险。截至2021年三季度末，老百姓的现金及现金等价物余额为4.16亿元，较2020年同期的6.45亿元减少35.5%，如果继续斥巨资并购，必然出现负债率激增以及流动性等问题；即使有充足的银行授信额度，也会大幅增加管理、财务等费用并降低药店盈利能力。多次高溢价收购则导致商誉居高不下，截至2021年三季末老百姓商誉高达36.38亿元，溢价收购湖南怀仁大健康后，商誉将进一步提高；如果并购标的效益不及预期，极易出现“商誉雷”风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2022年药店圈的资本并购也存在诸多变数。最大的变数来自于PE/VC等业外资本退出会否引发“蝴蝶效应”。我国药品零售业在2016年迎来一次业外资本进入热潮，始作俑者是以高瓴资本、基石资本等为代表的PE/VC，通过快速持续并购分别成立了高济医疗、全亿健康；此后国药控股、四大民营上市连锁以及工业企业、互联网企业等纷纷加入并购战局并推动门店估值不断攀高，其后续影响市场花了两年多时间才消化，直到2021年重启新一轮并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firstLine="560" w:firstLineChars="2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2021年5月，基石资本宣布将持有的全亿健康股份悉数转让给某大型知名私募股权投资机构，创下近年药品零售领域最大并购案。据媒体查证，全亿健康的买方是素有“华尔街收购之王”称号的国际PE巨头KKR。为打造全亿健康，基石资本先后投入30多亿元，在经营、管理、资源等方面更是耗费大量人财物力，此番决然全身退出未免引人浮想联翩。财大气粗、高举高打的业外资本给我国药店业带来了发展机会，但也带来极大不确定性，如因个别资本退出引发“蝴蝶效应”，对行业今后发展将带来不利影响。</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宋体" w:hAnsi="宋体" w:eastAsia="宋体" w:cs="宋体"/>
          <w:kern w:val="2"/>
          <w:sz w:val="28"/>
          <w:szCs w:val="28"/>
          <w:lang w:val="en-US" w:eastAsia="zh-CN" w:bidi="ar-SA"/>
        </w:rPr>
      </w:pPr>
    </w:p>
    <w:sectPr>
      <w:headerReference r:id="rId4" w:type="first"/>
      <w:footerReference r:id="rId6" w:type="first"/>
      <w:headerReference r:id="rId3" w:type="default"/>
      <w:footerReference r:id="rId5"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iti SC Light">
    <w:altName w:val="Arial Unicode MS"/>
    <w:panose1 w:val="00000000000000000000"/>
    <w:charset w:val="50"/>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DA212"/>
    <w:multiLevelType w:val="singleLevel"/>
    <w:tmpl w:val="AF5DA212"/>
    <w:lvl w:ilvl="0" w:tentative="0">
      <w:start w:val="1"/>
      <w:numFmt w:val="decimal"/>
      <w:suff w:val="nothing"/>
      <w:lvlText w:val="%1、"/>
      <w:lvlJc w:val="left"/>
      <w:pPr>
        <w:ind w:left="420"/>
      </w:pPr>
    </w:lvl>
  </w:abstractNum>
  <w:abstractNum w:abstractNumId="1">
    <w:nsid w:val="B0BDE469"/>
    <w:multiLevelType w:val="singleLevel"/>
    <w:tmpl w:val="B0BDE469"/>
    <w:lvl w:ilvl="0" w:tentative="0">
      <w:start w:val="1"/>
      <w:numFmt w:val="decimal"/>
      <w:suff w:val="nothing"/>
      <w:lvlText w:val="%1、"/>
      <w:lvlJc w:val="left"/>
      <w:pPr>
        <w:ind w:left="420"/>
      </w:pPr>
    </w:lvl>
  </w:abstractNum>
  <w:abstractNum w:abstractNumId="2">
    <w:nsid w:val="159E846C"/>
    <w:multiLevelType w:val="singleLevel"/>
    <w:tmpl w:val="159E846C"/>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F637D"/>
    <w:rsid w:val="022F6E3F"/>
    <w:rsid w:val="05A25F04"/>
    <w:rsid w:val="07554B90"/>
    <w:rsid w:val="07BF1379"/>
    <w:rsid w:val="08A31CBC"/>
    <w:rsid w:val="09D05DEC"/>
    <w:rsid w:val="09F63639"/>
    <w:rsid w:val="0CCC4F6A"/>
    <w:rsid w:val="11820132"/>
    <w:rsid w:val="11951C6C"/>
    <w:rsid w:val="11D108B4"/>
    <w:rsid w:val="11DC15A3"/>
    <w:rsid w:val="120E4283"/>
    <w:rsid w:val="12FE547B"/>
    <w:rsid w:val="1437337D"/>
    <w:rsid w:val="152B31F8"/>
    <w:rsid w:val="16CE3A0D"/>
    <w:rsid w:val="17744A6A"/>
    <w:rsid w:val="18AB5CBA"/>
    <w:rsid w:val="18DB1319"/>
    <w:rsid w:val="19174EF9"/>
    <w:rsid w:val="1AEA2059"/>
    <w:rsid w:val="1CD1367D"/>
    <w:rsid w:val="1D806D30"/>
    <w:rsid w:val="1DC1536C"/>
    <w:rsid w:val="1E58289A"/>
    <w:rsid w:val="1F191D04"/>
    <w:rsid w:val="226D27CD"/>
    <w:rsid w:val="235F1A86"/>
    <w:rsid w:val="2384659F"/>
    <w:rsid w:val="24263CBA"/>
    <w:rsid w:val="24CF7447"/>
    <w:rsid w:val="260F7586"/>
    <w:rsid w:val="261F4388"/>
    <w:rsid w:val="264045E2"/>
    <w:rsid w:val="27CC56CF"/>
    <w:rsid w:val="28435462"/>
    <w:rsid w:val="29302639"/>
    <w:rsid w:val="29541305"/>
    <w:rsid w:val="2B752FD7"/>
    <w:rsid w:val="2D3C2D65"/>
    <w:rsid w:val="2E652751"/>
    <w:rsid w:val="2EBF09CC"/>
    <w:rsid w:val="2F8702E9"/>
    <w:rsid w:val="2F972F62"/>
    <w:rsid w:val="2FAF3271"/>
    <w:rsid w:val="2FB45DE0"/>
    <w:rsid w:val="2FE52C0C"/>
    <w:rsid w:val="3018437E"/>
    <w:rsid w:val="304D44B0"/>
    <w:rsid w:val="31376F9A"/>
    <w:rsid w:val="329830F5"/>
    <w:rsid w:val="34667B96"/>
    <w:rsid w:val="3500432B"/>
    <w:rsid w:val="36003D4E"/>
    <w:rsid w:val="365A31BB"/>
    <w:rsid w:val="367F3BE8"/>
    <w:rsid w:val="37B74EB3"/>
    <w:rsid w:val="3A20171F"/>
    <w:rsid w:val="3C6C4FC1"/>
    <w:rsid w:val="3EC15781"/>
    <w:rsid w:val="407F1B73"/>
    <w:rsid w:val="4264449E"/>
    <w:rsid w:val="45057032"/>
    <w:rsid w:val="47251314"/>
    <w:rsid w:val="48F153A5"/>
    <w:rsid w:val="4947221A"/>
    <w:rsid w:val="4A831809"/>
    <w:rsid w:val="4AB02478"/>
    <w:rsid w:val="4AE93077"/>
    <w:rsid w:val="4B782949"/>
    <w:rsid w:val="4BDD0A4C"/>
    <w:rsid w:val="4D2E0515"/>
    <w:rsid w:val="4DD565A0"/>
    <w:rsid w:val="4F3A239D"/>
    <w:rsid w:val="51172746"/>
    <w:rsid w:val="517F3852"/>
    <w:rsid w:val="5222222F"/>
    <w:rsid w:val="52960257"/>
    <w:rsid w:val="52E0574D"/>
    <w:rsid w:val="53211FCF"/>
    <w:rsid w:val="53E14797"/>
    <w:rsid w:val="559910C2"/>
    <w:rsid w:val="55BD7D96"/>
    <w:rsid w:val="55D6268C"/>
    <w:rsid w:val="58535A60"/>
    <w:rsid w:val="58741C5A"/>
    <w:rsid w:val="58DC26CE"/>
    <w:rsid w:val="594A6F4C"/>
    <w:rsid w:val="599853C3"/>
    <w:rsid w:val="59ED08E0"/>
    <w:rsid w:val="5B21158A"/>
    <w:rsid w:val="5B532983"/>
    <w:rsid w:val="5B897A39"/>
    <w:rsid w:val="5D6F3C5B"/>
    <w:rsid w:val="5EDC6BF2"/>
    <w:rsid w:val="5F18231B"/>
    <w:rsid w:val="60714CAF"/>
    <w:rsid w:val="60723523"/>
    <w:rsid w:val="6185567A"/>
    <w:rsid w:val="61A85346"/>
    <w:rsid w:val="62DC368C"/>
    <w:rsid w:val="6310415D"/>
    <w:rsid w:val="658D2E98"/>
    <w:rsid w:val="666E2F65"/>
    <w:rsid w:val="66A963B5"/>
    <w:rsid w:val="673958B7"/>
    <w:rsid w:val="68DA2FED"/>
    <w:rsid w:val="6A2A571F"/>
    <w:rsid w:val="6BE425C0"/>
    <w:rsid w:val="6BF70848"/>
    <w:rsid w:val="6C5C6DD8"/>
    <w:rsid w:val="7075522F"/>
    <w:rsid w:val="71876026"/>
    <w:rsid w:val="71C85B07"/>
    <w:rsid w:val="7231215E"/>
    <w:rsid w:val="72D4487B"/>
    <w:rsid w:val="77006B5D"/>
    <w:rsid w:val="777B53DA"/>
    <w:rsid w:val="77D4039C"/>
    <w:rsid w:val="77DD3AED"/>
    <w:rsid w:val="77E40508"/>
    <w:rsid w:val="78263735"/>
    <w:rsid w:val="78397F16"/>
    <w:rsid w:val="78834766"/>
    <w:rsid w:val="79BE7B03"/>
    <w:rsid w:val="7AC775E1"/>
    <w:rsid w:val="7B10569F"/>
    <w:rsid w:val="7BEB3EB3"/>
    <w:rsid w:val="7EC568B4"/>
    <w:rsid w:val="7EF1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5"/>
    <w:semiHidden/>
    <w:unhideWhenUsed/>
    <w:qFormat/>
    <w:uiPriority w:val="0"/>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semiHidden/>
    <w:qFormat/>
    <w:uiPriority w:val="99"/>
    <w:rPr>
      <w:sz w:val="18"/>
      <w:szCs w:val="18"/>
    </w:rPr>
  </w:style>
  <w:style w:type="character" w:customStyle="1" w:styleId="19">
    <w:name w:val="页脚 Char"/>
    <w:basedOn w:val="13"/>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3"/>
    <w:link w:val="20"/>
    <w:qFormat/>
    <w:uiPriority w:val="1"/>
    <w:rPr>
      <w:rFonts w:asciiTheme="minorHAnsi" w:hAnsiTheme="minorHAnsi" w:eastAsiaTheme="minorEastAsia" w:cstheme="minorBidi"/>
      <w:sz w:val="22"/>
      <w:szCs w:val="22"/>
    </w:rPr>
  </w:style>
  <w:style w:type="paragraph" w:styleId="22">
    <w:name w:val="List Paragraph"/>
    <w:basedOn w:val="1"/>
    <w:unhideWhenUsed/>
    <w:qFormat/>
    <w:uiPriority w:val="34"/>
    <w:pPr>
      <w:ind w:firstLine="420" w:firstLineChars="200"/>
    </w:pPr>
  </w:style>
  <w:style w:type="paragraph" w:customStyle="1" w:styleId="23">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标题 2 Char"/>
    <w:basedOn w:val="13"/>
    <w:link w:val="3"/>
    <w:qFormat/>
    <w:uiPriority w:val="9"/>
    <w:rPr>
      <w:rFonts w:ascii="宋体" w:hAnsi="宋体" w:cs="宋体"/>
      <w:sz w:val="36"/>
      <w:szCs w:val="36"/>
    </w:rPr>
  </w:style>
  <w:style w:type="character" w:customStyle="1" w:styleId="25">
    <w:name w:val="标题 4 Char"/>
    <w:basedOn w:val="13"/>
    <w:link w:val="5"/>
    <w:qFormat/>
    <w:uiPriority w:val="9"/>
    <w:rPr>
      <w:rFonts w:ascii="宋体" w:hAnsi="宋体" w:cs="宋体"/>
      <w:sz w:val="24"/>
      <w:szCs w:val="24"/>
    </w:rPr>
  </w:style>
  <w:style w:type="paragraph" w:customStyle="1" w:styleId="26">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7">
    <w:name w:val="articlel"/>
    <w:basedOn w:val="13"/>
    <w:qFormat/>
    <w:uiPriority w:val="0"/>
  </w:style>
  <w:style w:type="character" w:customStyle="1" w:styleId="28">
    <w:name w:val="articler"/>
    <w:basedOn w:val="13"/>
    <w:qFormat/>
    <w:uiPriority w:val="0"/>
  </w:style>
  <w:style w:type="paragraph" w:customStyle="1" w:styleId="29">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0">
    <w:name w:val="rich_media_meta1"/>
    <w:basedOn w:val="13"/>
    <w:qFormat/>
    <w:uiPriority w:val="0"/>
    <w:rPr>
      <w:sz w:val="24"/>
      <w:szCs w:val="24"/>
    </w:rPr>
  </w:style>
  <w:style w:type="character" w:customStyle="1" w:styleId="31">
    <w:name w:val="profile_meta_value1"/>
    <w:basedOn w:val="13"/>
    <w:qFormat/>
    <w:uiPriority w:val="0"/>
    <w:rPr>
      <w:color w:val="ADADAD"/>
    </w:rPr>
  </w:style>
  <w:style w:type="character" w:customStyle="1" w:styleId="32">
    <w:name w:val="apple-converted-space"/>
    <w:basedOn w:val="13"/>
    <w:qFormat/>
    <w:uiPriority w:val="0"/>
  </w:style>
  <w:style w:type="character" w:customStyle="1" w:styleId="33">
    <w:name w:val="rich_media_meta"/>
    <w:basedOn w:val="13"/>
    <w:qFormat/>
    <w:uiPriority w:val="0"/>
  </w:style>
  <w:style w:type="character" w:customStyle="1" w:styleId="34">
    <w:name w:val="blue"/>
    <w:basedOn w:val="13"/>
    <w:qFormat/>
    <w:uiPriority w:val="0"/>
  </w:style>
  <w:style w:type="character" w:customStyle="1" w:styleId="35">
    <w:name w:val="日期 Char"/>
    <w:basedOn w:val="13"/>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NUL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6"/>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Pages>
  <Words>2181</Words>
  <Characters>12432</Characters>
  <Lines>1</Lines>
  <Paragraphs>1</Paragraphs>
  <TotalTime>0</TotalTime>
  <ScaleCrop>false</ScaleCrop>
  <LinksUpToDate>false</LinksUpToDate>
  <CharactersWithSpaces>14584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车成刚</cp:lastModifiedBy>
  <cp:lastPrinted>2018-09-29T05:55:00Z</cp:lastPrinted>
  <dcterms:modified xsi:type="dcterms:W3CDTF">2022-01-25T06:08:49Z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7EB6DB202D15400ABD3B585EBF018C2B</vt:lpwstr>
  </property>
</Properties>
</file>