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-1188720</wp:posOffset>
            </wp:positionH>
            <wp:positionV relativeFrom="paragraph">
              <wp:posOffset>-916305</wp:posOffset>
            </wp:positionV>
            <wp:extent cx="7686675" cy="10873105"/>
            <wp:effectExtent l="0" t="0" r="9525" b="444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5" cy="10873105"/>
                    </a:xfrm>
                    <a:prstGeom prst="rect">
                      <a:avLst/>
                    </a:prstGeom>
                    <a:noFill/>
                    <a:ln w="9525">
                      <a:noFill/>
                      <a:miter lim="800000"/>
                      <a:headEnd/>
                      <a:tailEnd/>
                    </a:ln>
                  </pic:spPr>
                </pic:pic>
              </a:graphicData>
            </a:graphic>
          </wp:anchor>
        </w:drawing>
      </w:r>
    </w:p>
    <w:sdt>
      <w:sdtPr>
        <w:id w:val="11921172"/>
        <w:docPartObj>
          <w:docPartGallery w:val="autotext"/>
        </w:docPartObj>
      </w:sdtPr>
      <w:sdtContent>
        <w:p/>
        <w:p/>
        <w:tbl>
          <w:tblPr>
            <w:tblStyle w:val="11"/>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21"/>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（2022年第</w:t>
          </w:r>
          <w:r>
            <w:rPr>
              <w:rFonts w:hint="eastAsia" w:ascii="Heiti SC Light" w:eastAsia="Heiti SC Light"/>
              <w:color w:val="FFFFFF"/>
              <w:sz w:val="32"/>
              <w:szCs w:val="32"/>
              <w:lang w:val="en-US" w:eastAsia="zh-CN"/>
            </w:rPr>
            <w:t>4</w:t>
          </w:r>
          <w:r>
            <w:rPr>
              <w:rFonts w:hint="eastAsia" w:ascii="Heiti SC Light" w:eastAsia="Heiti SC Light"/>
              <w:color w:val="FFFFFF"/>
              <w:sz w:val="32"/>
              <w:szCs w:val="32"/>
            </w:rPr>
            <w:t>期） 2022年</w:t>
          </w:r>
          <w:r>
            <w:rPr>
              <w:rFonts w:hint="eastAsia" w:ascii="Heiti SC Light" w:eastAsia="Heiti SC Light"/>
              <w:color w:val="FFFFFF"/>
              <w:sz w:val="32"/>
              <w:szCs w:val="32"/>
              <w:lang w:val="en-US" w:eastAsia="zh-CN"/>
            </w:rPr>
            <w:t>4</w:t>
          </w:r>
          <w:r>
            <w:rPr>
              <w:rFonts w:hint="eastAsia" w:ascii="Heiti SC Light" w:eastAsia="Heiti SC Light"/>
              <w:color w:val="FFFFFF"/>
              <w:sz w:val="32"/>
              <w:szCs w:val="32"/>
            </w:rPr>
            <w:t>月2</w:t>
          </w:r>
          <w:r>
            <w:rPr>
              <w:rFonts w:hint="eastAsia" w:ascii="Heiti SC Light" w:eastAsia="Heiti SC Light"/>
              <w:color w:val="FFFFFF"/>
              <w:sz w:val="32"/>
              <w:szCs w:val="32"/>
              <w:lang w:val="en-US" w:eastAsia="zh-CN"/>
            </w:rPr>
            <w:t>7</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6028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GPpbWAAAA&#10;CAEAAA8AAAAAAAAAAQAgAAAAIgAAAGRycy9kb3ducmV2LnhtbFBLAQIUABQAAAAIAIdO4kB2rrkF&#10;5gEAAO0DAAAOAAAAAAAAAAEAIAAAACUBAABkcnMvZTJvRG9jLnhtbFBLBQYAAAAABgAGAFkBAAB9&#10;BQ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6131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pmvDZ&#10;AAAACgEAAA8AAAAAAAAAAQAgAAAAIgAAAGRycy9kb3ducmV2LnhtbFBLAQIUABQAAAAIAIdO4kCn&#10;5Q7J5gEAAO0DAAAOAAAAAAAAAAEAIAAAACgBAABkcnMvZTJvRG9jLnhtbFBLBQYAAAAABgAGAFkB&#10;AACABQ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6432" behindDoc="0" locked="0" layoutInCell="1" allowOverlap="1">
                <wp:simplePos x="0" y="0"/>
                <wp:positionH relativeFrom="column">
                  <wp:posOffset>1554480</wp:posOffset>
                </wp:positionH>
                <wp:positionV relativeFrom="paragraph">
                  <wp:posOffset>2540</wp:posOffset>
                </wp:positionV>
                <wp:extent cx="4210050" cy="8143875"/>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hint="eastAsia"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asciiTheme="minorEastAsia" w:hAnsiTheme="minorEastAsia" w:eastAsiaTheme="minorEastAsia"/>
                                <w:b/>
                                <w:sz w:val="36"/>
                                <w:szCs w:val="36"/>
                              </w:rPr>
                              <w:t>.</w:t>
                            </w:r>
                            <w:r>
                              <w:rPr>
                                <w:rFonts w:hint="eastAsia"/>
                              </w:rPr>
                              <w:t xml:space="preserve"> </w:t>
                            </w:r>
                            <w:r>
                              <w:rPr>
                                <w:rFonts w:hint="eastAsia" w:asciiTheme="minorEastAsia" w:hAnsiTheme="minorEastAsia" w:eastAsiaTheme="minorEastAsia"/>
                                <w:b/>
                                <w:sz w:val="36"/>
                                <w:szCs w:val="36"/>
                              </w:rPr>
                              <w:t>联盟集采“提速扩面”定锤！试水中药、器械难采品种！</w:t>
                            </w:r>
                          </w:p>
                          <w:p>
                            <w:pPr>
                              <w:widowControl/>
                              <w:shd w:val="clear" w:color="auto" w:fill="FFFFFF"/>
                              <w:spacing w:after="21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重磅文件发布：医药零售、流通大变局</w:t>
                            </w: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2022年第一季度中国批准的新药</w:t>
                            </w:r>
                          </w:p>
                          <w:p>
                            <w:pPr>
                              <w:widowControl/>
                              <w:shd w:val="clear" w:color="auto" w:fill="FFFFFF"/>
                              <w:spacing w:after="21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对标企业动态信息汇集</w:t>
                            </w: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b/>
                                <w:sz w:val="36"/>
                                <w:szCs w:val="36"/>
                              </w:rPr>
                              <w:t>5.</w:t>
                            </w:r>
                            <w:r>
                              <w:rPr>
                                <w:rFonts w:hint="eastAsia" w:asciiTheme="minorEastAsia" w:hAnsiTheme="minorEastAsia" w:eastAsiaTheme="minorEastAsia"/>
                                <w:b/>
                                <w:sz w:val="36"/>
                                <w:szCs w:val="36"/>
                              </w:rPr>
                              <w:t xml:space="preserve"> 腾讯、国美，开卖医疗器械</w:t>
                            </w:r>
                          </w:p>
                          <w:p>
                            <w:pPr>
                              <w:widowControl/>
                              <w:shd w:val="clear" w:color="auto" w:fill="FFFFFF"/>
                              <w:spacing w:after="210"/>
                              <w:jc w:val="left"/>
                              <w:outlineLvl w:val="1"/>
                              <w:rPr>
                                <w:rFonts w:asciiTheme="minorEastAsia" w:hAnsiTheme="minorEastAsia" w:eastAsiaTheme="minorEastAsia"/>
                                <w:b/>
                                <w:sz w:val="36"/>
                                <w:szCs w:val="36"/>
                              </w:rPr>
                            </w:pP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wps:txbx>
                      <wps:bodyPr upright="1"/>
                    </wps:wsp>
                  </a:graphicData>
                </a:graphic>
              </wp:anchor>
            </w:drawing>
          </mc:Choice>
          <mc:Fallback>
            <w:pict>
              <v:shape id="文本框 14" o:spid="_x0000_s1026" o:spt="202" type="#_x0000_t202" style="position:absolute;left:0pt;margin-left:122.4pt;margin-top:0.2pt;height:641.25pt;width:331.5pt;z-index:251666432;mso-width-relative:page;mso-height-relative:page;" filled="f" stroked="f" coordsize="21600,21600" o:gfxdata="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iN1ttoAAAAJAQAADwAAAAAAAAABACAAAAAiAAAAZHJzL2Rvd25yZXYueG1sUEsBAhQAFAAA&#10;AAgAh07iQH/Hj3+0AQAAWwMAAA4AAAAAAAAAAQAgAAAAKQEAAGRycy9lMm9Eb2MueG1sUEsFBgAA&#10;AAAGAAYAWQEAAE8FAAAAAA==&#10;">
                <v:fill on="f" focussize="0,0"/>
                <v:stroke on="f" weight="1.25pt"/>
                <v:imagedata o:title=""/>
                <o:lock v:ext="edit" aspectratio="f"/>
                <v:textbox>
                  <w:txbxContent>
                    <w:p>
                      <w:pPr>
                        <w:widowControl/>
                        <w:shd w:val="clear" w:color="auto" w:fill="FFFFFF"/>
                        <w:spacing w:after="210"/>
                        <w:jc w:val="left"/>
                        <w:outlineLvl w:val="1"/>
                        <w:rPr>
                          <w:rFonts w:hint="eastAsia"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asciiTheme="minorEastAsia" w:hAnsiTheme="minorEastAsia" w:eastAsiaTheme="minorEastAsia"/>
                          <w:b/>
                          <w:sz w:val="36"/>
                          <w:szCs w:val="36"/>
                        </w:rPr>
                        <w:t>.</w:t>
                      </w:r>
                      <w:r>
                        <w:rPr>
                          <w:rFonts w:hint="eastAsia"/>
                        </w:rPr>
                        <w:t xml:space="preserve"> </w:t>
                      </w:r>
                      <w:r>
                        <w:rPr>
                          <w:rFonts w:hint="eastAsia" w:asciiTheme="minorEastAsia" w:hAnsiTheme="minorEastAsia" w:eastAsiaTheme="minorEastAsia"/>
                          <w:b/>
                          <w:sz w:val="36"/>
                          <w:szCs w:val="36"/>
                        </w:rPr>
                        <w:t>联盟集采“提速扩面”定锤！试水中药、器械难采品种！</w:t>
                      </w:r>
                    </w:p>
                    <w:p>
                      <w:pPr>
                        <w:widowControl/>
                        <w:shd w:val="clear" w:color="auto" w:fill="FFFFFF"/>
                        <w:spacing w:after="21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重磅文件发布：医药零售、流通大变局</w:t>
                      </w: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2022年第一季度中国批准的新药</w:t>
                      </w:r>
                    </w:p>
                    <w:p>
                      <w:pPr>
                        <w:widowControl/>
                        <w:shd w:val="clear" w:color="auto" w:fill="FFFFFF"/>
                        <w:spacing w:after="21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对标企业动态信息汇集</w:t>
                      </w: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190" w:line="432" w:lineRule="auto"/>
                        <w:jc w:val="left"/>
                        <w:outlineLvl w:val="1"/>
                        <w:rPr>
                          <w:rFonts w:asciiTheme="minorEastAsia" w:hAnsiTheme="minorEastAsia" w:eastAsiaTheme="minorEastAsia"/>
                          <w:b/>
                          <w:szCs w:val="21"/>
                        </w:rPr>
                      </w:pPr>
                    </w:p>
                    <w:p>
                      <w:pPr>
                        <w:widowControl/>
                        <w:shd w:val="clear" w:color="auto" w:fill="FFFFFF"/>
                        <w:spacing w:after="210"/>
                        <w:jc w:val="left"/>
                        <w:outlineLvl w:val="1"/>
                        <w:rPr>
                          <w:rFonts w:asciiTheme="minorEastAsia" w:hAnsiTheme="minorEastAsia" w:eastAsiaTheme="minorEastAsia"/>
                          <w:b/>
                          <w:bCs/>
                          <w:sz w:val="36"/>
                          <w:szCs w:val="36"/>
                        </w:rPr>
                      </w:pPr>
                      <w:r>
                        <w:rPr>
                          <w:rFonts w:hint="eastAsia"/>
                          <w:b/>
                          <w:sz w:val="36"/>
                          <w:szCs w:val="36"/>
                        </w:rPr>
                        <w:t>5.</w:t>
                      </w:r>
                      <w:r>
                        <w:rPr>
                          <w:rFonts w:hint="eastAsia" w:asciiTheme="minorEastAsia" w:hAnsiTheme="minorEastAsia" w:eastAsiaTheme="minorEastAsia"/>
                          <w:b/>
                          <w:sz w:val="36"/>
                          <w:szCs w:val="36"/>
                        </w:rPr>
                        <w:t xml:space="preserve"> 腾讯、国美，开卖医疗器械</w:t>
                      </w:r>
                    </w:p>
                    <w:p>
                      <w:pPr>
                        <w:widowControl/>
                        <w:shd w:val="clear" w:color="auto" w:fill="FFFFFF"/>
                        <w:spacing w:after="210"/>
                        <w:jc w:val="left"/>
                        <w:outlineLvl w:val="1"/>
                        <w:rPr>
                          <w:rFonts w:asciiTheme="minorEastAsia" w:hAnsiTheme="minorEastAsia" w:eastAsiaTheme="minorEastAsia"/>
                          <w:b/>
                          <w:sz w:val="36"/>
                          <w:szCs w:val="36"/>
                        </w:rPr>
                      </w:pP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4</w:t>
                            </w:r>
                            <w:r>
                              <w:rPr>
                                <w:rFonts w:hint="eastAsia"/>
                                <w:b/>
                                <w:sz w:val="36"/>
                                <w:szCs w:val="36"/>
                              </w:rPr>
                              <w:t>月第</w:t>
                            </w:r>
                            <w:r>
                              <w:rPr>
                                <w:rFonts w:hint="eastAsia"/>
                                <w:b/>
                                <w:sz w:val="36"/>
                                <w:szCs w:val="36"/>
                                <w:lang w:val="en-US" w:eastAsia="zh-CN"/>
                              </w:rPr>
                              <w:t>4</w:t>
                            </w:r>
                            <w:r>
                              <w:rPr>
                                <w:rFonts w:hint="eastAsia"/>
                                <w:b/>
                                <w:sz w:val="36"/>
                                <w:szCs w:val="36"/>
                              </w:rPr>
                              <w:t>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336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YunetwAAAAKAQAADwAAAAAAAAABACAAAAAiAAAAZHJzL2Rvd25yZXYueG1sUEsBAhQA&#10;FAAAAAgAh07iQFnbW4m1AQAAWwMAAA4AAAAAAAAAAQAgAAAAKwEAAGRycy9lMm9Eb2MueG1sUEsF&#10;BgAAAAAGAAYAWQEAAFI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w:t>
                      </w:r>
                      <w:r>
                        <w:rPr>
                          <w:rFonts w:hint="eastAsia"/>
                          <w:b/>
                          <w:sz w:val="36"/>
                          <w:szCs w:val="36"/>
                          <w:lang w:val="en-US" w:eastAsia="zh-CN"/>
                        </w:rPr>
                        <w:t>4</w:t>
                      </w:r>
                      <w:r>
                        <w:rPr>
                          <w:rFonts w:hint="eastAsia"/>
                          <w:b/>
                          <w:sz w:val="36"/>
                          <w:szCs w:val="36"/>
                        </w:rPr>
                        <w:t>月第</w:t>
                      </w:r>
                      <w:r>
                        <w:rPr>
                          <w:rFonts w:hint="eastAsia"/>
                          <w:b/>
                          <w:sz w:val="36"/>
                          <w:szCs w:val="36"/>
                          <w:lang w:val="en-US" w:eastAsia="zh-CN"/>
                        </w:rPr>
                        <w:t>4</w:t>
                      </w:r>
                      <w:r>
                        <w:rPr>
                          <w:rFonts w:hint="eastAsia"/>
                          <w:b/>
                          <w:sz w:val="36"/>
                          <w:szCs w:val="36"/>
                        </w:rPr>
                        <w:t>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6336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Ie3S2AAA&#10;AAoBAAAPAAAAAAAAAAEAIAAAACIAAABkcnMvZG93bnJldi54bWxQSwECFAAUAAAACACHTuJAtpQj&#10;HOUBAADtAwAADgAAAAAAAAABACAAAAAnAQAAZHJzL2Uyb0RvYy54bWxQSwUGAAAAAAYABgBZAQAA&#10;fgU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bookmarkStart w:id="0" w:name="_GoBack"/>
      <w:bookmarkEnd w:id="0"/>
      <w:r>
        <mc:AlternateContent>
          <mc:Choice Requires="wps">
            <w:drawing>
              <wp:anchor distT="0" distB="0" distL="114300" distR="114300" simplePos="0" relativeHeight="25166438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rFonts w:hint="eastAsia" w:eastAsia="宋体"/>
                                <w:sz w:val="44"/>
                                <w:szCs w:val="44"/>
                                <w:lang w:val="en-US" w:eastAsia="zh-CN"/>
                              </w:rPr>
                            </w:pPr>
                            <w:r>
                              <w:rPr>
                                <w:rFonts w:hint="eastAsia"/>
                                <w:sz w:val="44"/>
                                <w:szCs w:val="44"/>
                              </w:rPr>
                              <w:t>2022.</w:t>
                            </w:r>
                            <w:r>
                              <w:rPr>
                                <w:rFonts w:hint="eastAsia"/>
                                <w:sz w:val="44"/>
                                <w:szCs w:val="44"/>
                                <w:lang w:val="en-US" w:eastAsia="zh-CN"/>
                              </w:rPr>
                              <w:t>4</w:t>
                            </w:r>
                            <w:r>
                              <w:rPr>
                                <w:rFonts w:hint="eastAsia"/>
                                <w:sz w:val="44"/>
                                <w:szCs w:val="44"/>
                              </w:rPr>
                              <w:t>.2</w:t>
                            </w:r>
                            <w:r>
                              <w:rPr>
                                <w:rFonts w:hint="eastAsia"/>
                                <w:sz w:val="44"/>
                                <w:szCs w:val="44"/>
                                <w:lang w:val="en-US" w:eastAsia="zh-CN"/>
                              </w:rPr>
                              <w:t>7</w:t>
                            </w:r>
                          </w:p>
                        </w:txbxContent>
                      </wps:txbx>
                      <wps:bodyPr upright="1"/>
                    </wps:wsp>
                  </a:graphicData>
                </a:graphic>
              </wp:anchor>
            </w:drawing>
          </mc:Choice>
          <mc:Fallback>
            <w:pict>
              <v:shape id="文本框 12" o:spid="_x0000_s1026" o:spt="202" type="#_x0000_t202" style="position:absolute;left:0pt;margin-left:-53.1pt;margin-top:10.65pt;height:60pt;width:140.25pt;z-index:25166438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MqpXcAAAACwEAAA8AAAAAAAAAAQAgAAAAIgAAAGRycy9kb3ducmV2LnhtbFBLAQIU&#10;ABQAAAAIAIdO4kDFDdJhtgEAAFoDAAAOAAAAAAAAAAEAIAAAACsBAABkcnMvZTJvRG9jLnhtbFBL&#10;BQYAAAAABgAGAFkBAABTBQAAAAA=&#10;">
                <v:fill on="f" focussize="0,0"/>
                <v:stroke on="f" weight="1.25pt"/>
                <v:imagedata o:title=""/>
                <o:lock v:ext="edit" aspectratio="f"/>
                <v:textbox>
                  <w:txbxContent>
                    <w:p>
                      <w:pPr>
                        <w:jc w:val="center"/>
                        <w:rPr>
                          <w:rFonts w:hint="eastAsia" w:eastAsia="宋体"/>
                          <w:sz w:val="44"/>
                          <w:szCs w:val="44"/>
                          <w:lang w:val="en-US" w:eastAsia="zh-CN"/>
                        </w:rPr>
                      </w:pPr>
                      <w:r>
                        <w:rPr>
                          <w:rFonts w:hint="eastAsia"/>
                          <w:sz w:val="44"/>
                          <w:szCs w:val="44"/>
                        </w:rPr>
                        <w:t>2022.</w:t>
                      </w:r>
                      <w:r>
                        <w:rPr>
                          <w:rFonts w:hint="eastAsia"/>
                          <w:sz w:val="44"/>
                          <w:szCs w:val="44"/>
                          <w:lang w:val="en-US" w:eastAsia="zh-CN"/>
                        </w:rPr>
                        <w:t>4</w:t>
                      </w:r>
                      <w:r>
                        <w:rPr>
                          <w:rFonts w:hint="eastAsia"/>
                          <w:sz w:val="44"/>
                          <w:szCs w:val="44"/>
                        </w:rPr>
                        <w:t>.2</w:t>
                      </w:r>
                      <w:r>
                        <w:rPr>
                          <w:rFonts w:hint="eastAsia"/>
                          <w:sz w:val="44"/>
                          <w:szCs w:val="44"/>
                          <w:lang w:val="en-US" w:eastAsia="zh-CN"/>
                        </w:rPr>
                        <w:t>7</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李厚佳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540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XmEdwAAAAKAQAADwAAAAAAAAABACAAAAAiAAAAZHJzL2Rvd25yZXYueG1sUEsB&#10;AhQAFAAAAAgAh07iQLodRq64AQAAWwMAAA4AAAAAAAAAAQAgAAAAKwEAAGRycy9lMm9Eb2MueG1s&#10;UEsFBgAAAAAGAAYAWQEAAFUFAAAAAA==&#10;">
                <v:fill on="f" focussize="0,0"/>
                <v:stroke on="f" weight="1.25pt"/>
                <v:imagedata o:title=""/>
                <o:lock v:ext="edit" aspectratio="f"/>
                <v:textbox>
                  <w:txbxContent>
                    <w:p/>
                    <w:p/>
                    <w:p/>
                    <w:p>
                      <w:pPr>
                        <w:rPr>
                          <w:b/>
                          <w:sz w:val="32"/>
                          <w:szCs w:val="32"/>
                        </w:rPr>
                      </w:pPr>
                      <w:r>
                        <w:rPr>
                          <w:rFonts w:hint="eastAsia"/>
                          <w:b/>
                          <w:sz w:val="32"/>
                          <w:szCs w:val="32"/>
                        </w:rPr>
                        <w:t>总  编  朱卫东副总编  李厚佳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ind w:left="-1275" w:leftChars="-607" w:firstLine="1274" w:firstLineChars="607"/>
      </w:pPr>
    </w:p>
    <w:p>
      <w:pPr>
        <w:tabs>
          <w:tab w:val="left" w:pos="5245"/>
        </w:tabs>
      </w:pPr>
    </w:p>
    <w:p>
      <w:pPr>
        <w:tabs>
          <w:tab w:val="left" w:pos="5245"/>
        </w:tabs>
        <w:ind w:left="-1275" w:leftChars="-607" w:firstLine="1274" w:firstLineChars="607"/>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ind w:left="-1275" w:leftChars="-607"/>
      </w:pPr>
      <w:r>
        <mc:AlternateContent>
          <mc:Choice Requires="wps">
            <w:drawing>
              <wp:anchor distT="0" distB="0" distL="114300" distR="114300" simplePos="0" relativeHeight="251662336" behindDoc="0" locked="0" layoutInCell="1" allowOverlap="1">
                <wp:simplePos x="0" y="0"/>
                <wp:positionH relativeFrom="column">
                  <wp:posOffset>-836295</wp:posOffset>
                </wp:positionH>
                <wp:positionV relativeFrom="paragraph">
                  <wp:posOffset>501015</wp:posOffset>
                </wp:positionV>
                <wp:extent cx="6896100" cy="0"/>
                <wp:effectExtent l="0" t="19050" r="0" b="19050"/>
                <wp:wrapNone/>
                <wp:docPr id="44" name="Straight Connector 4"/>
                <wp:cNvGraphicFramePr/>
                <a:graphic xmlns:a="http://schemas.openxmlformats.org/drawingml/2006/main">
                  <a:graphicData uri="http://schemas.microsoft.com/office/word/2010/wordprocessingShape">
                    <wps:wsp>
                      <wps:cNvCnPr/>
                      <wps:spPr>
                        <a:xfrm>
                          <a:off x="0" y="0"/>
                          <a:ext cx="6896100" cy="0"/>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5.85pt;margin-top:39.45pt;height:0pt;width:543pt;z-index:251662336;mso-width-relative:page;mso-height-relative:page;" filled="f" stroked="t" coordsize="21600,21600" o:gfxdata="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tyQTfZAAAACgEA&#10;AA8AAAAAAAAAAQAgAAAAIgAAAGRycy9kb3ducmV2LnhtbFBLAQIUABQAAAAIAIdO4kA7pYmQ4AEA&#10;AOsDAAAOAAAAAAAAAAEAIAAAACgBAABkcnMvZTJvRG9jLnhtbFBLBQYAAAAABgAGAFkBAAB6BQAA&#10;AAA=&#10;">
                <v:fill on="f" focussize="0,0"/>
                <v:stroke weight="3pt" color="#548DD4" joinstyle="round"/>
                <v:imagedata o:title=""/>
                <o:lock v:ext="edit" aspectratio="f"/>
              </v:shape>
            </w:pict>
          </mc:Fallback>
        </mc:AlternateContent>
      </w:r>
    </w:p>
    <w:p>
      <w:pPr>
        <w:tabs>
          <w:tab w:val="left" w:pos="5245"/>
        </w:tabs>
      </w:pPr>
      <w:r>
        <w:rPr>
          <w:rFonts w:hint="eastAsia"/>
        </w:rPr>
        <w:t xml:space="preserve">                               </w:t>
      </w: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vAlign w:val="center"/>
          </w:tcPr>
          <w:p>
            <w:pPr>
              <w:tabs>
                <w:tab w:val="left" w:pos="7088"/>
              </w:tabs>
              <w:jc w:val="center"/>
              <w:rPr>
                <w:b/>
                <w:sz w:val="30"/>
                <w:szCs w:val="30"/>
              </w:rPr>
            </w:pPr>
            <w:r>
              <w:rPr>
                <w:rFonts w:hint="eastAsia"/>
                <w:b/>
                <w:sz w:val="30"/>
                <w:szCs w:val="30"/>
              </w:rPr>
              <w:t>信息01</w:t>
            </w:r>
          </w:p>
        </w:tc>
        <w:tc>
          <w:tcPr>
            <w:tcW w:w="6877" w:type="dxa"/>
            <w:gridSpan w:val="3"/>
            <w:vAlign w:val="center"/>
          </w:tcPr>
          <w:p>
            <w:pPr>
              <w:rPr>
                <w:b/>
                <w:sz w:val="32"/>
                <w:szCs w:val="32"/>
              </w:rPr>
            </w:pPr>
            <w:r>
              <w:rPr>
                <w:rFonts w:hint="eastAsia"/>
                <w:b/>
                <w:sz w:val="32"/>
                <w:szCs w:val="32"/>
              </w:rPr>
              <w:t>联盟集采“提速扩面”定锤！试水中药、器械难采品种！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trPr>
        <w:tc>
          <w:tcPr>
            <w:tcW w:w="2196" w:type="dxa"/>
            <w:vAlign w:val="center"/>
          </w:tcPr>
          <w:p>
            <w:pPr>
              <w:tabs>
                <w:tab w:val="left" w:pos="7088"/>
              </w:tabs>
              <w:jc w:val="center"/>
            </w:pPr>
            <w:r>
              <w:rPr>
                <w:rFonts w:hint="eastAsia"/>
                <w:b/>
                <w:sz w:val="30"/>
                <w:szCs w:val="30"/>
              </w:rPr>
              <w:t>信息来源</w:t>
            </w:r>
          </w:p>
        </w:tc>
        <w:tc>
          <w:tcPr>
            <w:tcW w:w="2341" w:type="dxa"/>
            <w:vAlign w:val="center"/>
          </w:tcPr>
          <w:p>
            <w:pPr>
              <w:tabs>
                <w:tab w:val="left" w:pos="7088"/>
              </w:tabs>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医药经济报</w:t>
            </w:r>
          </w:p>
        </w:tc>
        <w:tc>
          <w:tcPr>
            <w:tcW w:w="2049" w:type="dxa"/>
            <w:vAlign w:val="center"/>
          </w:tcPr>
          <w:p>
            <w:pPr>
              <w:tabs>
                <w:tab w:val="left" w:pos="7088"/>
              </w:tabs>
              <w:jc w:val="center"/>
              <w:rPr>
                <w:b/>
                <w:sz w:val="28"/>
                <w:szCs w:val="28"/>
              </w:rPr>
            </w:pPr>
            <w:r>
              <w:rPr>
                <w:rFonts w:hint="eastAsia"/>
                <w:b/>
                <w:sz w:val="30"/>
                <w:szCs w:val="30"/>
              </w:rPr>
              <w:t>信息提供</w:t>
            </w:r>
          </w:p>
        </w:tc>
        <w:tc>
          <w:tcPr>
            <w:tcW w:w="2487" w:type="dxa"/>
            <w:vAlign w:val="center"/>
          </w:tcPr>
          <w:p>
            <w:pPr>
              <w:tabs>
                <w:tab w:val="left" w:pos="7088"/>
              </w:tabs>
              <w:jc w:val="center"/>
              <w:rPr>
                <w:sz w:val="28"/>
                <w:szCs w:val="28"/>
              </w:rPr>
            </w:pPr>
            <w:r>
              <w:rPr>
                <w:rFonts w:hint="eastAsia"/>
                <w:sz w:val="28"/>
                <w:szCs w:val="28"/>
              </w:rPr>
              <w:t>运营管理部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hint="eastAsia" w:cs="宋体" w:asciiTheme="minorEastAsia" w:hAnsiTheme="minorEastAsia" w:eastAsiaTheme="minorEastAsia"/>
                <w:kern w:val="0"/>
                <w:sz w:val="28"/>
                <w:szCs w:val="28"/>
                <w:lang w:val="en-US" w:eastAsia="zh-CN"/>
              </w:rPr>
            </w:pPr>
            <w:r>
              <w:rPr>
                <w:rFonts w:hint="eastAsia" w:cs="宋体" w:asciiTheme="minorEastAsia" w:hAnsiTheme="minorEastAsia" w:eastAsiaTheme="minorEastAsia"/>
                <w:kern w:val="0"/>
                <w:sz w:val="28"/>
                <w:szCs w:val="28"/>
                <w:lang w:eastAsia="zh-CN"/>
              </w:rPr>
              <w:t>联盟</w:t>
            </w:r>
            <w:r>
              <w:rPr>
                <w:rFonts w:hint="eastAsia" w:cs="宋体" w:asciiTheme="minorEastAsia" w:hAnsiTheme="minorEastAsia" w:eastAsiaTheme="minorEastAsia"/>
                <w:kern w:val="0"/>
                <w:sz w:val="28"/>
                <w:szCs w:val="28"/>
              </w:rPr>
              <w:t xml:space="preserve">  </w:t>
            </w:r>
            <w:r>
              <w:rPr>
                <w:rFonts w:hint="eastAsia" w:cs="宋体" w:asciiTheme="minorEastAsia" w:hAnsiTheme="minorEastAsia" w:eastAsiaTheme="minorEastAsia"/>
                <w:kern w:val="0"/>
                <w:sz w:val="28"/>
                <w:szCs w:val="28"/>
                <w:lang w:eastAsia="zh-CN"/>
              </w:rPr>
              <w:t>集采</w:t>
            </w:r>
            <w:r>
              <w:rPr>
                <w:rFonts w:hint="eastAsia" w:cs="宋体" w:asciiTheme="minorEastAsia" w:hAnsiTheme="minorEastAsia" w:eastAsiaTheme="minorEastAsia"/>
                <w:kern w:val="0"/>
                <w:sz w:val="28"/>
                <w:szCs w:val="28"/>
              </w:rPr>
              <w:t xml:space="preserve">  品种  </w:t>
            </w:r>
            <w:r>
              <w:rPr>
                <w:rFonts w:hint="eastAsia" w:cs="宋体" w:asciiTheme="minorEastAsia" w:hAnsiTheme="minorEastAsia" w:eastAsiaTheme="minorEastAsia"/>
                <w:kern w:val="0"/>
                <w:sz w:val="28"/>
                <w:szCs w:val="28"/>
                <w:lang w:eastAsia="zh-CN"/>
              </w:rPr>
              <w:t>扩面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9"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tcPr>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eastAsia" w:eastAsia="宋体" w:cs="Times New Roman" w:asciiTheme="minorEastAsia" w:hAnsiTheme="minorEastAsia"/>
                <w:kern w:val="2"/>
                <w:sz w:val="28"/>
                <w:szCs w:val="28"/>
                <w:shd w:val="clear" w:color="auto" w:fill="FFFFFF"/>
                <w:lang w:val="en-US" w:eastAsia="zh-CN" w:bidi="ar-SA"/>
              </w:rPr>
            </w:pPr>
            <w:r>
              <w:rPr>
                <w:rFonts w:hint="eastAsia" w:eastAsia="宋体" w:cs="Times New Roman" w:asciiTheme="minorEastAsia" w:hAnsiTheme="minorEastAsia"/>
                <w:kern w:val="2"/>
                <w:sz w:val="28"/>
                <w:szCs w:val="28"/>
                <w:shd w:val="clear" w:color="auto" w:fill="FFFFFF"/>
                <w:lang w:val="en-US" w:eastAsia="zh-CN" w:bidi="ar-SA"/>
              </w:rPr>
              <w:t>为落实国常会关于集中带量采购“提速扩面”的要求，国家医保局近期对地方联盟集采作了统一部署协调，并明确了2022年拟重点推进的联盟集采的牵头单位和采购类别。</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asciiTheme="minorEastAsia" w:hAnsiTheme="minorEastAsia"/>
                <w:sz w:val="28"/>
                <w:szCs w:val="28"/>
                <w:shd w:val="clear" w:color="auto" w:fill="FFFFFF"/>
              </w:rPr>
            </w:pPr>
            <w:r>
              <w:rPr>
                <w:rFonts w:hint="eastAsia" w:eastAsia="宋体" w:cs="Times New Roman" w:asciiTheme="minorEastAsia" w:hAnsiTheme="minorEastAsia"/>
                <w:kern w:val="2"/>
                <w:sz w:val="28"/>
                <w:szCs w:val="28"/>
                <w:shd w:val="clear" w:color="auto" w:fill="FFFFFF"/>
                <w:lang w:val="en-US" w:eastAsia="zh-CN" w:bidi="ar-SA"/>
              </w:rPr>
              <w:t>从各联盟集采重点推进的品种来看，药品已从化药向中药延伸，医械品种扩围更广，涉及口腔种植体、电生理和腔镜吻合器、新冠相关检测试剂及耗材、肝功生化试剂等，瞄准市场和临床所需。</w:t>
            </w:r>
          </w:p>
          <w:p>
            <w:pPr>
              <w:rPr>
                <w:rFonts w:asciiTheme="minorEastAsia" w:hAnsiTheme="minorEastAsia"/>
                <w:sz w:val="28"/>
                <w:szCs w:val="28"/>
                <w:shd w:val="clear" w:color="auto" w:fill="FFFFFF"/>
              </w:rPr>
            </w:pPr>
          </w:p>
          <w:p>
            <w:pPr>
              <w:widowControl/>
              <w:shd w:val="clear" w:color="auto" w:fill="FFFFFF"/>
              <w:spacing w:after="190"/>
              <w:outlineLvl w:val="1"/>
              <w:rPr>
                <w:rFonts w:hint="eastAsia"/>
              </w:rPr>
            </w:pPr>
          </w:p>
          <w:p>
            <w:pPr>
              <w:widowControl/>
              <w:shd w:val="clear" w:color="auto" w:fill="FFFFFF"/>
              <w:spacing w:after="190"/>
              <w:outlineLvl w:val="1"/>
              <w:rPr>
                <w:rFonts w:hint="eastAsia"/>
              </w:rPr>
            </w:pPr>
          </w:p>
          <w:p>
            <w:pPr>
              <w:widowControl/>
              <w:shd w:val="clear" w:color="auto" w:fill="FFFFFF"/>
              <w:spacing w:after="190"/>
              <w:outlineLvl w:val="1"/>
              <w:rPr>
                <w:rFonts w:hint="eastAsia"/>
              </w:rPr>
            </w:pPr>
          </w:p>
          <w:p>
            <w:pPr>
              <w:widowControl/>
              <w:shd w:val="clear" w:color="auto" w:fill="FFFFFF"/>
              <w:spacing w:after="190"/>
              <w:outlineLvl w:val="1"/>
              <w:rPr>
                <w:rFonts w:hint="eastAsia"/>
              </w:rPr>
            </w:pPr>
          </w:p>
          <w:p>
            <w:pPr>
              <w:widowControl/>
              <w:shd w:val="clear" w:color="auto" w:fill="FFFFFF"/>
              <w:spacing w:after="190"/>
              <w:outlineLvl w:val="1"/>
              <w:rPr>
                <w:rFonts w:hint="eastAsia"/>
              </w:rPr>
            </w:pPr>
          </w:p>
          <w:p>
            <w:pPr>
              <w:widowControl/>
              <w:shd w:val="clear" w:color="auto" w:fill="FFFFFF"/>
              <w:spacing w:after="190"/>
              <w:outlineLvl w:val="1"/>
              <w:rPr>
                <w:rFonts w:hint="eastAsia"/>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附件1: 联盟集采“提速扩面”定锤！试水中药、器械难采品种！</w:t>
            </w:r>
          </w:p>
        </w:tc>
      </w:tr>
    </w:tbl>
    <w:p>
      <w:pPr>
        <w:tabs>
          <w:tab w:val="left" w:pos="5245"/>
        </w:tabs>
      </w:pPr>
    </w:p>
    <w:tbl>
      <w:tblPr>
        <w:tblStyle w:val="12"/>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重磅文件发布：医药零售、流通大变局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trPr>
        <w:tc>
          <w:tcPr>
            <w:tcW w:w="2127" w:type="dxa"/>
            <w:vAlign w:val="center"/>
          </w:tcPr>
          <w:p>
            <w:pPr>
              <w:tabs>
                <w:tab w:val="left" w:pos="5245"/>
              </w:tabs>
              <w:jc w:val="center"/>
            </w:pPr>
            <w:r>
              <w:rPr>
                <w:rFonts w:hint="eastAsia"/>
                <w:b/>
                <w:sz w:val="30"/>
                <w:szCs w:val="30"/>
              </w:rPr>
              <w:t>信息来源</w:t>
            </w:r>
          </w:p>
        </w:tc>
        <w:tc>
          <w:tcPr>
            <w:tcW w:w="2410" w:type="dxa"/>
            <w:gridSpan w:val="2"/>
            <w:vAlign w:val="center"/>
          </w:tcPr>
          <w:p>
            <w:pPr>
              <w:widowControl/>
              <w:spacing w:line="300" w:lineRule="atLeast"/>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新康界</w:t>
            </w:r>
          </w:p>
        </w:tc>
        <w:tc>
          <w:tcPr>
            <w:tcW w:w="1843" w:type="dxa"/>
            <w:vAlign w:val="center"/>
          </w:tcPr>
          <w:p>
            <w:pPr>
              <w:jc w:val="center"/>
              <w:rPr>
                <w:b/>
                <w:sz w:val="30"/>
                <w:szCs w:val="30"/>
              </w:rPr>
            </w:pPr>
            <w:r>
              <w:rPr>
                <w:rFonts w:hint="eastAsia"/>
                <w:b/>
                <w:sz w:val="30"/>
                <w:szCs w:val="30"/>
              </w:rPr>
              <w:t>信息提供</w:t>
            </w:r>
          </w:p>
        </w:tc>
        <w:tc>
          <w:tcPr>
            <w:tcW w:w="2693" w:type="dxa"/>
            <w:gridSpan w:val="2"/>
            <w:vAlign w:val="center"/>
          </w:tcPr>
          <w:p>
            <w:pPr>
              <w:jc w:val="center"/>
              <w:rPr>
                <w:rFonts w:ascii="Helvetica" w:hAnsi="Helvetica" w:cs="Helvetica"/>
                <w:kern w:val="0"/>
                <w:sz w:val="28"/>
                <w:szCs w:val="28"/>
              </w:rPr>
            </w:pPr>
            <w:r>
              <w:rPr>
                <w:rFonts w:hint="eastAsia"/>
                <w:sz w:val="28"/>
                <w:szCs w:val="28"/>
              </w:rPr>
              <w:t>运营管理部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rFonts w:hint="eastAsia" w:eastAsia="宋体"/>
                <w:sz w:val="28"/>
                <w:szCs w:val="28"/>
                <w:lang w:eastAsia="zh-CN"/>
              </w:rPr>
            </w:pPr>
            <w:r>
              <w:rPr>
                <w:rFonts w:hint="eastAsia" w:asciiTheme="minorEastAsia" w:hAnsiTheme="minorEastAsia"/>
                <w:sz w:val="28"/>
                <w:szCs w:val="28"/>
                <w:shd w:val="clear" w:color="auto" w:fill="FFFFFF"/>
                <w:lang w:eastAsia="zh-CN"/>
              </w:rPr>
              <w:t>统一</w:t>
            </w:r>
            <w:r>
              <w:rPr>
                <w:rFonts w:hint="eastAsia" w:asciiTheme="minorEastAsia" w:hAnsiTheme="minorEastAsia"/>
                <w:sz w:val="28"/>
                <w:szCs w:val="28"/>
                <w:shd w:val="clear" w:color="auto" w:fill="FFFFFF"/>
              </w:rPr>
              <w:t xml:space="preserve">  </w:t>
            </w:r>
            <w:r>
              <w:rPr>
                <w:rFonts w:hint="eastAsia" w:asciiTheme="minorEastAsia" w:hAnsiTheme="minorEastAsia"/>
                <w:sz w:val="28"/>
                <w:szCs w:val="28"/>
                <w:shd w:val="clear" w:color="auto" w:fill="FFFFFF"/>
                <w:lang w:eastAsia="zh-CN"/>
              </w:rPr>
              <w:t>影响</w:t>
            </w:r>
            <w:r>
              <w:rPr>
                <w:rFonts w:hint="eastAsia" w:asciiTheme="minorEastAsia" w:hAnsiTheme="minorEastAsia"/>
                <w:sz w:val="28"/>
                <w:szCs w:val="28"/>
                <w:shd w:val="clear" w:color="auto" w:fill="FFFFFF"/>
                <w:lang w:val="en-US" w:eastAsia="zh-CN"/>
              </w:rPr>
              <w:t xml:space="preserve">  </w:t>
            </w:r>
            <w:r>
              <w:rPr>
                <w:rFonts w:hint="eastAsia" w:asciiTheme="minorEastAsia" w:hAnsiTheme="minorEastAsia"/>
                <w:sz w:val="28"/>
                <w:szCs w:val="28"/>
                <w:shd w:val="clear" w:color="auto" w:fill="FFFFFF"/>
                <w:lang w:eastAsia="zh-CN"/>
              </w:rPr>
              <w:t>药品</w:t>
            </w:r>
            <w:r>
              <w:rPr>
                <w:rFonts w:hint="eastAsia" w:asciiTheme="minorEastAsia" w:hAnsiTheme="minorEastAsia"/>
                <w:sz w:val="28"/>
                <w:szCs w:val="28"/>
                <w:lang w:eastAsia="zh-CN"/>
              </w:rPr>
              <w:t>流通</w:t>
            </w:r>
            <w:r>
              <w:rPr>
                <w:rFonts w:hint="eastAsia" w:asciiTheme="minorEastAsia" w:hAnsiTheme="minorEastAsia"/>
                <w:sz w:val="28"/>
                <w:szCs w:val="28"/>
              </w:rPr>
              <w:t xml:space="preserve">  </w:t>
            </w:r>
            <w:r>
              <w:rPr>
                <w:rFonts w:hint="eastAsia" w:asciiTheme="minorEastAsia" w:hAnsiTheme="minorEastAsia"/>
                <w:sz w:val="28"/>
                <w:szCs w:val="28"/>
                <w:lang w:eastAsia="zh-CN"/>
              </w:rPr>
              <w:t>医药零售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0"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tcPr>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ind w:firstLine="560" w:firstLineChars="200"/>
              <w:rPr>
                <w:rFonts w:hint="eastAsia" w:asciiTheme="minorEastAsia" w:hAnsiTheme="minorEastAsia"/>
                <w:sz w:val="28"/>
                <w:szCs w:val="28"/>
                <w:shd w:val="clear" w:color="auto" w:fill="FFFFFF"/>
              </w:rPr>
            </w:pPr>
            <w:r>
              <w:rPr>
                <w:rFonts w:hint="eastAsia" w:asciiTheme="minorEastAsia" w:hAnsiTheme="minorEastAsia"/>
                <w:sz w:val="28"/>
                <w:szCs w:val="28"/>
                <w:shd w:val="clear" w:color="auto" w:fill="FFFFFF"/>
              </w:rPr>
              <w:t>近日，国务院对外发布《关于加快建设全国统一大市场的意见》（简称《意见》），文件出台后，市场反响激烈，引起较高的关注度。</w:t>
            </w:r>
          </w:p>
          <w:p>
            <w:pPr>
              <w:widowControl/>
              <w:spacing w:line="420" w:lineRule="atLeast"/>
              <w:ind w:firstLine="560" w:firstLineChars="200"/>
              <w:rPr>
                <w:rFonts w:hint="eastAsia" w:asciiTheme="minorEastAsia" w:hAnsiTheme="minorEastAsia"/>
                <w:sz w:val="28"/>
                <w:szCs w:val="28"/>
                <w:shd w:val="clear" w:color="auto" w:fill="FFFFFF"/>
              </w:rPr>
            </w:pPr>
            <w:r>
              <w:rPr>
                <w:rFonts w:hint="eastAsia" w:asciiTheme="minorEastAsia" w:hAnsiTheme="minorEastAsia"/>
                <w:sz w:val="28"/>
                <w:szCs w:val="28"/>
                <w:shd w:val="clear" w:color="auto" w:fill="FFFFFF"/>
              </w:rPr>
              <w:t>究竟什么是全国统一大市场？文件发布后对医药零售和药品流通会产生什么样的深远影响？本文</w:t>
            </w:r>
            <w:r>
              <w:rPr>
                <w:rFonts w:hint="eastAsia" w:asciiTheme="minorEastAsia" w:hAnsiTheme="minorEastAsia"/>
                <w:sz w:val="28"/>
                <w:szCs w:val="28"/>
                <w:shd w:val="clear" w:color="auto" w:fill="FFFFFF"/>
                <w:lang w:eastAsia="zh-CN"/>
              </w:rPr>
              <w:t>对上述</w:t>
            </w:r>
            <w:r>
              <w:rPr>
                <w:rFonts w:hint="eastAsia" w:asciiTheme="minorEastAsia" w:hAnsiTheme="minorEastAsia"/>
                <w:sz w:val="28"/>
                <w:szCs w:val="28"/>
                <w:shd w:val="clear" w:color="auto" w:fill="FFFFFF"/>
              </w:rPr>
              <w:t>内容</w:t>
            </w:r>
            <w:r>
              <w:rPr>
                <w:rFonts w:hint="eastAsia" w:asciiTheme="minorEastAsia" w:hAnsiTheme="minorEastAsia"/>
                <w:sz w:val="28"/>
                <w:szCs w:val="28"/>
                <w:shd w:val="clear" w:color="auto" w:fill="FFFFFF"/>
                <w:lang w:eastAsia="zh-CN"/>
              </w:rPr>
              <w:t>进行了具体阐述</w:t>
            </w:r>
            <w:r>
              <w:rPr>
                <w:rFonts w:hint="eastAsia" w:asciiTheme="minorEastAsia" w:hAnsiTheme="minorEastAsia"/>
                <w:sz w:val="28"/>
                <w:szCs w:val="28"/>
                <w:shd w:val="clear" w:color="auto" w:fill="FFFFFF"/>
              </w:rPr>
              <w:t>。</w:t>
            </w: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hint="eastAsia"/>
              </w:rPr>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hint="eastAsia"/>
              </w:rPr>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附件2：重磅文件发布：医药零售、流通大变局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5245"/>
              </w:tabs>
              <w:jc w:val="center"/>
              <w:rPr>
                <w:b/>
                <w:sz w:val="30"/>
                <w:szCs w:val="30"/>
              </w:rPr>
            </w:pPr>
            <w:r>
              <w:rPr>
                <w:rFonts w:hint="eastAsia"/>
                <w:b/>
                <w:sz w:val="30"/>
                <w:szCs w:val="30"/>
              </w:rPr>
              <w:t>信息03</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2022年第一季度中国批准的新药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信息来源</w:t>
            </w:r>
          </w:p>
        </w:tc>
        <w:tc>
          <w:tcPr>
            <w:tcW w:w="2268" w:type="dxa"/>
            <w:tcBorders>
              <w:bottom w:val="single" w:color="auto" w:sz="4" w:space="0"/>
            </w:tcBorders>
            <w:vAlign w:val="center"/>
          </w:tcPr>
          <w:p>
            <w:pPr>
              <w:widowControl/>
              <w:spacing w:line="300" w:lineRule="atLeas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药闻康策</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信息提供</w:t>
            </w:r>
          </w:p>
        </w:tc>
        <w:tc>
          <w:tcPr>
            <w:tcW w:w="2693" w:type="dxa"/>
            <w:gridSpan w:val="2"/>
            <w:tcBorders>
              <w:bottom w:val="single" w:color="auto" w:sz="4" w:space="0"/>
            </w:tcBorders>
            <w:vAlign w:val="center"/>
          </w:tcPr>
          <w:p>
            <w:pPr>
              <w:jc w:val="center"/>
              <w:rPr>
                <w:rFonts w:ascii="Helvetica" w:hAnsi="Helvetica" w:cs="Helvetica"/>
                <w:kern w:val="0"/>
                <w:sz w:val="28"/>
                <w:szCs w:val="28"/>
              </w:rPr>
            </w:pPr>
            <w:r>
              <w:rPr>
                <w:rFonts w:hint="eastAsia"/>
                <w:sz w:val="28"/>
                <w:szCs w:val="28"/>
              </w:rPr>
              <w:t>运营管理部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rFonts w:hint="eastAsia" w:eastAsia="宋体"/>
                <w:sz w:val="28"/>
                <w:szCs w:val="28"/>
                <w:lang w:eastAsia="zh-CN"/>
              </w:rPr>
            </w:pPr>
            <w:r>
              <w:rPr>
                <w:rFonts w:hint="eastAsia" w:asciiTheme="minorEastAsia" w:hAnsiTheme="minorEastAsia"/>
                <w:sz w:val="28"/>
                <w:szCs w:val="28"/>
                <w:lang w:eastAsia="zh-CN"/>
              </w:rPr>
              <w:t>新药</w:t>
            </w:r>
            <w:r>
              <w:rPr>
                <w:rFonts w:hint="eastAsia" w:asciiTheme="minorEastAsia" w:hAnsiTheme="minorEastAsia"/>
                <w:sz w:val="28"/>
                <w:szCs w:val="28"/>
                <w:shd w:val="clear" w:color="auto" w:fill="FFFFFF"/>
              </w:rPr>
              <w:t xml:space="preserve">  </w:t>
            </w:r>
            <w:r>
              <w:rPr>
                <w:rFonts w:hint="eastAsia" w:asciiTheme="minorEastAsia" w:hAnsiTheme="minorEastAsia"/>
                <w:sz w:val="28"/>
                <w:szCs w:val="28"/>
                <w:lang w:eastAsia="zh-CN"/>
              </w:rPr>
              <w:t>批准</w:t>
            </w:r>
            <w:r>
              <w:rPr>
                <w:rFonts w:hint="eastAsia" w:asciiTheme="minorEastAsia" w:hAnsiTheme="minorEastAsia"/>
                <w:sz w:val="28"/>
                <w:szCs w:val="28"/>
              </w:rPr>
              <w:t xml:space="preserve">  </w:t>
            </w:r>
            <w:r>
              <w:rPr>
                <w:rFonts w:hint="eastAsia" w:asciiTheme="minorEastAsia" w:hAnsiTheme="minorEastAsia"/>
                <w:sz w:val="28"/>
                <w:szCs w:val="28"/>
                <w:lang w:eastAsia="zh-CN"/>
              </w:rPr>
              <w:t>商品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tcPr>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eastAsia" w:asciiTheme="minorEastAsia" w:hAnsiTheme="minorEastAsia"/>
                <w:sz w:val="28"/>
                <w:szCs w:val="28"/>
                <w:shd w:val="clear" w:color="auto" w:fill="FFFFFF"/>
              </w:rPr>
            </w:pPr>
            <w:r>
              <w:rPr>
                <w:rFonts w:hint="eastAsia" w:asciiTheme="minorEastAsia" w:hAnsiTheme="minorEastAsia"/>
                <w:sz w:val="28"/>
                <w:szCs w:val="28"/>
                <w:shd w:val="clear" w:color="auto" w:fill="FFFFFF"/>
              </w:rPr>
              <w:t>据医药魔方统计，2022年第一季度NMPA共批准了18款新药，其中有8款化学药品，9款生物制品（包括3款疫苗）和1款中药。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60" w:firstLineChars="200"/>
              <w:jc w:val="both"/>
              <w:textAlignment w:val="auto"/>
              <w:rPr>
                <w:rFonts w:hint="eastAsia" w:eastAsia="宋体" w:asciiTheme="minorEastAsia" w:hAnsiTheme="minorEastAsia"/>
                <w:sz w:val="28"/>
                <w:szCs w:val="28"/>
                <w:shd w:val="clear" w:color="auto" w:fill="FFFFFF"/>
                <w:lang w:val="en-US" w:eastAsia="zh-CN"/>
              </w:rPr>
            </w:pPr>
            <w:r>
              <w:rPr>
                <w:rFonts w:hint="eastAsia" w:asciiTheme="minorEastAsia" w:hAnsiTheme="minorEastAsia"/>
                <w:sz w:val="28"/>
                <w:szCs w:val="28"/>
                <w:shd w:val="clear" w:color="auto" w:fill="FFFFFF"/>
                <w:lang w:val="en-US" w:eastAsia="zh-CN"/>
              </w:rPr>
              <w:t>附：新药明细</w:t>
            </w:r>
          </w:p>
          <w:p>
            <w:pPr>
              <w:widowControl/>
              <w:spacing w:line="420" w:lineRule="atLeast"/>
              <w:ind w:firstLine="420" w:firstLineChars="200"/>
              <w:rPr>
                <w:rFonts w:asciiTheme="minorEastAsia" w:hAnsiTheme="minorEastAsia"/>
                <w:szCs w:val="21"/>
                <w:shd w:val="clear" w:color="auto" w:fill="FFFFFF"/>
              </w:rPr>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hint="eastAsia"/>
              </w:rPr>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附件3：2022年第一季度中国批准的新药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b/>
                <w:sz w:val="32"/>
                <w:szCs w:val="32"/>
              </w:rPr>
            </w:pPr>
            <w:r>
              <w:rPr>
                <w:rFonts w:hint="eastAsia"/>
                <w:b/>
                <w:sz w:val="32"/>
                <w:szCs w:val="32"/>
              </w:rPr>
              <w:t>对标企业动态信息汇集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5245"/>
              </w:tabs>
              <w:jc w:val="center"/>
            </w:pPr>
            <w:r>
              <w:rPr>
                <w:rFonts w:hint="eastAsia"/>
                <w:b/>
                <w:sz w:val="30"/>
                <w:szCs w:val="30"/>
              </w:rPr>
              <w:t>信息来源</w:t>
            </w:r>
          </w:p>
        </w:tc>
        <w:tc>
          <w:tcPr>
            <w:tcW w:w="2268" w:type="dxa"/>
            <w:tcBorders>
              <w:top w:val="inset" w:color="auto" w:sz="6" w:space="0"/>
            </w:tcBorders>
            <w:vAlign w:val="center"/>
          </w:tcPr>
          <w:p>
            <w:pPr>
              <w:widowControl/>
              <w:spacing w:line="300" w:lineRule="atLeast"/>
              <w:jc w:val="center"/>
              <w:rPr>
                <w:rFonts w:hint="eastAsia" w:asciiTheme="minorEastAsia" w:hAnsiTheme="minorEastAsia" w:eastAsiaTheme="minorEastAsia"/>
                <w:sz w:val="28"/>
                <w:szCs w:val="28"/>
              </w:rPr>
            </w:pPr>
            <w:r>
              <w:rPr>
                <w:rFonts w:hint="eastAsia" w:asciiTheme="minorEastAsia" w:hAnsiTheme="minorEastAsia" w:eastAsiaTheme="minorEastAsia"/>
                <w:sz w:val="28"/>
                <w:szCs w:val="28"/>
              </w:rPr>
              <w:t>第一药店财智</w:t>
            </w:r>
          </w:p>
          <w:p>
            <w:pPr>
              <w:widowControl/>
              <w:spacing w:line="300" w:lineRule="atLeast"/>
              <w:jc w:val="center"/>
              <w:rPr>
                <w:rFonts w:hint="eastAsia" w:asciiTheme="minorEastAsia" w:hAnsiTheme="minorEastAsia" w:eastAsiaTheme="minorEastAsia"/>
                <w:sz w:val="28"/>
                <w:szCs w:val="28"/>
              </w:rPr>
            </w:pPr>
            <w:r>
              <w:rPr>
                <w:rFonts w:hint="eastAsia"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 HYPERLINK "javascript:void(0);" </w:instrText>
            </w:r>
            <w:r>
              <w:rPr>
                <w:rFonts w:hint="eastAsia"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新康界</w:t>
            </w:r>
            <w:r>
              <w:rPr>
                <w:rFonts w:hint="eastAsia" w:asciiTheme="minorEastAsia" w:hAnsiTheme="minorEastAsia" w:eastAsiaTheme="minorEastAsia"/>
                <w:sz w:val="28"/>
                <w:szCs w:val="28"/>
              </w:rPr>
              <w:fldChar w:fldCharType="end"/>
            </w:r>
          </w:p>
        </w:tc>
        <w:tc>
          <w:tcPr>
            <w:tcW w:w="1985" w:type="dxa"/>
            <w:gridSpan w:val="2"/>
            <w:tcBorders>
              <w:top w:val="inset" w:color="auto" w:sz="6" w:space="0"/>
            </w:tcBorders>
            <w:vAlign w:val="center"/>
          </w:tcPr>
          <w:p>
            <w:pPr>
              <w:jc w:val="center"/>
              <w:rPr>
                <w:b/>
                <w:sz w:val="30"/>
                <w:szCs w:val="30"/>
              </w:rPr>
            </w:pPr>
            <w:r>
              <w:rPr>
                <w:rFonts w:hint="eastAsia"/>
                <w:b/>
                <w:sz w:val="30"/>
                <w:szCs w:val="30"/>
              </w:rPr>
              <w:t>信息提供</w:t>
            </w:r>
          </w:p>
        </w:tc>
        <w:tc>
          <w:tcPr>
            <w:tcW w:w="2409" w:type="dxa"/>
            <w:tcBorders>
              <w:top w:val="inset" w:color="auto" w:sz="6" w:space="0"/>
            </w:tcBorders>
            <w:vAlign w:val="center"/>
          </w:tcPr>
          <w:p>
            <w:pPr>
              <w:jc w:val="center"/>
              <w:rPr>
                <w:rFonts w:ascii="Helvetica" w:hAnsi="Helvetica" w:cs="Helvetica"/>
                <w:kern w:val="0"/>
                <w:sz w:val="28"/>
                <w:szCs w:val="28"/>
              </w:rPr>
            </w:pPr>
            <w:r>
              <w:rPr>
                <w:rFonts w:hint="eastAsia"/>
                <w:sz w:val="28"/>
                <w:szCs w:val="28"/>
              </w:rPr>
              <w:t>运营管理部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关键词</w:t>
            </w:r>
          </w:p>
        </w:tc>
        <w:tc>
          <w:tcPr>
            <w:tcW w:w="6662" w:type="dxa"/>
            <w:gridSpan w:val="4"/>
            <w:tcBorders>
              <w:top w:val="single" w:color="auto" w:sz="4" w:space="0"/>
            </w:tcBorders>
            <w:vAlign w:val="center"/>
          </w:tcPr>
          <w:p>
            <w:pPr>
              <w:jc w:val="left"/>
              <w:rPr>
                <w:rFonts w:hint="default" w:eastAsia="宋体"/>
                <w:sz w:val="28"/>
                <w:szCs w:val="28"/>
                <w:lang w:val="en-US" w:eastAsia="zh-CN"/>
              </w:rPr>
            </w:pPr>
            <w:r>
              <w:rPr>
                <w:rFonts w:hint="eastAsia"/>
                <w:sz w:val="28"/>
                <w:szCs w:val="28"/>
              </w:rPr>
              <w:t xml:space="preserve">对标企业  </w:t>
            </w:r>
            <w:r>
              <w:rPr>
                <w:rFonts w:hint="eastAsia"/>
                <w:sz w:val="28"/>
                <w:szCs w:val="28"/>
                <w:lang w:eastAsia="zh-CN"/>
              </w:rPr>
              <w:t>扩张</w:t>
            </w:r>
            <w:r>
              <w:rPr>
                <w:rFonts w:hint="eastAsia"/>
                <w:sz w:val="28"/>
                <w:szCs w:val="28"/>
              </w:rPr>
              <w:t xml:space="preserve">  布局</w:t>
            </w:r>
            <w:r>
              <w:rPr>
                <w:rFonts w:hint="eastAsia"/>
                <w:sz w:val="28"/>
                <w:szCs w:val="28"/>
                <w:lang w:val="en-US" w:eastAsia="zh-CN"/>
              </w:rPr>
              <w:t xml:space="preserve">  业态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内容概要</w:t>
            </w:r>
          </w:p>
        </w:tc>
        <w:tc>
          <w:tcPr>
            <w:tcW w:w="6662" w:type="dxa"/>
            <w:gridSpan w:val="4"/>
            <w:vAlign w:val="center"/>
          </w:tcPr>
          <w:p>
            <w:pPr>
              <w:rPr>
                <w:rFonts w:cs="宋体" w:asciiTheme="minorEastAsia" w:hAnsiTheme="minorEastAsia" w:eastAsiaTheme="minorEastAsia"/>
                <w:kern w:val="0"/>
                <w:sz w:val="28"/>
                <w:szCs w:val="28"/>
              </w:rPr>
            </w:pPr>
          </w:p>
          <w:p>
            <w:pPr>
              <w:rPr>
                <w:rFonts w:cs="宋体" w:asciiTheme="minorEastAsia" w:hAnsiTheme="minorEastAsia" w:eastAsiaTheme="minorEastAsia"/>
                <w:kern w:val="0"/>
                <w:sz w:val="28"/>
                <w:szCs w:val="28"/>
              </w:rPr>
            </w:pPr>
          </w:p>
          <w:p>
            <w:pPr>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一、2022年新增门店将超900家！健之佳向全国性连锁迈进</w:t>
            </w:r>
          </w:p>
          <w:p>
            <w:pPr>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二、老百姓布局</w:t>
            </w:r>
            <w:r>
              <w:rPr>
                <w:rFonts w:hint="eastAsia" w:ascii="宋体" w:hAnsi="宋体" w:cs="宋体"/>
                <w:kern w:val="0"/>
                <w:sz w:val="28"/>
                <w:szCs w:val="28"/>
                <w:lang w:val="en-US" w:eastAsia="zh-CN" w:bidi="ar-SA"/>
              </w:rPr>
              <w:t>智慧药房</w:t>
            </w:r>
          </w:p>
          <w:p>
            <w:pPr>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三、2021年一心堂财报解读：扩张稳步推进，药妆、O2O等多元业态齐发力</w:t>
            </w:r>
          </w:p>
          <w:p>
            <w:pPr>
              <w:jc w:val="left"/>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四、2.04亿！益丰收购湖南九芝堂51%股权</w:t>
            </w:r>
          </w:p>
          <w:p>
            <w:pPr>
              <w:jc w:val="left"/>
              <w:rPr>
                <w:rFonts w:hint="eastAsia" w:ascii="宋体" w:hAnsi="宋体" w:eastAsia="宋体" w:cs="宋体"/>
                <w:kern w:val="0"/>
                <w:sz w:val="28"/>
                <w:szCs w:val="28"/>
                <w:lang w:val="en-US" w:eastAsia="zh-CN" w:bidi="ar-SA"/>
              </w:rPr>
            </w:pPr>
          </w:p>
          <w:p>
            <w:pPr>
              <w:jc w:val="left"/>
              <w:rPr>
                <w:rFonts w:hint="eastAsia" w:ascii="宋体" w:hAnsi="宋体" w:eastAsia="宋体" w:cs="宋体"/>
                <w:kern w:val="0"/>
                <w:sz w:val="28"/>
                <w:szCs w:val="28"/>
                <w:lang w:val="en-US" w:eastAsia="zh-CN" w:bidi="ar-SA"/>
              </w:rPr>
            </w:pPr>
          </w:p>
          <w:p>
            <w:pPr>
              <w:jc w:val="left"/>
              <w:rPr>
                <w:rFonts w:hint="eastAsia" w:ascii="宋体" w:hAnsi="宋体" w:eastAsia="宋体" w:cs="宋体"/>
                <w:kern w:val="0"/>
                <w:sz w:val="28"/>
                <w:szCs w:val="28"/>
                <w:lang w:val="en-US" w:eastAsia="zh-CN" w:bidi="ar-SA"/>
              </w:rPr>
            </w:pPr>
          </w:p>
          <w:p>
            <w:pPr>
              <w:jc w:val="left"/>
              <w:rPr>
                <w:rFonts w:hint="eastAsia" w:ascii="宋体" w:hAnsi="宋体" w:eastAsia="宋体" w:cs="宋体"/>
                <w:kern w:val="0"/>
                <w:sz w:val="28"/>
                <w:szCs w:val="28"/>
                <w:lang w:val="en-US" w:eastAsia="zh-CN" w:bidi="ar-SA"/>
              </w:rPr>
            </w:pPr>
          </w:p>
          <w:p>
            <w:pPr>
              <w:jc w:val="left"/>
              <w:rPr>
                <w:rFonts w:hint="eastAsia" w:ascii="宋体" w:hAnsi="宋体" w:eastAsia="宋体" w:cs="宋体"/>
                <w:kern w:val="0"/>
                <w:sz w:val="28"/>
                <w:szCs w:val="28"/>
                <w:lang w:val="en-US" w:eastAsia="zh-CN" w:bidi="ar-SA"/>
              </w:rPr>
            </w:pPr>
          </w:p>
          <w:p>
            <w:pPr>
              <w:rPr>
                <w:rFonts w:hint="eastAsia" w:ascii="宋体" w:hAnsi="宋体" w:cs="宋体"/>
                <w:kern w:val="0"/>
                <w:sz w:val="28"/>
                <w:szCs w:val="28"/>
              </w:rPr>
            </w:pPr>
          </w:p>
          <w:p>
            <w:pPr>
              <w:rPr>
                <w:rFonts w:ascii="宋体" w:hAnsi="宋体" w:cs="宋体"/>
                <w:kern w:val="0"/>
                <w:sz w:val="28"/>
                <w:szCs w:val="28"/>
              </w:rPr>
            </w:pPr>
          </w:p>
          <w:p>
            <w:pPr>
              <w:rPr>
                <w:rFonts w:ascii="宋体" w:hAnsi="宋体" w:cs="宋体"/>
                <w:kern w:val="0"/>
                <w:sz w:val="28"/>
                <w:szCs w:val="28"/>
              </w:rPr>
            </w:pPr>
          </w:p>
          <w:p>
            <w:pPr>
              <w:rPr>
                <w:szCs w:val="21"/>
              </w:rPr>
            </w:pPr>
            <w:r>
              <w:rPr>
                <w:rFonts w:hint="eastAsia" w:ascii="宋体" w:hAnsi="宋体" w:cs="宋体"/>
                <w:kern w:val="0"/>
                <w:szCs w:val="21"/>
              </w:rPr>
              <w:t>附件4：对标企业动态信息汇集</w:t>
            </w:r>
          </w:p>
        </w:tc>
      </w:tr>
    </w:tbl>
    <w:tbl>
      <w:tblPr>
        <w:tblStyle w:val="12"/>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b/>
                <w:bCs/>
                <w:sz w:val="32"/>
                <w:szCs w:val="32"/>
              </w:rPr>
            </w:pPr>
            <w:r>
              <w:rPr>
                <w:rFonts w:hint="eastAsia"/>
                <w:b/>
                <w:sz w:val="32"/>
                <w:szCs w:val="32"/>
                <w:lang w:eastAsia="zh-CN"/>
              </w:rPr>
              <w:t>腾讯、国美，开卖医疗器械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5245"/>
              </w:tabs>
              <w:jc w:val="center"/>
            </w:pPr>
            <w:r>
              <w:rPr>
                <w:rFonts w:hint="eastAsia"/>
                <w:b/>
                <w:sz w:val="30"/>
                <w:szCs w:val="30"/>
              </w:rPr>
              <w:t>信息来源</w:t>
            </w:r>
          </w:p>
        </w:tc>
        <w:tc>
          <w:tcPr>
            <w:tcW w:w="2341" w:type="dxa"/>
            <w:vAlign w:val="center"/>
          </w:tcPr>
          <w:p>
            <w:pPr>
              <w:widowControl/>
              <w:spacing w:line="300" w:lineRule="atLeast"/>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第一药店财智</w:t>
            </w:r>
          </w:p>
        </w:tc>
        <w:tc>
          <w:tcPr>
            <w:tcW w:w="2341" w:type="dxa"/>
            <w:vAlign w:val="center"/>
          </w:tcPr>
          <w:p>
            <w:pPr>
              <w:jc w:val="center"/>
              <w:rPr>
                <w:b/>
                <w:sz w:val="30"/>
                <w:szCs w:val="30"/>
              </w:rPr>
            </w:pPr>
            <w:r>
              <w:rPr>
                <w:rFonts w:hint="eastAsia"/>
                <w:b/>
                <w:sz w:val="30"/>
                <w:szCs w:val="30"/>
              </w:rPr>
              <w:t>信息提供</w:t>
            </w:r>
          </w:p>
        </w:tc>
        <w:tc>
          <w:tcPr>
            <w:tcW w:w="2195" w:type="dxa"/>
            <w:vAlign w:val="center"/>
          </w:tcPr>
          <w:p>
            <w:pPr>
              <w:jc w:val="center"/>
              <w:rPr>
                <w:rFonts w:ascii="Helvetica" w:hAnsi="Helvetica" w:cs="Helvetica"/>
                <w:kern w:val="0"/>
                <w:sz w:val="28"/>
                <w:szCs w:val="28"/>
              </w:rPr>
            </w:pPr>
            <w:r>
              <w:rPr>
                <w:rFonts w:hint="eastAsia"/>
                <w:sz w:val="28"/>
                <w:szCs w:val="28"/>
              </w:rPr>
              <w:t>运营管理部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5245"/>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jc w:val="left"/>
              <w:rPr>
                <w:sz w:val="28"/>
                <w:szCs w:val="28"/>
              </w:rPr>
            </w:pPr>
            <w:r>
              <w:rPr>
                <w:rFonts w:hint="eastAsia" w:asciiTheme="minorEastAsia" w:hAnsiTheme="minorEastAsia"/>
                <w:sz w:val="28"/>
                <w:szCs w:val="28"/>
                <w:lang w:eastAsia="zh-CN"/>
              </w:rPr>
              <w:t>医疗器械</w:t>
            </w:r>
            <w:r>
              <w:rPr>
                <w:rFonts w:hint="eastAsia" w:asciiTheme="minorEastAsia" w:hAnsiTheme="minorEastAsia"/>
                <w:sz w:val="28"/>
                <w:szCs w:val="28"/>
                <w:shd w:val="clear" w:color="auto" w:fill="FFFFFF"/>
              </w:rPr>
              <w:t xml:space="preserve">  </w:t>
            </w:r>
            <w:r>
              <w:rPr>
                <w:rFonts w:hint="eastAsia" w:asciiTheme="minorEastAsia" w:hAnsiTheme="minorEastAsia"/>
                <w:sz w:val="28"/>
                <w:szCs w:val="28"/>
                <w:lang w:eastAsia="zh-CN"/>
              </w:rPr>
              <w:t>零售市场</w:t>
            </w:r>
            <w:r>
              <w:rPr>
                <w:rFonts w:hint="eastAsia" w:asciiTheme="minorEastAsia" w:hAnsiTheme="minorEastAsia"/>
                <w:sz w:val="28"/>
                <w:szCs w:val="28"/>
              </w:rPr>
              <w:t xml:space="preserve">  </w:t>
            </w:r>
            <w:r>
              <w:rPr>
                <w:rFonts w:hint="eastAsia" w:asciiTheme="minorEastAsia" w:hAnsiTheme="minorEastAsia"/>
                <w:sz w:val="28"/>
                <w:szCs w:val="28"/>
                <w:lang w:eastAsia="zh-CN"/>
              </w:rPr>
              <w:t>电商平台</w:t>
            </w:r>
            <w:r>
              <w:rPr>
                <w:rFonts w:hint="eastAsia" w:asciiTheme="minorEastAsia" w:hAnsiTheme="minorEastAsia"/>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rPr>
                <w:rFonts w:asciiTheme="minorEastAsia" w:hAnsiTheme="minorEastAsia"/>
                <w:sz w:val="28"/>
                <w:szCs w:val="28"/>
              </w:rPr>
            </w:pPr>
          </w:p>
          <w:p>
            <w:pPr>
              <w:rPr>
                <w:rFonts w:asciiTheme="minorEastAsia" w:hAnsiTheme="minorEastAsia"/>
                <w:sz w:val="28"/>
                <w:szCs w:val="28"/>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随着抖音、腾讯等越来越来的电商平台、互联网巨头加码投资布局医药零售这条新赛道，医药电商的渠道将更为多元化、差异化</w:t>
            </w:r>
            <w:r>
              <w:rPr>
                <w:rStyle w:val="14"/>
                <w:rFonts w:hint="eastAsia" w:cs="Helvetica" w:asciiTheme="minorEastAsia" w:hAnsiTheme="minorEastAsia"/>
                <w:b w:val="0"/>
                <w:spacing w:val="15"/>
                <w:kern w:val="2"/>
                <w:sz w:val="28"/>
                <w:szCs w:val="28"/>
                <w:lang w:val="en-US" w:eastAsia="zh-CN" w:bidi="ar-SA"/>
              </w:rPr>
              <w:t>。</w:t>
            </w:r>
            <w:r>
              <w:rPr>
                <w:rStyle w:val="14"/>
                <w:rFonts w:hint="eastAsia" w:eastAsia="宋体" w:cs="Helvetica" w:asciiTheme="minorEastAsia" w:hAnsiTheme="minorEastAsia"/>
                <w:b w:val="0"/>
                <w:spacing w:val="15"/>
                <w:kern w:val="2"/>
                <w:sz w:val="28"/>
                <w:szCs w:val="28"/>
                <w:lang w:val="en-US" w:eastAsia="zh-CN" w:bidi="ar-SA"/>
              </w:rPr>
              <w:t>医疗器械电商已成为医械企业、经销商着重关注的新渠道。药店经营者应当建立起自己的壁垒，强化自身优势，持续在专业力、供应链能力上下功夫，避免被跨界者赶超。</w:t>
            </w:r>
          </w:p>
          <w:p>
            <w:pPr>
              <w:spacing w:line="480" w:lineRule="auto"/>
              <w:rPr>
                <w:rFonts w:asciiTheme="minorEastAsia" w:hAnsiTheme="minorEastAsia"/>
                <w:sz w:val="28"/>
                <w:szCs w:val="28"/>
              </w:rPr>
            </w:pPr>
          </w:p>
          <w:p>
            <w:pPr>
              <w:spacing w:line="480" w:lineRule="auto"/>
              <w:rPr>
                <w:rFonts w:asciiTheme="minorEastAsia" w:hAnsiTheme="minorEastAsia"/>
                <w:sz w:val="28"/>
                <w:szCs w:val="28"/>
              </w:rPr>
            </w:pPr>
          </w:p>
          <w:p>
            <w:pPr>
              <w:spacing w:line="480" w:lineRule="auto"/>
              <w:rPr>
                <w:rFonts w:asciiTheme="minorEastAsia" w:hAnsiTheme="minorEastAsia"/>
                <w:sz w:val="28"/>
                <w:szCs w:val="28"/>
              </w:rPr>
            </w:pPr>
          </w:p>
          <w:p>
            <w:pPr>
              <w:spacing w:line="480" w:lineRule="auto"/>
              <w:rPr>
                <w:rFonts w:asciiTheme="minorEastAsia" w:hAnsiTheme="minorEastAsia"/>
                <w:sz w:val="28"/>
                <w:szCs w:val="28"/>
              </w:rPr>
            </w:pPr>
          </w:p>
          <w:p>
            <w:pPr>
              <w:spacing w:line="480" w:lineRule="auto"/>
              <w:rPr>
                <w:rFonts w:asciiTheme="minorEastAsia" w:hAnsiTheme="minorEastAsia"/>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附件5:</w:t>
            </w:r>
            <w:r>
              <w:rPr>
                <w:rFonts w:hint="eastAsia" w:ascii="宋体" w:hAnsi="宋体" w:cs="宋体"/>
                <w:b/>
                <w:kern w:val="0"/>
                <w:szCs w:val="21"/>
              </w:rPr>
              <w:t xml:space="preserve"> </w:t>
            </w:r>
            <w:r>
              <w:rPr>
                <w:rFonts w:hint="eastAsia"/>
                <w:lang w:eastAsia="zh-CN"/>
              </w:rPr>
              <w:t>腾讯、国美，开卖医疗器械</w:t>
            </w:r>
          </w:p>
        </w:tc>
      </w:tr>
    </w:tbl>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联盟集采“提速扩面”定锤！试水中药、器械难采品种！</w:t>
      </w:r>
    </w:p>
    <w:p>
      <w:pPr>
        <w:ind w:firstLine="420" w:firstLineChars="200"/>
      </w:pPr>
    </w:p>
    <w:p>
      <w:r>
        <w:rPr>
          <w:rFonts w:hint="eastAsia"/>
        </w:rPr>
        <w:t xml:space="preserve">原创 本报记者 齐欣 医药经济报 2022-04-18   </w:t>
      </w:r>
    </w:p>
    <w:p>
      <w:pPr>
        <w:rPr>
          <w:rStyle w:val="14"/>
          <w:rFonts w:cs="Helvetica" w:asciiTheme="minorEastAsia" w:hAnsiTheme="minorEastAsia"/>
          <w:b w:val="0"/>
          <w:spacing w:val="15"/>
          <w:sz w:val="28"/>
          <w:szCs w:val="28"/>
        </w:rPr>
      </w:pPr>
    </w:p>
    <w:p>
      <w:pPr>
        <w:rPr>
          <w:rStyle w:val="14"/>
          <w:rFonts w:cs="Helvetica" w:asciiTheme="minorEastAsia" w:hAnsiTheme="minorEastAsia"/>
          <w:b w:val="0"/>
          <w:spacing w:val="15"/>
          <w:sz w:val="28"/>
          <w:szCs w:val="28"/>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0" w:firstLineChars="200"/>
        <w:jc w:val="both"/>
        <w:textAlignment w:val="auto"/>
        <w:rPr>
          <w:rFonts w:hint="eastAsia" w:ascii="微软雅黑" w:hAnsi="微软雅黑" w:eastAsia="微软雅黑" w:cs="微软雅黑"/>
          <w:i w:val="0"/>
          <w:iCs w:val="0"/>
          <w:caps w:val="0"/>
          <w:color w:val="000000"/>
          <w:spacing w:val="23"/>
          <w:sz w:val="21"/>
          <w:szCs w:val="21"/>
        </w:rPr>
      </w:pPr>
      <w:r>
        <w:rPr>
          <w:rFonts w:hint="eastAsia" w:ascii="微软雅黑" w:hAnsi="微软雅黑" w:eastAsia="微软雅黑" w:cs="微软雅黑"/>
          <w:i w:val="0"/>
          <w:iCs w:val="0"/>
          <w:caps w:val="0"/>
          <w:color w:val="333333"/>
          <w:spacing w:val="15"/>
          <w:sz w:val="24"/>
          <w:szCs w:val="24"/>
          <w:shd w:val="clear" w:fill="FFFFFF"/>
        </w:rPr>
        <w:t>为落实国常会关于集中带量采购“提速扩面”的要求，国家医保局近期对地方联盟集采作了统一部署协调，并明确了2022年拟重点推进的联盟集采的牵头单位和采购类别。</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0" w:firstLineChars="200"/>
        <w:jc w:val="both"/>
        <w:textAlignment w:val="auto"/>
        <w:rPr>
          <w:rStyle w:val="14"/>
          <w:rFonts w:cs="Helvetica" w:asciiTheme="minorEastAsia" w:hAnsiTheme="minorEastAsia"/>
          <w:b w:val="0"/>
          <w:spacing w:val="15"/>
          <w:sz w:val="28"/>
          <w:szCs w:val="28"/>
        </w:rPr>
      </w:pPr>
      <w:r>
        <w:rPr>
          <w:rFonts w:hint="eastAsia" w:ascii="微软雅黑" w:hAnsi="微软雅黑" w:eastAsia="微软雅黑" w:cs="微软雅黑"/>
          <w:i w:val="0"/>
          <w:iCs w:val="0"/>
          <w:caps w:val="0"/>
          <w:color w:val="333333"/>
          <w:spacing w:val="15"/>
          <w:sz w:val="24"/>
          <w:szCs w:val="24"/>
          <w:shd w:val="clear" w:fill="FFFFFF"/>
        </w:rPr>
        <w:t>从各联盟集采重点推进的品种来看，药品已从化药向中药延伸，医械品种扩围更广，涉及口腔种植体、电生理和腔镜吻合器、新冠相关检测试剂及耗材、肝功生化试剂等，瞄准市场和临床所需。</w:t>
      </w:r>
    </w:p>
    <w:p>
      <w:pPr>
        <w:jc w:val="center"/>
        <w:rPr>
          <w:rStyle w:val="14"/>
          <w:rFonts w:hint="eastAsia" w:cs="Helvetica" w:asciiTheme="minorEastAsia" w:hAnsiTheme="minorEastAsia"/>
          <w:spacing w:val="15"/>
          <w:sz w:val="28"/>
          <w:szCs w:val="28"/>
        </w:rPr>
      </w:pPr>
      <w:r>
        <w:rPr>
          <w:rStyle w:val="14"/>
          <w:rFonts w:ascii="微软雅黑" w:hAnsi="微软雅黑" w:eastAsia="微软雅黑" w:cs="微软雅黑"/>
          <w:i w:val="0"/>
          <w:iCs w:val="0"/>
          <w:caps w:val="0"/>
          <w:color w:val="F5CA46"/>
          <w:spacing w:val="8"/>
          <w:sz w:val="60"/>
          <w:szCs w:val="60"/>
          <w:shd w:val="clear" w:fill="FFFFFF"/>
        </w:rPr>
        <w:t>0</w:t>
      </w:r>
      <w:r>
        <w:rPr>
          <w:rStyle w:val="14"/>
          <w:rFonts w:hint="eastAsia" w:ascii="微软雅黑" w:hAnsi="微软雅黑" w:eastAsia="微软雅黑" w:cs="微软雅黑"/>
          <w:i w:val="0"/>
          <w:iCs w:val="0"/>
          <w:caps w:val="0"/>
          <w:color w:val="F5CA46"/>
          <w:spacing w:val="8"/>
          <w:sz w:val="60"/>
          <w:szCs w:val="60"/>
          <w:shd w:val="clear" w:fill="FFFFFF"/>
        </w:rPr>
        <w:t>1</w:t>
      </w:r>
      <w:r>
        <w:rPr>
          <w:rStyle w:val="14"/>
          <w:rFonts w:hint="eastAsia" w:cs="Helvetica" w:asciiTheme="minorEastAsia" w:hAnsiTheme="minorEastAsia"/>
          <w:spacing w:val="15"/>
          <w:sz w:val="28"/>
          <w:szCs w:val="28"/>
        </w:rPr>
        <w:t>确定重点推进联盟、牵头省份</w:t>
      </w: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中药是重心之一，新“黑马”来了！</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据了解，按照工作安排，2022年拟重点推进的联盟集采包括：湖北牵头的中成药联盟采购、四川牵头的口腔种植体联盟采购，这两个联盟预计绝大部分省份将参加。同时，福建将牵头开展电生理和腔镜吻合器采购联盟、山东将牵头开展中药饮片采购联盟、广东将牵头开展新冠相关检测试剂及耗材采购联盟、江西将牵头开展肝功生化试剂采购联盟，预计将有相当一部分省份参加。此外，“八省二区”采购联盟、广东牵头的药品采购联盟等已有联盟还将继续扩大品种覆盖面，天津、浙江、江西、山东、河南、陕西等省份还将牵头对部分药品、耗材品种开展联盟采购，鼓励各省自主参与。</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其实，联盟采购的加速推进早有预期。国家医保局副局长陈金甫在今年初国办召开的政策例行吹风会上提到，将指导地方根据临床需要，围绕大品种和常见病，查漏补缺进行推进。原来的集采主要集中在化学药，去年拓展到了胰岛素、人工关节。今年按照“一品一策”的原则对群众反映多、价格调整空间大的耗材品种开展高值医用耗材集中带量采购。在地方这块，进一步在其他领域进行探索。包括中成药，在去年部分省份已经组织联盟采购的基础上，今年要有序进一步扩大范围。</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药品方面，中药显然是接下来联盟集采的重心，中成药、中药饮片和配方颗粒都会囊括其中。在南京循证生物科技有限公司总经理郭新峰看来，“无论是湖北联盟，还是广东联盟，中成药带量采购试点的氛围较为浓厚，规则差别较大，期待试点2~3年后，能出现较为统一的规则。对药企来说，大趋势已经非常明显，那就是在产能与成本的双重压力下，规模市场带来药企的规模效应，市场集中度将快速提升。”</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在业界看来，中成药产品将快速分化，集采既考验药企的产能，又考验药企的成本控制能力和降价弹性空间。郭新峰认为，“部分安全性评价缺失的中药注射剂将走向式微，而质量较好、临床评价较为完善齐全的中成药将借着集采途径打开医院准入壁垒，以价换量、强势崛起，成为10亿元以上的中成药大品种。独家常见剂型（如普通胶囊、分散片）产品受集采价格压制，降幅至少可达20%~30%，以前独家剂型定价高、议价能力强，随着剂型合并和适应症归并，将受到常规剂型的打压。特色剂型（如滴丸、膏剂）和特色适应症由于剂型疗效优势，将在常规剂型及常规适应症被集采扫荡后脱颖而出，成为集采黑马。”</w:t>
      </w:r>
    </w:p>
    <w:p>
      <w:pPr>
        <w:jc w:val="center"/>
        <w:rPr>
          <w:rStyle w:val="14"/>
          <w:rFonts w:hint="eastAsia" w:cs="Helvetica" w:asciiTheme="minorEastAsia" w:hAnsiTheme="minorEastAsia"/>
          <w:b w:val="0"/>
          <w:spacing w:val="15"/>
          <w:sz w:val="28"/>
          <w:szCs w:val="28"/>
        </w:rPr>
      </w:pPr>
    </w:p>
    <w:p>
      <w:pPr>
        <w:jc w:val="center"/>
        <w:rPr>
          <w:rStyle w:val="14"/>
          <w:rFonts w:hint="eastAsia" w:cs="Helvetica" w:asciiTheme="minorEastAsia" w:hAnsiTheme="minorEastAsia"/>
          <w:spacing w:val="15"/>
          <w:sz w:val="28"/>
          <w:szCs w:val="28"/>
        </w:rPr>
      </w:pPr>
      <w:r>
        <w:rPr>
          <w:rStyle w:val="14"/>
          <w:rFonts w:ascii="微软雅黑" w:hAnsi="微软雅黑" w:eastAsia="微软雅黑" w:cs="微软雅黑"/>
          <w:i w:val="0"/>
          <w:iCs w:val="0"/>
          <w:caps w:val="0"/>
          <w:color w:val="F5CA46"/>
          <w:spacing w:val="8"/>
          <w:sz w:val="60"/>
          <w:szCs w:val="60"/>
          <w:shd w:val="clear" w:fill="FFFFFF"/>
        </w:rPr>
        <w:t>02</w:t>
      </w:r>
      <w:r>
        <w:rPr>
          <w:rStyle w:val="14"/>
          <w:rFonts w:hint="eastAsia" w:cs="Helvetica" w:asciiTheme="minorEastAsia" w:hAnsiTheme="minorEastAsia"/>
          <w:spacing w:val="15"/>
          <w:sz w:val="28"/>
          <w:szCs w:val="28"/>
        </w:rPr>
        <w:t xml:space="preserve">器械种类繁多 </w:t>
      </w:r>
    </w:p>
    <w:p>
      <w:pPr>
        <w:jc w:val="center"/>
        <w:rPr>
          <w:rStyle w:val="14"/>
          <w:rFonts w:cs="Helvetica" w:asciiTheme="minorEastAsia" w:hAnsiTheme="minorEastAsia"/>
          <w:spacing w:val="15"/>
          <w:sz w:val="28"/>
          <w:szCs w:val="28"/>
        </w:rPr>
      </w:pPr>
      <w:r>
        <w:rPr>
          <w:rStyle w:val="14"/>
          <w:rFonts w:hint="eastAsia" w:cs="Helvetica" w:asciiTheme="minorEastAsia" w:hAnsiTheme="minorEastAsia"/>
          <w:spacing w:val="15"/>
          <w:sz w:val="28"/>
          <w:szCs w:val="28"/>
        </w:rPr>
        <w:t>集采或持续很长时间</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从集采形式看，除国家集采外，联盟集采已成主流。根据部署，一是明确了到2022年底各省份（含省际联盟）自行开展集采的药品品种数累计不少于100个的目标，并且须包含化学药、中成药以及骨科创伤、口腔种植体、药物球囊等耗材。二是对于重点品种，根据各省的牵头意向和能力，明确相应品种的牵头省份，鼓励其他意向省份主动加入，扩大联盟范围，优化集采频率和节奏。三是提前明确本年度重点省际联盟，有利于增强行业对集采政策的可预期性，便于企业提前谋划市场策略和生产安排，减少不确定性，稳定市场预期。</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此前，国家医保局相关负责人表示，现在主体格局是国家组织、省际联盟的招采，这两个格局是不变的。省际联盟的招采品种越来越多，是必然趋势，也是主流趋势。如果省际的局部招采探索成功，不一定要国家组织集采了；如果省际联盟探索了，但是竞争格局不充分，品种还不是很多，总量还不是很大，在探索机制成功的基础上，我们推进国家组织集采。</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值得关注的是，联盟集采品种也将纳入更多医疗器械。“由于医疗器械产品种类多，粗略估算现在纳入集采的品种数量不到2%，预计集采推进时间会持续很长时间。”资深医疗器械营销专家王强告诉记者，从今年推进的重点类别来看，除了民众呼声很大的口腔种植体，大半低端吻合器已经集采，现在着手向高端的腔镜吻合器推进。电生理进口器械占比达85%，国产溢价能力低，这种品种通常不会纳入集采，应该是基于对高端、高价格的高值耗材集采的一次试水。江西牵头的肝功生化试剂集采比较新，选择江西牵头也有试点意味。广东牵头16省联盟采购的超声刀头和预充式导管冲洗器即将落地实施，超声刀迎来“百元时代”，联盟集采已积累丰富经验。</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在国采+联盟集采推进下，医疗器械市场将快速衍变。王强认为，“主要会呈现四个趋势：倒逼一些进口品牌加速全面国产化进程，在中国建立生产基地；价格难以下调的二二线进口品牌会淘汰出局；国产企业凸显成本领先和性价比优势；医械企业与大型商业配送集团的合作关系会越来越紧密。”</w:t>
      </w: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lang w:val="en-US" w:eastAsia="zh-CN"/>
        </w:rPr>
      </w:pPr>
      <w:r>
        <w:rPr>
          <w:rFonts w:hint="eastAsia" w:ascii="微软雅黑" w:hAnsi="微软雅黑" w:eastAsia="微软雅黑" w:cs="宋体"/>
          <w:b/>
          <w:color w:val="333333"/>
          <w:kern w:val="36"/>
          <w:sz w:val="24"/>
        </w:rPr>
        <w:t>附件</w:t>
      </w:r>
      <w:r>
        <w:rPr>
          <w:rFonts w:hint="eastAsia" w:ascii="微软雅黑" w:hAnsi="微软雅黑" w:eastAsia="微软雅黑" w:cs="宋体"/>
          <w:b/>
          <w:color w:val="333333"/>
          <w:kern w:val="36"/>
          <w:sz w:val="24"/>
          <w:lang w:val="en-US" w:eastAsia="zh-CN"/>
        </w:rPr>
        <w:t>2</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重磅文件发布：医药零售、流通大变局</w:t>
      </w:r>
    </w:p>
    <w:p>
      <w:pPr>
        <w:ind w:firstLine="420" w:firstLineChars="200"/>
      </w:pPr>
    </w:p>
    <w:p>
      <w:pPr>
        <w:rPr>
          <w:rFonts w:hint="eastAsia" w:eastAsia="宋体"/>
          <w:lang w:val="en-US" w:eastAsia="zh-CN"/>
        </w:rPr>
      </w:pPr>
      <w:r>
        <w:rPr>
          <w:rFonts w:hint="eastAsia"/>
        </w:rPr>
        <w:t>赛柏蓝 2022-04-26   来源 | 新康界</w:t>
      </w:r>
      <w:r>
        <w:rPr>
          <w:rFonts w:hint="eastAsia"/>
          <w:lang w:val="en-US" w:eastAsia="zh-CN"/>
        </w:rPr>
        <w:t xml:space="preserve"> </w:t>
      </w:r>
      <w:r>
        <w:rPr>
          <w:rFonts w:hint="eastAsia"/>
        </w:rPr>
        <w:t>2022-04-2</w:t>
      </w:r>
      <w:r>
        <w:rPr>
          <w:rFonts w:hint="eastAsia"/>
          <w:lang w:val="en-US" w:eastAsia="zh-CN"/>
        </w:rPr>
        <w:t>0</w:t>
      </w:r>
    </w:p>
    <w:p>
      <w:pPr>
        <w:rPr>
          <w:rStyle w:val="14"/>
          <w:rFonts w:cs="Helvetica" w:asciiTheme="minorEastAsia" w:hAnsiTheme="minorEastAsia"/>
          <w:b w:val="0"/>
          <w:spacing w:val="15"/>
          <w:sz w:val="28"/>
          <w:szCs w:val="28"/>
        </w:rPr>
      </w:pPr>
    </w:p>
    <w:p>
      <w:pPr>
        <w:rPr>
          <w:rStyle w:val="14"/>
          <w:rFonts w:cs="Helvetica" w:asciiTheme="minorEastAsia" w:hAnsiTheme="minorEastAsia"/>
          <w:b w:val="0"/>
          <w:spacing w:val="15"/>
          <w:sz w:val="28"/>
          <w:szCs w:val="28"/>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40" w:firstLineChars="200"/>
        <w:jc w:val="both"/>
        <w:textAlignment w:val="auto"/>
        <w:rPr>
          <w:rStyle w:val="14"/>
          <w:rFonts w:cs="Helvetica" w:asciiTheme="minorEastAsia" w:hAnsiTheme="minorEastAsia"/>
          <w:b w:val="0"/>
          <w:spacing w:val="15"/>
          <w:sz w:val="28"/>
          <w:szCs w:val="28"/>
        </w:rPr>
      </w:pPr>
      <w:r>
        <w:rPr>
          <w:rFonts w:hint="eastAsia" w:ascii="微软雅黑" w:hAnsi="微软雅黑" w:eastAsia="微软雅黑" w:cs="微软雅黑"/>
          <w:i w:val="0"/>
          <w:iCs w:val="0"/>
          <w:caps w:val="0"/>
          <w:color w:val="333333"/>
          <w:spacing w:val="15"/>
          <w:sz w:val="24"/>
          <w:szCs w:val="24"/>
          <w:shd w:val="clear" w:fill="FFFFFF"/>
        </w:rPr>
        <w:t>近日，国务院对外发布《关于加快建设全国统一大市场的意见》（简称《意见》），文件出台后，市场反响激烈，引起较高的关注度。究竟什么是全国统一大市场？文件发布后对医药零售和药品流通会产生什么样的深远影响？本文将对以上问题逐一阐述。</w:t>
      </w:r>
    </w:p>
    <w:p>
      <w:pPr>
        <w:jc w:val="center"/>
        <w:rPr>
          <w:rStyle w:val="14"/>
          <w:rFonts w:hint="eastAsia" w:cs="Helvetica" w:asciiTheme="minorEastAsia" w:hAnsiTheme="minorEastAsia"/>
          <w:spacing w:val="15"/>
          <w:sz w:val="28"/>
          <w:szCs w:val="28"/>
        </w:rPr>
      </w:pPr>
      <w:r>
        <w:rPr>
          <w:rStyle w:val="14"/>
          <w:rFonts w:ascii="微软雅黑" w:hAnsi="微软雅黑" w:eastAsia="微软雅黑" w:cs="微软雅黑"/>
          <w:i w:val="0"/>
          <w:iCs w:val="0"/>
          <w:caps w:val="0"/>
          <w:color w:val="0000FF"/>
          <w:spacing w:val="8"/>
          <w:sz w:val="60"/>
          <w:szCs w:val="60"/>
          <w:shd w:val="clear" w:fill="FFFFFF"/>
        </w:rPr>
        <w:t>0</w:t>
      </w:r>
      <w:r>
        <w:rPr>
          <w:rStyle w:val="14"/>
          <w:rFonts w:hint="eastAsia" w:ascii="微软雅黑" w:hAnsi="微软雅黑" w:eastAsia="微软雅黑" w:cs="微软雅黑"/>
          <w:i w:val="0"/>
          <w:iCs w:val="0"/>
          <w:caps w:val="0"/>
          <w:color w:val="0000FF"/>
          <w:spacing w:val="8"/>
          <w:sz w:val="60"/>
          <w:szCs w:val="60"/>
          <w:shd w:val="clear" w:fill="FFFFFF"/>
        </w:rPr>
        <w:t>1</w:t>
      </w:r>
      <w:r>
        <w:rPr>
          <w:rStyle w:val="14"/>
          <w:rFonts w:ascii="微软雅黑" w:hAnsi="微软雅黑" w:eastAsia="微软雅黑" w:cs="微软雅黑"/>
          <w:i w:val="0"/>
          <w:iCs w:val="0"/>
          <w:caps w:val="0"/>
          <w:color w:val="345BC1"/>
          <w:spacing w:val="30"/>
          <w:sz w:val="30"/>
          <w:szCs w:val="30"/>
        </w:rPr>
        <w:t>究竟什么是全国统一大市场？</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全国统一大市场指的是中国国内市场形成了高效规范、公平竞争、充分开放的基本格局，可以依托它顺利地实现国内国际双循环和扩大再生产。</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本次《意见》明确要加快建立全国统一的市场制度规则，打破地方保护和市场分割，打通制约经济循环的关键堵点，促进商品要素资源在更大范围内畅通流动。</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具体划分来看，全国统一大市场包括“4个统一”以及“2个破除”。“4个统一”包括统一的市场基础制度规则、统一的高标准市场设施联通、统一的要素和资源市场和统一的高水平商品和服务市场。</w:t>
      </w:r>
    </w:p>
    <w:p>
      <w:pPr>
        <w:bidi w:val="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1770" cy="1541780"/>
            <wp:effectExtent l="0" t="0" r="5080" b="1270"/>
            <wp:docPr id="1" name="图片 1" descr="5e6bdf7899ea8994d691ad90f7c2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6bdf7899ea8994d691ad90f7c2e082"/>
                    <pic:cNvPicPr>
                      <a:picLocks noChangeAspect="1"/>
                    </pic:cNvPicPr>
                  </pic:nvPicPr>
                  <pic:blipFill>
                    <a:blip r:embed="rId6"/>
                    <a:stretch>
                      <a:fillRect/>
                    </a:stretch>
                  </pic:blipFill>
                  <pic:spPr>
                    <a:xfrm>
                      <a:off x="0" y="0"/>
                      <a:ext cx="5271770" cy="1541780"/>
                    </a:xfrm>
                    <a:prstGeom prst="rect">
                      <a:avLst/>
                    </a:prstGeom>
                  </pic:spPr>
                </pic:pic>
              </a:graphicData>
            </a:graphic>
          </wp:inline>
        </w:drawing>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“2个破除”主要体现在破除不当市场竞争和市场干预行为以及破除地方保护和区域壁垒。</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在破除不当市场竞争和市场干预这一方面，主要举措是推进统一的市场监管，这里面包括监管规则和执法的统一。现在各个地方可能是因为监管执法的力度，或者是执法的规则方面，可能还有不太一致的地方，导致在一省开办企业适应了当地市场监管，但如果再去另外地方经营业务时，可能面临不同的监管要求，限制了企业对外的发展。通过市场监管的统一，可以降低企业跨区域经营的成本和提升适应性。</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地方政府过分看重GDP和地方税收，地方保护主义倾向较为严重。各地往往有本地扶持的企业和品牌，设置或明或暗的门槛，其他竞争企业和产品难以进入。在招投标方面，很多地方都在招投标时照顾本地的企业，歧视外地的企业，这样导致很多行业它每个市每个县都有一家行业的企业，导致行业缺乏龙头企业，不能做大做强，也不能实现规模经济，是未来破除对象。</w:t>
      </w:r>
    </w:p>
    <w:p>
      <w:pPr>
        <w:jc w:val="center"/>
        <w:rPr>
          <w:rStyle w:val="14"/>
          <w:rFonts w:hint="eastAsia" w:cs="Helvetica" w:asciiTheme="minorEastAsia" w:hAnsiTheme="minorEastAsia"/>
          <w:b w:val="0"/>
          <w:spacing w:val="15"/>
          <w:sz w:val="28"/>
          <w:szCs w:val="28"/>
        </w:rPr>
      </w:pPr>
    </w:p>
    <w:p>
      <w:pPr>
        <w:jc w:val="center"/>
        <w:rPr>
          <w:rStyle w:val="14"/>
          <w:rFonts w:hint="eastAsia" w:cs="Helvetica" w:asciiTheme="minorEastAsia" w:hAnsiTheme="minorEastAsia"/>
          <w:spacing w:val="15"/>
          <w:sz w:val="28"/>
          <w:szCs w:val="28"/>
        </w:rPr>
      </w:pPr>
      <w:r>
        <w:rPr>
          <w:rStyle w:val="14"/>
          <w:rFonts w:ascii="微软雅黑" w:hAnsi="微软雅黑" w:eastAsia="微软雅黑" w:cs="微软雅黑"/>
          <w:i w:val="0"/>
          <w:iCs w:val="0"/>
          <w:caps w:val="0"/>
          <w:color w:val="0000FF"/>
          <w:spacing w:val="8"/>
          <w:sz w:val="60"/>
          <w:szCs w:val="60"/>
          <w:shd w:val="clear" w:fill="FFFFFF"/>
        </w:rPr>
        <w:t>02</w:t>
      </w:r>
      <w:r>
        <w:rPr>
          <w:rStyle w:val="14"/>
          <w:rFonts w:ascii="微软雅黑" w:hAnsi="微软雅黑" w:eastAsia="微软雅黑" w:cs="微软雅黑"/>
          <w:i w:val="0"/>
          <w:iCs w:val="0"/>
          <w:caps w:val="0"/>
          <w:color w:val="345BC1"/>
          <w:spacing w:val="30"/>
          <w:sz w:val="30"/>
          <w:szCs w:val="30"/>
        </w:rPr>
        <w:t>全国统一大市场对医药零售和药品流通的影响</w:t>
      </w:r>
      <w:r>
        <w:rPr>
          <w:rStyle w:val="14"/>
          <w:rFonts w:hint="eastAsia" w:cs="Helvetica" w:asciiTheme="minorEastAsia" w:hAnsiTheme="minorEastAsia"/>
          <w:spacing w:val="15"/>
          <w:sz w:val="28"/>
          <w:szCs w:val="28"/>
        </w:rPr>
        <w:t xml:space="preserve"> </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①零售药店并购整合步伐加速</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目前全国药店布局还是较为分散，区域性特征比较强。上市公司中国大药房和老百姓具备全国性布局能力，其余公司虽然成立时间近20年，但布局区域大多为其发家地及周边地区，很少有做到全国药店布局。</w:t>
      </w:r>
    </w:p>
    <w:p>
      <w:pPr>
        <w:jc w:val="center"/>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drawing>
          <wp:inline distT="0" distB="0" distL="114300" distR="114300">
            <wp:extent cx="5271770" cy="2930525"/>
            <wp:effectExtent l="0" t="0" r="5080" b="3175"/>
            <wp:docPr id="2" name="图片 2" descr="56e80001015e4ee534498e69795af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e80001015e4ee534498e69795afea2"/>
                    <pic:cNvPicPr>
                      <a:picLocks noChangeAspect="1"/>
                    </pic:cNvPicPr>
                  </pic:nvPicPr>
                  <pic:blipFill>
                    <a:blip r:embed="rId7"/>
                    <a:stretch>
                      <a:fillRect/>
                    </a:stretch>
                  </pic:blipFill>
                  <pic:spPr>
                    <a:xfrm>
                      <a:off x="0" y="0"/>
                      <a:ext cx="5271770" cy="2930525"/>
                    </a:xfrm>
                    <a:prstGeom prst="rect">
                      <a:avLst/>
                    </a:prstGeom>
                  </pic:spPr>
                </pic:pic>
              </a:graphicData>
            </a:graphic>
          </wp:inline>
        </w:drawing>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如一心堂的门店主要集中在云南、四川地区，两地门店占比超70%；大参林集中在华南地区，两广地区渗透更深，门店占比超77%；益丰药房在两湖以及江苏地区发展加快，中南+华东地区门店数占比接近90%。除此以外，市场份额较大的几家药房也基本均为地方性龙头公司， 异地扩张较为困难。</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形成上述格局的主要原因是药房发展初期，存在较强的地方保护主义，在跨区域扩张时需要应对不同部门零售药店的设立批准与监管。</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根据中国医药商业协会数据：2020年top100的药品零售企业销售总额1806亿元，占全国零售市场总额35.3%。根据中国药店数据，2020年美国医药零售TOP3企业占比70%；日本药妆店TOP10占比65%。与海外发达国家相比，国内龙头的集中度仍处于低位。</w:t>
      </w:r>
    </w:p>
    <w:p>
      <w:pPr>
        <w:jc w:val="left"/>
        <w:rPr>
          <w:rStyle w:val="14"/>
          <w:rFonts w:hint="eastAsia" w:cs="Helvetica" w:asciiTheme="minorEastAsia" w:hAnsiTheme="minorEastAsia" w:eastAsiaTheme="minorEastAsia"/>
          <w:b w:val="0"/>
          <w:spacing w:val="15"/>
          <w:sz w:val="28"/>
          <w:szCs w:val="28"/>
          <w:lang w:eastAsia="zh-CN"/>
        </w:rPr>
      </w:pPr>
      <w:r>
        <w:rPr>
          <w:rStyle w:val="14"/>
          <w:rFonts w:ascii="微软雅黑" w:hAnsi="微软雅黑" w:eastAsia="微软雅黑" w:cs="微软雅黑"/>
          <w:i w:val="0"/>
          <w:iCs w:val="0"/>
          <w:caps w:val="0"/>
          <w:color w:val="1F4ABC"/>
          <w:spacing w:val="8"/>
          <w:sz w:val="22"/>
          <w:szCs w:val="22"/>
        </w:rPr>
        <w:t>图表1  2016-2020 年全国药品零售百强企业销售额及市场占有率（单位：亿元）</w:t>
      </w:r>
    </w:p>
    <w:p>
      <w:pPr>
        <w:jc w:val="center"/>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drawing>
          <wp:inline distT="0" distB="0" distL="114300" distR="114300">
            <wp:extent cx="4610100" cy="2743200"/>
            <wp:effectExtent l="0" t="0" r="0" b="0"/>
            <wp:docPr id="3" name="图片 3" descr="1a4cd2e168e871173c8bab607783c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a4cd2e168e871173c8bab607783c183"/>
                    <pic:cNvPicPr>
                      <a:picLocks noChangeAspect="1"/>
                    </pic:cNvPicPr>
                  </pic:nvPicPr>
                  <pic:blipFill>
                    <a:blip r:embed="rId8"/>
                    <a:stretch>
                      <a:fillRect/>
                    </a:stretch>
                  </pic:blipFill>
                  <pic:spPr>
                    <a:xfrm>
                      <a:off x="0" y="0"/>
                      <a:ext cx="4610100" cy="2743200"/>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40" w:right="240" w:firstLine="0"/>
        <w:jc w:val="both"/>
        <w:rPr>
          <w:rFonts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i w:val="0"/>
          <w:iCs w:val="0"/>
          <w:caps w:val="0"/>
          <w:color w:val="222222"/>
          <w:spacing w:val="8"/>
          <w:sz w:val="21"/>
          <w:szCs w:val="21"/>
          <w:shd w:val="clear" w:fill="FFFFFF"/>
        </w:rPr>
        <w:t>资料来源：中国医药商业协会、中康产业研究中心整理</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全国药店零散、集中度低的格局不利于监管机构对药品的监管，同时很多管理手段和技术水平低的单体药店和小连锁效率普遍不高，盈利能力弱，容易陷入价格战。</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为此，政府近年来一直在精简审批环节，鼓励连锁化。2021年上海、北京、江苏等地就陆续取消了“限距”这个规定。</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“限距”是用行政命令对药店数量和布局进行调节，目的是防止无距离开店，造成无序竞争。</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与此同时，药店设置间距限制就是保护“落后”，不利于市场充分竞争。取消“限距”不仅可以让新药店公平加入市场进行充分竞争，也会加快药店经营者进行转型升级的步伐，促进零售药店的长远发展。</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为落实国务院“放管服”改革并推动药品零售连锁经营长期发展，商务部在“十四五”指导意见里要求到2025年，培育形成5-10家超五百亿元的专业化、多元化药品零售连锁企业，药品零售百强企业年销售额占药品零售市场总额65%以上。</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按此要求，目前上市的药店连锁公司收入在百亿规模，有很大想象空间，而统一大市场政策则为实现上述目标扫清障碍。</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②药品流通行业进入关键转折期</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2016年国务院发文取消“从事第三方药品物流业务批准”后，全国范围内统一的医药物流监管政策没有及时跟进。</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现在对医药物流的管理主要依赖于地方省级药品监管部门，各地监管部门在监管实践中“各自为政”，监管政策的解读和执行不统一。</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各省市或明或暗创设准入门槛保护地方企业，包括采取数量限制，不予准入等条件。医药物流企业跨省市的“异地设库”无法实现，医药大集团跨区域“多仓联运”难以走通，医药物流进入其他地区的管理成本大幅增加，在一定程度上形成了“市场分割”和“地方保护”，妨碍了药品流通企业跨地区、跨所有制兼并重组。</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而构建统一大市场将解决区域医药物流政策不一致问题，通过制定统一的药品第三方物流准入及异地设库标准，推动医药物流标准体系与国际接轨。商务部数据也显示，2020年全社会物流总费用占GDP的比重为14.7%，几乎是美国、日本的两倍，降本增效空间较大。</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对于医药流通企业来说，统一大市场意味着可以集约化经营，市场空间的进一步扩展以及经营成本的降低。商务部在“十四五”指导意见里要求到2025年，培育形成1-3家超五千亿元、5-10家超千亿元的大型数字化、综合性药品流通企业。</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t>而目前药品流通TPO4企业收入超过5000亿元的只有国药控股。华润医药和上海医药2021年收入分别为2368亿元和2158亿元，距离目标还有2倍成长空间；九州通2020年收入1108亿元，预计未来前4家全国性药品流通企业的市场份额仍会持续提升。</w:t>
      </w: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lang w:val="en-US" w:eastAsia="zh-CN"/>
        </w:rPr>
      </w:pPr>
      <w:r>
        <w:rPr>
          <w:rFonts w:hint="eastAsia" w:ascii="微软雅黑" w:hAnsi="微软雅黑" w:eastAsia="微软雅黑" w:cs="宋体"/>
          <w:b/>
          <w:color w:val="333333"/>
          <w:kern w:val="36"/>
          <w:sz w:val="24"/>
        </w:rPr>
        <w:t>附件</w:t>
      </w:r>
      <w:r>
        <w:rPr>
          <w:rFonts w:hint="eastAsia" w:ascii="微软雅黑" w:hAnsi="微软雅黑" w:eastAsia="微软雅黑" w:cs="宋体"/>
          <w:b/>
          <w:color w:val="333333"/>
          <w:kern w:val="36"/>
          <w:sz w:val="24"/>
          <w:lang w:val="en-US" w:eastAsia="zh-CN"/>
        </w:rPr>
        <w:t>3</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2022年第一季度中国批准的新药</w:t>
      </w:r>
    </w:p>
    <w:p>
      <w:pPr>
        <w:ind w:firstLine="420" w:firstLineChars="200"/>
      </w:pPr>
    </w:p>
    <w:p>
      <w:r>
        <w:rPr>
          <w:rFonts w:hint="eastAsia"/>
        </w:rPr>
        <w:t xml:space="preserve">药闻康策 2022-04-06  </w:t>
      </w:r>
    </w:p>
    <w:p>
      <w:pPr>
        <w:rPr>
          <w:rStyle w:val="14"/>
          <w:rFonts w:cs="Helvetica" w:asciiTheme="minorEastAsia" w:hAnsiTheme="minorEastAsia"/>
          <w:b w:val="0"/>
          <w:spacing w:val="15"/>
          <w:sz w:val="28"/>
          <w:szCs w:val="28"/>
        </w:rPr>
      </w:pPr>
    </w:p>
    <w:p>
      <w:pPr>
        <w:rPr>
          <w:rStyle w:val="14"/>
          <w:rFonts w:cs="Helvetica" w:asciiTheme="minorEastAsia" w:hAnsiTheme="minorEastAsia"/>
          <w:b w:val="0"/>
          <w:spacing w:val="15"/>
          <w:sz w:val="28"/>
          <w:szCs w:val="28"/>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20" w:firstLineChars="200"/>
        <w:jc w:val="both"/>
        <w:textAlignment w:val="auto"/>
        <w:rPr>
          <w:rFonts w:hint="eastAsia" w:ascii="宋体" w:hAnsi="宋体" w:eastAsia="宋体" w:cs="宋体"/>
          <w:i w:val="0"/>
          <w:iCs w:val="0"/>
          <w:caps w:val="0"/>
          <w:color w:val="333333"/>
          <w:spacing w:val="15"/>
          <w:sz w:val="28"/>
          <w:szCs w:val="28"/>
          <w:shd w:val="clear" w:fill="FFFFFF"/>
        </w:rPr>
      </w:pPr>
      <w:r>
        <w:rPr>
          <w:rFonts w:hint="eastAsia" w:ascii="宋体" w:hAnsi="宋体" w:eastAsia="宋体" w:cs="宋体"/>
          <w:i w:val="0"/>
          <w:iCs w:val="0"/>
          <w:caps w:val="0"/>
          <w:color w:val="333333"/>
          <w:spacing w:val="15"/>
          <w:sz w:val="28"/>
          <w:szCs w:val="28"/>
          <w:shd w:val="clear" w:fill="FFFFFF"/>
        </w:rPr>
        <w:t>据医药魔方统计，2022年第一季度NMPA共批准了18款新药，其中有8款化学药品，9款生物制品（包括3款疫苗）和1款中药。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微软雅黑" w:hAnsi="微软雅黑" w:eastAsia="微软雅黑" w:cs="微软雅黑"/>
          <w:i w:val="0"/>
          <w:iCs w:val="0"/>
          <w:caps w:val="0"/>
          <w:color w:val="333333"/>
          <w:spacing w:val="15"/>
          <w:sz w:val="24"/>
          <w:szCs w:val="24"/>
          <w:shd w:val="clear" w:fill="FFFFFF"/>
          <w:lang w:eastAsia="zh-CN"/>
        </w:rPr>
      </w:pPr>
      <w:r>
        <w:rPr>
          <w:rFonts w:hint="eastAsia" w:ascii="微软雅黑" w:hAnsi="微软雅黑" w:eastAsia="微软雅黑" w:cs="微软雅黑"/>
          <w:i w:val="0"/>
          <w:iCs w:val="0"/>
          <w:caps w:val="0"/>
          <w:color w:val="333333"/>
          <w:spacing w:val="15"/>
          <w:sz w:val="24"/>
          <w:szCs w:val="24"/>
          <w:shd w:val="clear" w:fill="FFFFFF"/>
          <w:lang w:eastAsia="zh-CN"/>
        </w:rPr>
        <w:drawing>
          <wp:inline distT="0" distB="0" distL="114300" distR="114300">
            <wp:extent cx="5264150" cy="4013835"/>
            <wp:effectExtent l="0" t="0" r="12700" b="5715"/>
            <wp:docPr id="9" name="图片 9" descr="8d066e9add012d5b10c0fc3bfc6ed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d066e9add012d5b10c0fc3bfc6ed2ed"/>
                    <pic:cNvPicPr>
                      <a:picLocks noChangeAspect="1"/>
                    </pic:cNvPicPr>
                  </pic:nvPicPr>
                  <pic:blipFill>
                    <a:blip r:embed="rId9"/>
                    <a:stretch>
                      <a:fillRect/>
                    </a:stretch>
                  </pic:blipFill>
                  <pic:spPr>
                    <a:xfrm>
                      <a:off x="0" y="0"/>
                      <a:ext cx="5264150" cy="4013835"/>
                    </a:xfrm>
                    <a:prstGeom prst="rect">
                      <a:avLst/>
                    </a:prstGeom>
                  </pic:spPr>
                </pic:pic>
              </a:graphicData>
            </a:graphic>
          </wp:inline>
        </w:drawing>
      </w:r>
    </w:p>
    <w:p>
      <w:pPr>
        <w:jc w:val="left"/>
        <w:rPr>
          <w:rStyle w:val="14"/>
          <w:rFonts w:hint="eastAsia" w:cs="Helvetica" w:asciiTheme="minorEastAsia" w:hAnsiTheme="minorEastAsia"/>
          <w:b w:val="0"/>
          <w:spacing w:val="15"/>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附件4</w:t>
      </w:r>
    </w:p>
    <w:p>
      <w:pPr>
        <w:rPr>
          <w:rFonts w:ascii="微软雅黑" w:hAnsi="微软雅黑" w:eastAsia="微软雅黑" w:cs="宋体"/>
          <w:color w:val="333333"/>
          <w:spacing w:val="8"/>
          <w:kern w:val="0"/>
          <w:sz w:val="33"/>
          <w:szCs w:val="33"/>
        </w:rPr>
      </w:pPr>
    </w:p>
    <w:p>
      <w:pPr>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对标企业动态信息汇集</w:t>
      </w:r>
    </w:p>
    <w:p>
      <w:pPr>
        <w:rPr>
          <w:rFonts w:ascii="微软雅黑" w:hAnsi="微软雅黑" w:eastAsia="微软雅黑" w:cs="宋体"/>
          <w:color w:val="333333"/>
          <w:spacing w:val="8"/>
          <w:kern w:val="0"/>
          <w:sz w:val="33"/>
          <w:szCs w:val="33"/>
        </w:rPr>
      </w:pPr>
      <w:r>
        <w:rPr>
          <w:rFonts w:hint="eastAsia"/>
        </w:rPr>
        <w:t>运营管理部</w:t>
      </w:r>
    </w:p>
    <w:p>
      <w:pPr>
        <w:jc w:val="left"/>
        <w:rPr>
          <w:rFonts w:hint="eastAsia" w:ascii="微软雅黑" w:hAnsi="微软雅黑" w:eastAsia="微软雅黑" w:cs="宋体"/>
          <w:color w:val="333333"/>
          <w:spacing w:val="8"/>
          <w:kern w:val="0"/>
          <w:sz w:val="33"/>
          <w:szCs w:val="33"/>
        </w:rPr>
      </w:pPr>
    </w:p>
    <w:p>
      <w:pPr>
        <w:jc w:val="left"/>
        <w:rPr>
          <w:rFonts w:hint="eastAsia" w:ascii="微软雅黑" w:hAnsi="微软雅黑" w:eastAsia="微软雅黑" w:cs="宋体"/>
          <w:color w:val="333333"/>
          <w:spacing w:val="8"/>
          <w:kern w:val="0"/>
          <w:sz w:val="33"/>
          <w:szCs w:val="33"/>
          <w:lang w:eastAsia="zh-CN"/>
        </w:rPr>
      </w:pPr>
      <w:r>
        <w:rPr>
          <w:rFonts w:hint="eastAsia" w:cs="宋体" w:asciiTheme="majorEastAsia" w:hAnsiTheme="majorEastAsia" w:eastAsiaTheme="majorEastAsia"/>
          <w:b/>
          <w:color w:val="376092" w:themeColor="accent1" w:themeShade="BF"/>
          <w:spacing w:val="8"/>
          <w:kern w:val="0"/>
          <w:sz w:val="28"/>
          <w:szCs w:val="28"/>
          <w:lang w:eastAsia="zh-CN"/>
        </w:rPr>
        <w:t>一、</w:t>
      </w:r>
      <w:r>
        <w:rPr>
          <w:rFonts w:hint="eastAsia" w:cs="宋体" w:asciiTheme="majorEastAsia" w:hAnsiTheme="majorEastAsia" w:eastAsiaTheme="majorEastAsia"/>
          <w:b/>
          <w:color w:val="376092" w:themeColor="accent1" w:themeShade="BF"/>
          <w:spacing w:val="8"/>
          <w:kern w:val="0"/>
          <w:sz w:val="28"/>
          <w:szCs w:val="28"/>
        </w:rPr>
        <w:t>2022年新增门店将超900家！健之佳向全国性连锁迈进</w:t>
      </w:r>
    </w:p>
    <w:p>
      <w:pPr>
        <w:ind w:firstLine="420" w:firstLineChars="200"/>
        <w:jc w:val="left"/>
        <w:rPr>
          <w:rFonts w:hint="eastAsia"/>
        </w:rPr>
      </w:pPr>
    </w:p>
    <w:p>
      <w:pPr>
        <w:jc w:val="left"/>
        <w:rPr>
          <w:rFonts w:hint="eastAsia" w:eastAsiaTheme="minorEastAsia"/>
          <w:lang w:eastAsia="zh-CN"/>
        </w:rPr>
      </w:pPr>
      <w:r>
        <w:rPr>
          <w:rFonts w:hint="eastAsia"/>
        </w:rPr>
        <w:t xml:space="preserve">第一药店财智 2022-04-07   </w:t>
      </w:r>
    </w:p>
    <w:p>
      <w:pPr>
        <w:ind w:firstLine="680" w:firstLineChars="200"/>
        <w:jc w:val="left"/>
        <w:rPr>
          <w:rStyle w:val="16"/>
          <w:rFonts w:ascii="微软雅黑" w:hAnsi="微软雅黑" w:eastAsia="微软雅黑" w:cs="微软雅黑"/>
          <w:b w:val="0"/>
          <w:i w:val="0"/>
          <w:iCs/>
          <w:caps w:val="0"/>
          <w:color w:val="3C3C3C"/>
          <w:spacing w:val="30"/>
          <w:sz w:val="28"/>
          <w:szCs w:val="28"/>
        </w:rPr>
      </w:pPr>
    </w:p>
    <w:p>
      <w:pPr>
        <w:ind w:firstLine="680" w:firstLineChars="200"/>
        <w:jc w:val="left"/>
        <w:rPr>
          <w:rStyle w:val="16"/>
          <w:rFonts w:ascii="微软雅黑" w:hAnsi="微软雅黑" w:eastAsia="微软雅黑" w:cs="微软雅黑"/>
          <w:b w:val="0"/>
          <w:i w:val="0"/>
          <w:iCs/>
          <w:caps w:val="0"/>
          <w:color w:val="3C3C3C"/>
          <w:spacing w:val="30"/>
          <w:sz w:val="28"/>
          <w:szCs w:val="28"/>
        </w:rPr>
      </w:pPr>
      <w:r>
        <w:rPr>
          <w:rStyle w:val="16"/>
          <w:rFonts w:ascii="微软雅黑" w:hAnsi="微软雅黑" w:eastAsia="微软雅黑" w:cs="微软雅黑"/>
          <w:b w:val="0"/>
          <w:i w:val="0"/>
          <w:iCs/>
          <w:caps w:val="0"/>
          <w:color w:val="3C3C3C"/>
          <w:spacing w:val="30"/>
          <w:sz w:val="28"/>
          <w:szCs w:val="28"/>
        </w:rPr>
        <w:t>4月6日，健之佳发布投资者关系活动记录表，公告显示，健之佳预计2022年新开门店将不低于900家。</w:t>
      </w:r>
    </w:p>
    <w:p>
      <w:pPr>
        <w:ind w:firstLine="680" w:firstLineChars="200"/>
        <w:jc w:val="left"/>
        <w:rPr>
          <w:rStyle w:val="16"/>
          <w:rFonts w:hint="eastAsia" w:ascii="微软雅黑" w:hAnsi="微软雅黑" w:eastAsia="微软雅黑" w:cs="微软雅黑"/>
          <w:b w:val="0"/>
          <w:i w:val="0"/>
          <w:iCs/>
          <w:caps w:val="0"/>
          <w:color w:val="3C3C3C"/>
          <w:spacing w:val="30"/>
          <w:sz w:val="28"/>
          <w:szCs w:val="28"/>
        </w:rPr>
      </w:pP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01 华南、华东、华中...</w:t>
      </w: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向全国性连锁药店巨头迈进</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目前，健之佳的商业版图主要集中在云南、四川、广西、重庆等西南市场；今年2月底，健之佳发布公告指出将收购唐人医80%-100%股权，这也成为其从区域龙头转变为全国性连锁药店企业迈出的第一步。</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 xml:space="preserve">健之佳表示，公司“立足云南、深耕西南、 向全国拓展”的扩张策略进一步确立，初步具备由西南区域向 全国跨区域经营和扩张的基础。 </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在本次投资者关系活动记录表中，健之佳便展现了未来的勃勃雄心。</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公告指出，未来健之佳除已进入的成渝地区外，还将以京津冀为核心的环渤海湾地区、以大湾区为核心的华南地区、以江浙沪为核心的华东地区，以及长江沿岸城市为核心的华中地区，作为公司从 西南区域向全国拓展的重点目标区域。可见，健之佳正向全国性连锁巨头全面迈进。</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对于收购门店数量，2022年，健之佳初步计划新增门店不低于2021年的900家， 尤其加大收购门店的占比，通过收购迅速进入空白地区、薄弱 地区及政策受限地区，缩短培育期。</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对于新进省区，健之佳会考虑以收购在当地有品牌影响力的门店，达到快速进入的目的，并以此为基础稳定员工队伍，通过人效 提升、优势商品导入、全渠道及专业化赋能，加快拓展。</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此外，健之佳对于收购对象要求经营稳健、管理规范、合规， 客群、经营定位与公司相近，风险可控，确保公司收购后快速 实现有效整合，并能够在原有基础上通过收购+自建的扩张，快速提升市场占有率和品牌影响力。</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在收购整合模式上， 健之佳主要是两种方式，一种是收购后证照、装修、药品品类等按公 司模式立即调整，一种是保留原来门店的经营模式逐步调整。 对于大部分中小收购项目的整合，健之佳采取第一种方式，在保证原有团队稳定的前提下，迅速切换为健之佳的管理模式，短期 可能会导致利润下滑，但整合完成后能迅速提升营业。对于大型项目，拟采用较为稳妥的第二种方式。</w:t>
      </w:r>
    </w:p>
    <w:p>
      <w:pPr>
        <w:keepNext w:val="0"/>
        <w:keepLines w:val="0"/>
        <w:pageBreakBefore w:val="0"/>
        <w:widowControl w:val="0"/>
        <w:kinsoku/>
        <w:wordWrap/>
        <w:overflowPunct/>
        <w:topLinePunct w:val="0"/>
        <w:autoSpaceDE/>
        <w:autoSpaceDN/>
        <w:bidi w:val="0"/>
        <w:adjustRightInd/>
        <w:snapToGrid/>
        <w:ind w:firstLine="620" w:firstLineChars="200"/>
        <w:jc w:val="both"/>
        <w:textAlignment w:val="auto"/>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健之佳表示，在扩张过程中将深耕市场，并在此市场做到足够有优势、形成一定影响力后序渐进进入下一市场，逐步实现全国扩张。</w:t>
      </w:r>
    </w:p>
    <w:p>
      <w:pPr>
        <w:jc w:val="center"/>
        <w:rPr>
          <w:rStyle w:val="14"/>
          <w:rFonts w:cs="Helvetica" w:asciiTheme="minorEastAsia" w:hAnsiTheme="minorEastAsia"/>
          <w:spacing w:val="15"/>
          <w:sz w:val="28"/>
          <w:szCs w:val="28"/>
        </w:rPr>
      </w:pPr>
      <w:r>
        <w:rPr>
          <w:rStyle w:val="14"/>
          <w:rFonts w:hint="eastAsia" w:cs="Helvetica" w:asciiTheme="minorEastAsia" w:hAnsiTheme="minorEastAsia"/>
          <w:spacing w:val="15"/>
          <w:sz w:val="28"/>
          <w:szCs w:val="28"/>
        </w:rPr>
        <w:t>02 “自建+收购”节奏加快</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回溯历史，健之佳于 2004 年走出昆明进入云南省地州、县级市场，2006 年-2008 年陆续进入四川、重庆、广西市场，经过多年的经营， 已在西南地区形成品牌影响力。</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上市前，健之佳资金实力较弱，年均门店扩张速度为 15%- 16%。2020 年12月上市后，资金得到一定的补充，以自建、收购双轮驱动的方式加速规模的扩张，门店扩张速度提升至2020年的21%、2021年的约40%。 商业版图扩张明显提速。</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据2021三季报披露，健之佳自建门店速度超预期，云南县区渗透率持续提升。</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1-9月公司新增门店590家，其中自建418家；收购172家（云南省7个，广西自治区1个）。2021年7-9月新增门店282家，其中自建门店188家，收购94家。12月完成对普洱佰草堂优选医药公司100%股权的收购，进一步加强云南县级区域的密集布点。通过一系列收购，公司旨在实现缩短实现盈利的周期，提升空白、薄弱市场的竞争力和品牌影响力的目的。</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此外，健之佳于2021年12月24日通过《关于使用募集资金分别对四家全资子公司进行增资的议案》。宣布四家全资医药零售连锁子公司——云南健之佳连锁健康药房有限公司、绵阳健之佳药店连锁有限责任公司、成都市好药师广生堂大药房连锁有限公司、广西健之佳药店连锁有限公司，为公司首次公开发行股票募投项目中“新开门店建设项目”实施主体。通过对上述四家全资子公司增资事宜，进一步拓展西南药品零售市场。</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健之佳在营收上也保持着较快的增速，健之佳前三季度实现收入36.67亿元，同比增长15.07%；实现归母净利润1.96亿元，同比增长14.73%；扣非归母净利润1.87亿元，同比增长19.28%。其中，第三季度公司通过加强品类规划，积极承接处方外流，通过老店和次新店的内生增长和销售网络扩张，营收和归母净利润分别实现增速19.45%和23.2%，业绩表现亮眼。</w:t>
      </w:r>
    </w:p>
    <w:p>
      <w:pPr>
        <w:ind w:firstLine="620" w:firstLineChars="200"/>
        <w:jc w:val="left"/>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b w:val="0"/>
          <w:spacing w:val="15"/>
          <w:sz w:val="28"/>
          <w:szCs w:val="28"/>
        </w:rPr>
        <w:t>在线上线下营销渠道建设方面，健之佳表现同样突出。2021年1-9月,公司自营平台营业收入达1.95亿元，较上年同期增长104.07%；第三方电商平台及第三方平台O2O营业收入达3.64亿元，较上年同期增长126.79%；线上渠道营业收入总计达5.6亿元，较上年同期增长118.30%，增速远高于门店线下销售增长率，占营业收入的比例达15.26%，线下线上全渠道业务稳健增长。</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未来随着“自建+收购”双轮驱动战略的不断深入，健之佳管理效率和效益将进一步提高，业绩迎来快速成长期。</w:t>
      </w:r>
    </w:p>
    <w:p>
      <w:pPr>
        <w:jc w:val="left"/>
        <w:rPr>
          <w:rStyle w:val="14"/>
          <w:rFonts w:hint="eastAsia" w:cs="Helvetica" w:asciiTheme="minorEastAsia" w:hAnsiTheme="minorEastAsia"/>
          <w:b w:val="0"/>
          <w:spacing w:val="15"/>
          <w:sz w:val="28"/>
          <w:szCs w:val="28"/>
        </w:rPr>
      </w:pPr>
    </w:p>
    <w:p>
      <w:pPr>
        <w:rPr>
          <w:rFonts w:hint="eastAsia" w:cs="宋体" w:asciiTheme="majorEastAsia" w:hAnsiTheme="majorEastAsia" w:eastAsiaTheme="majorEastAsia"/>
          <w:b/>
          <w:color w:val="376092" w:themeColor="accent1" w:themeShade="BF"/>
          <w:spacing w:val="8"/>
          <w:kern w:val="0"/>
          <w:sz w:val="28"/>
          <w:szCs w:val="28"/>
          <w:lang w:val="en-US" w:eastAsia="zh-CN"/>
        </w:rPr>
      </w:pPr>
      <w:r>
        <w:rPr>
          <w:rFonts w:hint="eastAsia" w:cs="宋体" w:asciiTheme="majorEastAsia" w:hAnsiTheme="majorEastAsia" w:eastAsiaTheme="majorEastAsia"/>
          <w:b/>
          <w:color w:val="376092" w:themeColor="accent1" w:themeShade="BF"/>
          <w:spacing w:val="8"/>
          <w:kern w:val="0"/>
          <w:sz w:val="28"/>
          <w:szCs w:val="28"/>
          <w:lang w:val="en-US" w:eastAsia="zh-CN"/>
        </w:rPr>
        <w:t>二、独家丨老百姓又有新布局</w:t>
      </w:r>
    </w:p>
    <w:p>
      <w:pPr>
        <w:jc w:val="left"/>
        <w:rPr>
          <w:rFonts w:hint="eastAsia"/>
        </w:rPr>
      </w:pPr>
    </w:p>
    <w:p>
      <w:pPr>
        <w:jc w:val="left"/>
        <w:rPr>
          <w:rFonts w:hint="eastAsia"/>
        </w:rPr>
      </w:pPr>
      <w:r>
        <w:rPr>
          <w:rFonts w:hint="eastAsia"/>
        </w:rPr>
        <w:t>小天 </w:t>
      </w:r>
      <w:r>
        <w:rPr>
          <w:rFonts w:hint="eastAsia"/>
        </w:rPr>
        <w:fldChar w:fldCharType="begin"/>
      </w:r>
      <w:r>
        <w:rPr>
          <w:rFonts w:hint="eastAsia"/>
        </w:rPr>
        <w:instrText xml:space="preserve"> HYPERLINK "javascript:void(0);" </w:instrText>
      </w:r>
      <w:r>
        <w:rPr>
          <w:rFonts w:hint="eastAsia"/>
        </w:rPr>
        <w:fldChar w:fldCharType="separate"/>
      </w:r>
      <w:r>
        <w:rPr>
          <w:rFonts w:hint="eastAsia"/>
        </w:rPr>
        <w:t>第一药店财智</w:t>
      </w:r>
      <w:r>
        <w:rPr>
          <w:rFonts w:hint="eastAsia"/>
        </w:rPr>
        <w:fldChar w:fldCharType="end"/>
      </w:r>
      <w:r>
        <w:rPr>
          <w:rFonts w:hint="eastAsia"/>
        </w:rPr>
        <w:t> 2022-04-01</w:t>
      </w:r>
    </w:p>
    <w:p>
      <w:pPr>
        <w:jc w:val="left"/>
        <w:rPr>
          <w:rFonts w:hint="eastAsia"/>
        </w:rPr>
      </w:pPr>
    </w:p>
    <w:p>
      <w:pPr>
        <w:jc w:val="left"/>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firstLine="0"/>
        <w:jc w:val="both"/>
        <w:rPr>
          <w:rFonts w:ascii="微软雅黑" w:hAnsi="微软雅黑" w:eastAsia="微软雅黑" w:cs="微软雅黑"/>
          <w:i w:val="0"/>
          <w:iCs w:val="0"/>
          <w:caps w:val="0"/>
          <w:color w:val="3C3C3C"/>
          <w:spacing w:val="30"/>
          <w:sz w:val="24"/>
          <w:szCs w:val="24"/>
        </w:rPr>
      </w:pPr>
      <w:r>
        <w:rPr>
          <w:rStyle w:val="16"/>
          <w:rFonts w:hint="eastAsia" w:ascii="微软雅黑" w:hAnsi="微软雅黑" w:eastAsia="微软雅黑" w:cs="微软雅黑"/>
          <w:i/>
          <w:iCs/>
          <w:caps w:val="0"/>
          <w:color w:val="3C3C3C"/>
          <w:spacing w:val="30"/>
          <w:sz w:val="22"/>
          <w:szCs w:val="22"/>
        </w:rPr>
        <w:t>头部连锁加快智慧药店建设，对于单体药店及中小型连锁药店来说，无疑是一次挑战。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both"/>
        <w:rPr>
          <w:rFonts w:ascii="微软雅黑" w:hAnsi="微软雅黑" w:eastAsia="微软雅黑" w:cs="微软雅黑"/>
          <w:i w:val="0"/>
          <w:iCs w:val="0"/>
          <w:caps w:val="0"/>
          <w:color w:val="222222"/>
          <w:spacing w:val="8"/>
          <w:sz w:val="25"/>
          <w:szCs w:val="25"/>
        </w:rPr>
      </w:pPr>
      <w:r>
        <w:rPr>
          <w:rFonts w:hint="eastAsia" w:ascii="微软雅黑" w:hAnsi="微软雅黑" w:eastAsia="微软雅黑" w:cs="微软雅黑"/>
          <w:b/>
          <w:bCs/>
          <w:i w:val="0"/>
          <w:iCs w:val="0"/>
          <w:caps w:val="0"/>
          <w:color w:val="CD0202"/>
          <w:spacing w:val="8"/>
          <w:sz w:val="60"/>
          <w:szCs w:val="60"/>
          <w:shd w:val="clear" w:fill="FFFFFF"/>
        </w:rPr>
        <w:t>01 </w:t>
      </w:r>
      <w:r>
        <w:rPr>
          <w:rStyle w:val="14"/>
          <w:rFonts w:hint="eastAsia" w:ascii="宋体" w:hAnsi="宋体" w:eastAsia="宋体" w:cs="宋体"/>
          <w:i w:val="0"/>
          <w:iCs w:val="0"/>
          <w:caps w:val="0"/>
          <w:color w:val="222222"/>
          <w:spacing w:val="30"/>
          <w:sz w:val="28"/>
          <w:szCs w:val="28"/>
          <w:shd w:val="clear" w:fill="FFFFFF"/>
        </w:rPr>
        <w:t>24小时智慧药房老百姓健康药房上线</w:t>
      </w:r>
    </w:p>
    <w:p>
      <w:pPr>
        <w:ind w:firstLine="680" w:firstLineChars="200"/>
        <w:jc w:val="left"/>
        <w:rPr>
          <w:rFonts w:ascii="宋体" w:hAnsi="宋体" w:eastAsia="宋体" w:cs="宋体"/>
          <w:spacing w:val="30"/>
          <w:sz w:val="22"/>
          <w:szCs w:val="22"/>
        </w:rPr>
      </w:pPr>
      <w:r>
        <w:rPr>
          <w:rFonts w:ascii="宋体" w:hAnsi="宋体" w:eastAsia="宋体" w:cs="宋体"/>
          <w:spacing w:val="30"/>
          <w:sz w:val="28"/>
          <w:szCs w:val="28"/>
        </w:rPr>
        <w:t>近日，老百姓智慧药房浙江杭州西湖文三街店正式运营。</w:t>
      </w:r>
    </w:p>
    <w:p>
      <w:pPr>
        <w:jc w:val="left"/>
        <w:rPr>
          <w:rFonts w:hint="eastAsia" w:ascii="宋体" w:hAnsi="宋体" w:eastAsia="宋体" w:cs="宋体"/>
          <w:spacing w:val="30"/>
          <w:sz w:val="22"/>
          <w:szCs w:val="22"/>
          <w:lang w:eastAsia="zh-CN"/>
        </w:rPr>
      </w:pPr>
      <w:r>
        <w:rPr>
          <w:rFonts w:hint="eastAsia" w:ascii="宋体" w:hAnsi="宋体" w:eastAsia="宋体" w:cs="宋体"/>
          <w:spacing w:val="30"/>
          <w:sz w:val="22"/>
          <w:szCs w:val="22"/>
          <w:lang w:eastAsia="zh-CN"/>
        </w:rPr>
        <w:drawing>
          <wp:inline distT="0" distB="0" distL="114300" distR="114300">
            <wp:extent cx="5266690" cy="3974465"/>
            <wp:effectExtent l="0" t="0" r="10160" b="6985"/>
            <wp:docPr id="10" name="图片 10" descr="18eeab2b87c73d360de6f154de02e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eeab2b87c73d360de6f154de02eaad"/>
                    <pic:cNvPicPr>
                      <a:picLocks noChangeAspect="1"/>
                    </pic:cNvPicPr>
                  </pic:nvPicPr>
                  <pic:blipFill>
                    <a:blip r:embed="rId10"/>
                    <a:stretch>
                      <a:fillRect/>
                    </a:stretch>
                  </pic:blipFill>
                  <pic:spPr>
                    <a:xfrm>
                      <a:off x="0" y="0"/>
                      <a:ext cx="5266690" cy="3974465"/>
                    </a:xfrm>
                    <a:prstGeom prst="rect">
                      <a:avLst/>
                    </a:prstGeom>
                  </pic:spPr>
                </pic:pic>
              </a:graphicData>
            </a:graphic>
          </wp:inline>
        </w:drawing>
      </w:r>
    </w:p>
    <w:p>
      <w:pPr>
        <w:ind w:firstLine="680" w:firstLineChars="200"/>
        <w:jc w:val="left"/>
        <w:rPr>
          <w:rFonts w:ascii="宋体" w:hAnsi="宋体" w:eastAsia="宋体" w:cs="宋体"/>
          <w:spacing w:val="30"/>
          <w:sz w:val="22"/>
          <w:szCs w:val="22"/>
        </w:rPr>
      </w:pPr>
      <w:r>
        <w:rPr>
          <w:rFonts w:ascii="宋体" w:hAnsi="宋体" w:eastAsia="宋体" w:cs="宋体"/>
          <w:spacing w:val="30"/>
          <w:sz w:val="28"/>
          <w:szCs w:val="28"/>
        </w:rPr>
        <w:t>据悉，该药房是杭州首家24小时智慧药房，目前处于试点运营阶段，店内销售包括常用药、处方药和医疗器械在内的2000余种产品，基本满足市民日常用药及慢病用药需求。</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pacing w:val="30"/>
          <w:sz w:val="28"/>
          <w:szCs w:val="28"/>
        </w:rPr>
        <w:t>“这是首家由浙江省药监推动的智慧药房项目正式落地。”老百姓健康药房方面表示，24小时智慧药房项目是浙江省药监局推出的一项药品新零售业态培育试点项目，采用UGOHOUS白+黑方案核心技术和AI一体化模式，具有动态采集、精确识别、防尾随、防盗、健康监测等功能，充分强化“无人”特点。</w:t>
      </w:r>
    </w:p>
    <w:p>
      <w:pPr>
        <w:jc w:val="left"/>
        <w:rPr>
          <w:rFonts w:hint="eastAsia" w:ascii="宋体" w:hAnsi="宋体" w:eastAsia="宋体" w:cs="宋体"/>
          <w:spacing w:val="30"/>
          <w:sz w:val="22"/>
          <w:szCs w:val="22"/>
          <w:lang w:val="en-US" w:eastAsia="zh-CN"/>
        </w:rPr>
      </w:pPr>
      <w:r>
        <w:rPr>
          <w:rFonts w:hint="eastAsia" w:ascii="宋体" w:hAnsi="宋体" w:eastAsia="宋体" w:cs="宋体"/>
          <w:spacing w:val="30"/>
          <w:sz w:val="22"/>
          <w:szCs w:val="22"/>
          <w:lang w:eastAsia="zh-CN"/>
        </w:rPr>
        <w:drawing>
          <wp:inline distT="0" distB="0" distL="114300" distR="114300">
            <wp:extent cx="2339975" cy="3121025"/>
            <wp:effectExtent l="0" t="0" r="3175" b="3175"/>
            <wp:docPr id="11" name="图片 11" descr="206464470211fa69cc5eb94e042e9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6464470211fa69cc5eb94e042e99f1"/>
                    <pic:cNvPicPr>
                      <a:picLocks noChangeAspect="1"/>
                    </pic:cNvPicPr>
                  </pic:nvPicPr>
                  <pic:blipFill>
                    <a:blip r:embed="rId11"/>
                    <a:stretch>
                      <a:fillRect/>
                    </a:stretch>
                  </pic:blipFill>
                  <pic:spPr>
                    <a:xfrm>
                      <a:off x="0" y="0"/>
                      <a:ext cx="2339975" cy="3121025"/>
                    </a:xfrm>
                    <a:prstGeom prst="rect">
                      <a:avLst/>
                    </a:prstGeom>
                  </pic:spPr>
                </pic:pic>
              </a:graphicData>
            </a:graphic>
          </wp:inline>
        </w:drawing>
      </w:r>
      <w:r>
        <w:rPr>
          <w:rFonts w:hint="eastAsia" w:ascii="宋体" w:hAnsi="宋体" w:eastAsia="宋体" w:cs="宋体"/>
          <w:spacing w:val="30"/>
          <w:sz w:val="22"/>
          <w:szCs w:val="22"/>
          <w:lang w:eastAsia="zh-CN"/>
        </w:rPr>
        <w:drawing>
          <wp:inline distT="0" distB="0" distL="114300" distR="114300">
            <wp:extent cx="2344420" cy="3128010"/>
            <wp:effectExtent l="0" t="0" r="17780" b="15240"/>
            <wp:docPr id="5" name="图片 5" descr="ea51d4ac041088c4c4a924647800f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51d4ac041088c4c4a924647800f2dd"/>
                    <pic:cNvPicPr>
                      <a:picLocks noChangeAspect="1"/>
                    </pic:cNvPicPr>
                  </pic:nvPicPr>
                  <pic:blipFill>
                    <a:blip r:embed="rId12"/>
                    <a:stretch>
                      <a:fillRect/>
                    </a:stretch>
                  </pic:blipFill>
                  <pic:spPr>
                    <a:xfrm>
                      <a:off x="0" y="0"/>
                      <a:ext cx="2344420" cy="3128010"/>
                    </a:xfrm>
                    <a:prstGeom prst="rect">
                      <a:avLst/>
                    </a:prstGeom>
                  </pic:spPr>
                </pic:pic>
              </a:graphicData>
            </a:graphic>
          </wp:inline>
        </w:drawing>
      </w:r>
      <w:r>
        <w:rPr>
          <w:rFonts w:hint="eastAsia" w:ascii="宋体" w:hAnsi="宋体" w:eastAsia="宋体" w:cs="宋体"/>
          <w:spacing w:val="30"/>
          <w:sz w:val="22"/>
          <w:szCs w:val="22"/>
          <w:lang w:val="en-US" w:eastAsia="zh-CN"/>
        </w:rPr>
        <w:t xml:space="preserve"> </w:t>
      </w:r>
    </w:p>
    <w:p>
      <w:pPr>
        <w:ind w:firstLine="680" w:firstLineChars="200"/>
        <w:jc w:val="left"/>
        <w:rPr>
          <w:rFonts w:ascii="宋体" w:hAnsi="宋体" w:eastAsia="宋体" w:cs="宋体"/>
          <w:spacing w:val="30"/>
          <w:sz w:val="22"/>
          <w:szCs w:val="22"/>
        </w:rPr>
      </w:pPr>
      <w:r>
        <w:rPr>
          <w:rFonts w:ascii="宋体" w:hAnsi="宋体" w:eastAsia="宋体" w:cs="宋体"/>
          <w:spacing w:val="30"/>
          <w:sz w:val="28"/>
          <w:szCs w:val="28"/>
        </w:rPr>
        <w:t>目前，该智慧药房提供自助购药、处方购药、远程问诊购药三种应用模式，打通互联网问诊平台实现诊疗、配药一步到位，并支持微信、支付宝、医保支付方式，为消费者提供快捷、方便的结算模式。</w:t>
      </w:r>
      <w:r>
        <w:rPr>
          <w:rFonts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ascii="宋体" w:hAnsi="宋体" w:eastAsia="宋体" w:cs="宋体"/>
          <w:color w:val="0052FF"/>
          <w:spacing w:val="30"/>
          <w:sz w:val="28"/>
          <w:szCs w:val="28"/>
        </w:rPr>
        <w:t>简单来说，老百姓智慧药房是将“常规药店”和“智能化运营”相结合。因此，其销售模式并非全封闭式，而是一分为二。</w:t>
      </w:r>
      <w:r>
        <w:rPr>
          <w:rFonts w:ascii="宋体" w:hAnsi="宋体" w:eastAsia="宋体" w:cs="宋体"/>
          <w:spacing w:val="30"/>
          <w:sz w:val="28"/>
          <w:szCs w:val="28"/>
        </w:rPr>
        <w:t>处方药、甲类OTC存放在封闭柜台，不能自行购买。另一区是乙类OTC、保健食品、便利品等柜台，市民可自行选购。“该家智慧药房的面积约80平方，其中夜间可自选的无人售药区占到门店经营面积的60%以上。”老百姓健康药房方面表示。</w:t>
      </w:r>
    </w:p>
    <w:p>
      <w:pPr>
        <w:jc w:val="left"/>
        <w:rPr>
          <w:rFonts w:hint="eastAsia" w:ascii="宋体" w:hAnsi="宋体" w:eastAsia="宋体" w:cs="宋体"/>
          <w:spacing w:val="30"/>
          <w:sz w:val="22"/>
          <w:szCs w:val="22"/>
          <w:lang w:val="en-US" w:eastAsia="zh-CN"/>
        </w:rPr>
      </w:pPr>
      <w:r>
        <w:rPr>
          <w:rFonts w:hint="eastAsia" w:ascii="宋体" w:hAnsi="宋体" w:eastAsia="宋体" w:cs="宋体"/>
          <w:spacing w:val="30"/>
          <w:sz w:val="22"/>
          <w:szCs w:val="22"/>
          <w:lang w:val="en-US" w:eastAsia="zh-CN"/>
        </w:rPr>
        <w:drawing>
          <wp:inline distT="0" distB="0" distL="114300" distR="114300">
            <wp:extent cx="5273040" cy="2419985"/>
            <wp:effectExtent l="0" t="0" r="3810" b="18415"/>
            <wp:docPr id="12" name="图片 12" descr="20e990745eec4aea3420a4361c39a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e990745eec4aea3420a4361c39a234"/>
                    <pic:cNvPicPr>
                      <a:picLocks noChangeAspect="1"/>
                    </pic:cNvPicPr>
                  </pic:nvPicPr>
                  <pic:blipFill>
                    <a:blip r:embed="rId13"/>
                    <a:stretch>
                      <a:fillRect/>
                    </a:stretch>
                  </pic:blipFill>
                  <pic:spPr>
                    <a:xfrm>
                      <a:off x="0" y="0"/>
                      <a:ext cx="5273040" cy="2419985"/>
                    </a:xfrm>
                    <a:prstGeom prst="rect">
                      <a:avLst/>
                    </a:prstGeom>
                  </pic:spPr>
                </pic:pic>
              </a:graphicData>
            </a:graphic>
          </wp:inline>
        </w:drawing>
      </w:r>
    </w:p>
    <w:p>
      <w:pPr>
        <w:jc w:val="center"/>
        <w:rPr>
          <w:rFonts w:ascii="微软雅黑" w:hAnsi="微软雅黑" w:eastAsia="微软雅黑" w:cs="微软雅黑"/>
          <w:i w:val="0"/>
          <w:iCs w:val="0"/>
          <w:caps w:val="0"/>
          <w:color w:val="888888"/>
          <w:spacing w:val="8"/>
          <w:sz w:val="18"/>
          <w:szCs w:val="18"/>
          <w:shd w:val="clear" w:fill="FFFFFF"/>
        </w:rPr>
      </w:pPr>
      <w:r>
        <w:rPr>
          <w:rFonts w:ascii="微软雅黑" w:hAnsi="微软雅黑" w:eastAsia="微软雅黑" w:cs="微软雅黑"/>
          <w:i w:val="0"/>
          <w:iCs w:val="0"/>
          <w:caps w:val="0"/>
          <w:color w:val="888888"/>
          <w:spacing w:val="8"/>
          <w:sz w:val="18"/>
          <w:szCs w:val="18"/>
          <w:shd w:val="clear" w:fill="FFFFFF"/>
        </w:rPr>
        <w:t>智慧药店指示图</w:t>
      </w:r>
    </w:p>
    <w:p>
      <w:pPr>
        <w:keepNext w:val="0"/>
        <w:keepLines w:val="0"/>
        <w:widowControl/>
        <w:suppressLineNumbers w:val="0"/>
        <w:ind w:firstLine="680" w:firstLineChars="200"/>
        <w:jc w:val="left"/>
      </w:pPr>
      <w:r>
        <w:rPr>
          <w:rFonts w:ascii="宋体" w:hAnsi="宋体" w:eastAsia="宋体" w:cs="宋体"/>
          <w:spacing w:val="30"/>
          <w:kern w:val="0"/>
          <w:sz w:val="28"/>
          <w:szCs w:val="28"/>
          <w:lang w:val="en-US" w:eastAsia="zh-CN" w:bidi="ar"/>
        </w:rPr>
        <w:t>此外，该智慧药房还能通过健康码识别、体温测量、口罩监测进店等智能疫情防控手段，减少群众外出就医、购药时的交叉感染风险。 按照计划，该药房还会与美团、饿了么等O2O第三方平台对接，实现平台网络购药，即系统产生取药码推送给接单骑手，骑手在智慧药房输入取药码完成取货流程，多途径解决民众24小时购药需求，持续保障多形式供药能力。</w:t>
      </w:r>
      <w:r>
        <w:rPr>
          <w:rFonts w:ascii="宋体" w:hAnsi="宋体" w:eastAsia="宋体" w:cs="宋体"/>
          <w:kern w:val="0"/>
          <w:sz w:val="24"/>
          <w:szCs w:val="24"/>
          <w:lang w:val="en-US" w:eastAsia="zh-CN" w:bidi="ar"/>
        </w:rPr>
        <w:br w:type="textWrapping"/>
      </w:r>
      <w:r>
        <w:rPr>
          <w:rFonts w:ascii="宋体" w:hAnsi="宋体" w:eastAsia="宋体" w:cs="宋体"/>
          <w:spacing w:val="30"/>
          <w:kern w:val="0"/>
          <w:sz w:val="22"/>
          <w:szCs w:val="22"/>
          <w:lang w:val="en-US" w:eastAsia="zh-CN" w:bidi="ar"/>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both"/>
        <w:rPr>
          <w:rFonts w:hint="eastAsia" w:ascii="宋体" w:hAnsi="宋体" w:eastAsia="宋体" w:cs="宋体"/>
          <w:i w:val="0"/>
          <w:iCs w:val="0"/>
          <w:caps w:val="0"/>
          <w:color w:val="222222"/>
          <w:spacing w:val="8"/>
          <w:sz w:val="28"/>
          <w:szCs w:val="28"/>
        </w:rPr>
      </w:pPr>
      <w:r>
        <w:rPr>
          <w:rFonts w:hint="eastAsia" w:ascii="微软雅黑" w:hAnsi="微软雅黑" w:eastAsia="微软雅黑" w:cs="微软雅黑"/>
          <w:b/>
          <w:bCs/>
          <w:i w:val="0"/>
          <w:iCs w:val="0"/>
          <w:caps w:val="0"/>
          <w:color w:val="CD0202"/>
          <w:spacing w:val="8"/>
          <w:sz w:val="60"/>
          <w:szCs w:val="60"/>
          <w:shd w:val="clear" w:fill="FFFFFF"/>
        </w:rPr>
        <w:t>02 </w:t>
      </w:r>
      <w:r>
        <w:rPr>
          <w:rStyle w:val="14"/>
          <w:rFonts w:hint="eastAsia" w:ascii="宋体" w:hAnsi="宋体" w:eastAsia="宋体" w:cs="宋体"/>
          <w:i w:val="0"/>
          <w:iCs w:val="0"/>
          <w:caps w:val="0"/>
          <w:color w:val="222222"/>
          <w:spacing w:val="30"/>
          <w:sz w:val="28"/>
          <w:szCs w:val="28"/>
          <w:shd w:val="clear" w:fill="FFFFFF"/>
        </w:rPr>
        <w:t>智慧药房是大健康消费领域的重要场景</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智慧药房打破了传统药店零售模式，其不单是24小时全天候提供售药的机器，“综合性服务平台”也是一大亮点。</w:t>
      </w:r>
      <w:r>
        <w:rPr>
          <w:rFonts w:ascii="宋体" w:hAnsi="宋体" w:eastAsia="宋体" w:cs="宋体"/>
          <w:kern w:val="0"/>
          <w:sz w:val="28"/>
          <w:szCs w:val="28"/>
          <w:lang w:val="en-US" w:eastAsia="zh-CN" w:bidi="ar"/>
        </w:rPr>
        <w:br w:type="textWrapping"/>
      </w:r>
      <w:r>
        <w:rPr>
          <w:rFonts w:hint="eastAsia" w:ascii="宋体" w:hAnsi="宋体" w:eastAsia="宋体" w:cs="宋体"/>
          <w:kern w:val="0"/>
          <w:sz w:val="28"/>
          <w:szCs w:val="28"/>
          <w:lang w:val="en-US" w:eastAsia="zh-CN" w:bidi="ar"/>
        </w:rPr>
        <w:t xml:space="preserve">     </w:t>
      </w:r>
      <w:r>
        <w:rPr>
          <w:rFonts w:ascii="宋体" w:hAnsi="宋体" w:eastAsia="宋体" w:cs="宋体"/>
          <w:spacing w:val="30"/>
          <w:kern w:val="0"/>
          <w:sz w:val="28"/>
          <w:szCs w:val="28"/>
          <w:lang w:val="en-US" w:eastAsia="zh-CN" w:bidi="ar"/>
        </w:rPr>
        <w:t>也就是说，智慧药房能为患者建立电子档案，留存血压等身体健康数据，药店借助科技能进一步挖掘患者的健康需求，并延伸出更多的专业服务。 </w:t>
      </w:r>
    </w:p>
    <w:p>
      <w:pPr>
        <w:keepNext w:val="0"/>
        <w:keepLines w:val="0"/>
        <w:pageBreakBefore w:val="0"/>
        <w:widowControl/>
        <w:suppressLineNumbers w:val="0"/>
        <w:kinsoku/>
        <w:wordWrap/>
        <w:overflowPunct/>
        <w:topLinePunct w:val="0"/>
        <w:autoSpaceDE/>
        <w:autoSpaceDN/>
        <w:bidi w:val="0"/>
        <w:adjustRightInd/>
        <w:snapToGrid/>
        <w:ind w:firstLine="682" w:firstLineChars="200"/>
        <w:jc w:val="left"/>
        <w:textAlignment w:val="auto"/>
        <w:rPr>
          <w:rStyle w:val="14"/>
          <w:rFonts w:ascii="宋体" w:hAnsi="宋体" w:eastAsia="宋体" w:cs="宋体"/>
          <w:spacing w:val="30"/>
          <w:kern w:val="0"/>
          <w:sz w:val="28"/>
          <w:szCs w:val="28"/>
          <w:lang w:val="en-US" w:eastAsia="zh-CN" w:bidi="ar"/>
        </w:rPr>
      </w:pPr>
      <w:r>
        <w:rPr>
          <w:rStyle w:val="14"/>
          <w:rFonts w:ascii="宋体" w:hAnsi="宋体" w:eastAsia="宋体" w:cs="宋体"/>
          <w:spacing w:val="30"/>
          <w:kern w:val="0"/>
          <w:sz w:val="28"/>
          <w:szCs w:val="28"/>
          <w:lang w:val="en-US" w:eastAsia="zh-CN" w:bidi="ar"/>
        </w:rPr>
        <w:t>因此，不少头部连锁早早关注并落地运营智慧药店项目。</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3月8日，海王星辰首家智慧药房正式落地杭州。该智慧药房将提供集远程用药咨询、自助购药、快捷配送于一体的一站式服务，在与阿斯利康深度合作下，海王星辰智慧药房有望打通诊断与零售之间的断层。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据介绍，该智慧药房通过提供慢病管理增值服务、智慧O2O创新服务，以及针对肿瘤患者的新特药个性化服务等，充分发挥零售药店在医疗体系中疾病管理服务优势，让患者在家门口就能享受到高品质、专业化的疾病与健康管理服务。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大参林很早就尝试零售药房与互联网的结合，其打造了150平方米的智慧药房，集24小时自助销售、远程问诊、处方扫描留存、健康检测、药品追溯、智能补货、医保卡支付等功能为一体的软硬件智能化体验。通过数字化医疗服务平台与医药零售系统的连通，从单一的药品销售到精细化管理转型成为为顾客提供多元化智能服务的健康保障中心。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一心堂早在2021年6月与智云健康签署战略合作，推动药店向数字化的“智慧药房”转型升级。围绕药店“服务、交易、管理”三大经营环节，智云健康将借助旗下智云药店SaaS系统，为一心堂提供整体性的“工具+运营+服务”解决方案，在构建慢病患者购药全流程服务闭环、提升患者购药便捷度的同时，有效提升一心堂线上线下全渠道销售能力，搭建药店全新慢病管理模式，并最终打造专业药房智慧生态的“新标杆”。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此外，还有多家连锁探索智慧药房，例如高济智慧药房、中联大药房智慧药房、漱玉平民智慧药房、益丰数字化智慧药房等等，这些模式虽未全面铺开，却从未停止探索。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地方部门也多次发文力推智慧药房。特别是浙江省药监局大力推行，在2月16日发布2022年药监工作重点，要求浙江全省推进智慧药房的建设。</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color w:val="0052FF"/>
          <w:spacing w:val="30"/>
          <w:kern w:val="0"/>
          <w:sz w:val="28"/>
          <w:szCs w:val="28"/>
          <w:lang w:val="en-US" w:eastAsia="zh-CN" w:bidi="ar"/>
        </w:rPr>
        <w:t>可以说，医药医疗服务走向真正意义的智能化，智慧药房或成为大健康消费领域的重要场景之一。</w:t>
      </w:r>
      <w:r>
        <w:rPr>
          <w:rFonts w:ascii="宋体" w:hAnsi="宋体" w:eastAsia="宋体" w:cs="宋体"/>
          <w:spacing w:val="30"/>
          <w:kern w:val="0"/>
          <w:sz w:val="28"/>
          <w:szCs w:val="28"/>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老百姓健康药房相关负责人表示，当前“智能化+药品零售”的发展进入新的阶段。传统药店要实现智能化运作，对企业的资金、人才、理念都有新的要求，这并非每个企业都能满足，因此当具有实力的连锁药店纷纷进军智能化运营，对于单体药店及中小型连锁药店来说，无疑是一次巨大挑战。 </w:t>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ascii="宋体" w:hAnsi="宋体" w:eastAsia="宋体" w:cs="宋体"/>
          <w:spacing w:val="30"/>
          <w:kern w:val="0"/>
          <w:sz w:val="28"/>
          <w:szCs w:val="28"/>
          <w:lang w:val="en-US" w:eastAsia="zh-CN" w:bidi="ar"/>
        </w:rPr>
      </w:pPr>
      <w:r>
        <w:rPr>
          <w:rFonts w:ascii="宋体" w:hAnsi="宋体" w:eastAsia="宋体" w:cs="宋体"/>
          <w:spacing w:val="30"/>
          <w:kern w:val="0"/>
          <w:sz w:val="28"/>
          <w:szCs w:val="28"/>
          <w:lang w:val="en-US" w:eastAsia="zh-CN" w:bidi="ar"/>
        </w:rPr>
        <w:t>业内认为，智慧药房这一新兴销售模式，重构了药店与消费者的关系，为群众提供便捷、全面、专业的医疗服务，最终解决消费者个性化、多样化的健康需求，并构建起与用户之间的黏性关系。在后疫情时代及政策的推动下，智慧药房或将成为全国的趋势。</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ascii="宋体" w:hAnsi="宋体" w:eastAsia="宋体" w:cs="宋体"/>
          <w:spacing w:val="3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ascii="宋体" w:hAnsi="宋体" w:eastAsia="宋体" w:cs="宋体"/>
          <w:spacing w:val="30"/>
          <w:kern w:val="0"/>
          <w:sz w:val="28"/>
          <w:szCs w:val="28"/>
          <w:lang w:val="en-US" w:eastAsia="zh-CN" w:bidi="ar"/>
        </w:rPr>
      </w:pPr>
    </w:p>
    <w:p>
      <w:pPr>
        <w:rPr>
          <w:rFonts w:hint="eastAsia" w:cs="宋体" w:asciiTheme="majorEastAsia" w:hAnsiTheme="majorEastAsia" w:eastAsiaTheme="majorEastAsia"/>
          <w:b/>
          <w:color w:val="376092" w:themeColor="accent1" w:themeShade="BF"/>
          <w:spacing w:val="8"/>
          <w:kern w:val="0"/>
          <w:sz w:val="28"/>
          <w:szCs w:val="28"/>
          <w:lang w:val="en-US" w:eastAsia="zh-CN"/>
        </w:rPr>
      </w:pPr>
      <w:r>
        <w:rPr>
          <w:rFonts w:hint="eastAsia" w:cs="宋体" w:asciiTheme="majorEastAsia" w:hAnsiTheme="majorEastAsia" w:eastAsiaTheme="majorEastAsia"/>
          <w:b/>
          <w:color w:val="376092" w:themeColor="accent1" w:themeShade="BF"/>
          <w:spacing w:val="8"/>
          <w:kern w:val="0"/>
          <w:sz w:val="28"/>
          <w:szCs w:val="28"/>
          <w:lang w:val="en-US" w:eastAsia="zh-CN"/>
        </w:rPr>
        <w:t>三、2021年一心堂财报解读：扩张稳步推进，药妆、O2O等多元业态齐发力</w:t>
      </w:r>
    </w:p>
    <w:p>
      <w:pPr>
        <w:jc w:val="left"/>
        <w:rPr>
          <w:rFonts w:hint="eastAsia"/>
        </w:rPr>
      </w:pPr>
    </w:p>
    <w:p>
      <w:pPr>
        <w:jc w:val="left"/>
        <w:rPr>
          <w:rFonts w:hint="eastAsia"/>
        </w:rPr>
      </w:pPr>
      <w:r>
        <w:rPr>
          <w:rFonts w:hint="eastAsia"/>
        </w:rPr>
        <w:t>原创 天河小梅西 </w:t>
      </w:r>
      <w:r>
        <w:rPr>
          <w:rFonts w:hint="eastAsia"/>
        </w:rPr>
        <w:fldChar w:fldCharType="begin"/>
      </w:r>
      <w:r>
        <w:rPr>
          <w:rFonts w:hint="eastAsia"/>
        </w:rPr>
        <w:instrText xml:space="preserve"> HYPERLINK "javascript:void(0);" </w:instrText>
      </w:r>
      <w:r>
        <w:rPr>
          <w:rFonts w:hint="eastAsia"/>
        </w:rPr>
        <w:fldChar w:fldCharType="separate"/>
      </w:r>
      <w:r>
        <w:rPr>
          <w:rFonts w:hint="eastAsia"/>
        </w:rPr>
        <w:t>新康界</w:t>
      </w:r>
      <w:r>
        <w:rPr>
          <w:rFonts w:hint="eastAsia"/>
        </w:rPr>
        <w:fldChar w:fldCharType="end"/>
      </w:r>
      <w:r>
        <w:rPr>
          <w:rFonts w:hint="eastAsia"/>
        </w:rPr>
        <w:t> 2022-04-12</w:t>
      </w:r>
    </w:p>
    <w:p>
      <w:pPr>
        <w:jc w:val="left"/>
        <w:rPr>
          <w:rFonts w:hint="eastAsia"/>
        </w:rPr>
      </w:pPr>
    </w:p>
    <w:p>
      <w:pPr>
        <w:jc w:val="left"/>
        <w:rPr>
          <w:rFonts w:hint="eastAsia"/>
        </w:rPr>
      </w:pP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近日，一心堂发布了2021年年报：2021年实现营收145.87亿元，同比增长15.26%,实现归母净利润9.22亿元，同比增长16.66%；实现扣非归母净利润8.99亿元，同比增长19.41%；实现经营活动现金流净额17.92亿元，同比增长73.48%。截止到2021年末，一心堂门店共有8560家，新开门店1603家，净增1355家。</w:t>
      </w: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sz w:val="24"/>
          <w:szCs w:val="24"/>
        </w:rPr>
      </w:pPr>
      <w:r>
        <w:rPr>
          <w:rFonts w:ascii="宋体" w:hAnsi="宋体" w:eastAsia="宋体" w:cs="宋体"/>
          <w:color w:val="888888"/>
          <w:spacing w:val="15"/>
          <w:sz w:val="22"/>
          <w:szCs w:val="22"/>
        </w:rPr>
        <w:t>图表1    一心堂2021年主要财务表现情况（单位：亿元）</w:t>
      </w:r>
      <w:r>
        <w:rPr>
          <w:rFonts w:ascii="宋体" w:hAnsi="宋体" w:eastAsia="宋体" w:cs="宋体"/>
          <w:sz w:val="24"/>
          <w:szCs w:val="24"/>
        </w:rPr>
        <w:drawing>
          <wp:inline distT="0" distB="0" distL="114300" distR="114300">
            <wp:extent cx="5029835" cy="2679700"/>
            <wp:effectExtent l="0" t="0" r="18415" b="635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4"/>
                    <a:stretch>
                      <a:fillRect/>
                    </a:stretch>
                  </pic:blipFill>
                  <pic:spPr>
                    <a:xfrm>
                      <a:off x="0" y="0"/>
                      <a:ext cx="5029835" cy="2679700"/>
                    </a:xfrm>
                    <a:prstGeom prst="rect">
                      <a:avLst/>
                    </a:prstGeom>
                    <a:noFill/>
                    <a:ln w="9525">
                      <a:noFill/>
                    </a:ln>
                  </pic:spPr>
                </pic:pic>
              </a:graphicData>
            </a:graphic>
          </wp:inline>
        </w:drawing>
      </w:r>
    </w:p>
    <w:p>
      <w:pPr>
        <w:jc w:val="left"/>
        <w:rPr>
          <w:rFonts w:hint="eastAsia" w:ascii="宋体" w:hAnsi="宋体" w:eastAsia="宋体" w:cs="宋体"/>
          <w:color w:val="545454"/>
          <w:spacing w:val="15"/>
          <w:sz w:val="28"/>
          <w:szCs w:val="28"/>
        </w:rPr>
      </w:pPr>
      <w:r>
        <w:rPr>
          <w:rFonts w:ascii="宋体" w:hAnsi="宋体" w:eastAsia="宋体" w:cs="宋体"/>
          <w:color w:val="888888"/>
          <w:spacing w:val="15"/>
          <w:sz w:val="19"/>
          <w:szCs w:val="19"/>
        </w:rPr>
        <w:t>资料来源：公司公告。备注：总资产和总负责大幅增加主要是2021年1月执行新的租赁准则，把所有房屋租赁合同未来享受的承租期权益按照使用权资产进行了确认。</w:t>
      </w:r>
    </w:p>
    <w:p>
      <w:pPr>
        <w:ind w:firstLine="620" w:firstLineChars="200"/>
        <w:jc w:val="left"/>
        <w:rPr>
          <w:rFonts w:hint="eastAsia" w:ascii="微软雅黑" w:hAnsi="微软雅黑" w:eastAsia="微软雅黑" w:cs="微软雅黑"/>
          <w:i w:val="0"/>
          <w:iCs w:val="0"/>
          <w:caps w:val="0"/>
          <w:color w:val="545454"/>
          <w:spacing w:val="15"/>
          <w:sz w:val="22"/>
          <w:szCs w:val="22"/>
          <w:shd w:val="clear" w:fill="FFFFFF"/>
        </w:rPr>
      </w:pPr>
      <w:r>
        <w:rPr>
          <w:rFonts w:hint="eastAsia" w:ascii="宋体" w:hAnsi="宋体" w:eastAsia="宋体" w:cs="宋体"/>
          <w:color w:val="545454"/>
          <w:spacing w:val="15"/>
          <w:sz w:val="28"/>
          <w:szCs w:val="28"/>
        </w:rPr>
        <w:t>公司主要产品包括中西成药、中药、医疗器械及计生、消毒药品等，</w:t>
      </w:r>
      <w:r>
        <w:rPr>
          <w:rFonts w:hint="eastAsia" w:ascii="宋体" w:hAnsi="宋体" w:eastAsia="宋体" w:cs="宋体"/>
          <w:i w:val="0"/>
          <w:iCs w:val="0"/>
          <w:caps w:val="0"/>
          <w:color w:val="545454"/>
          <w:spacing w:val="15"/>
          <w:sz w:val="28"/>
          <w:szCs w:val="28"/>
          <w:shd w:val="clear" w:fill="FFFFFF"/>
        </w:rPr>
        <w:t>其中中西成药贡献主要收入。</w:t>
      </w:r>
      <w:r>
        <w:rPr>
          <w:rStyle w:val="14"/>
          <w:rFonts w:hint="eastAsia" w:ascii="宋体" w:hAnsi="宋体" w:eastAsia="宋体" w:cs="宋体"/>
          <w:i w:val="0"/>
          <w:iCs w:val="0"/>
          <w:caps w:val="0"/>
          <w:color w:val="545454"/>
          <w:spacing w:val="15"/>
          <w:sz w:val="28"/>
          <w:szCs w:val="28"/>
          <w:shd w:val="clear" w:fill="FFFFFF"/>
        </w:rPr>
        <w:t>2021年中西成药收入105亿元，同比增长18.7%，占总收入72%。中药类涨幅较快，2021年收入13.6亿元，同比增长 21.2%</w:t>
      </w:r>
      <w:r>
        <w:rPr>
          <w:rFonts w:hint="eastAsia" w:ascii="宋体" w:hAnsi="宋体" w:eastAsia="宋体" w:cs="宋体"/>
          <w:i w:val="0"/>
          <w:iCs w:val="0"/>
          <w:caps w:val="0"/>
          <w:color w:val="545454"/>
          <w:spacing w:val="15"/>
          <w:sz w:val="28"/>
          <w:szCs w:val="28"/>
          <w:shd w:val="clear" w:fill="FFFFFF"/>
        </w:rPr>
        <w:t>。器械计生消毒品类2021年收入12亿元，同比下降11%。主要原因是2020年疫情爆发阶段，口罩、体温计、呼吸机等产品需求量大；2021年疫情常态化后，量价都出现下降，导致器械收入整体下降。</w:t>
      </w:r>
    </w:p>
    <w:p>
      <w:pPr>
        <w:jc w:val="center"/>
        <w:rPr>
          <w:rFonts w:ascii="宋体" w:hAnsi="宋体" w:eastAsia="宋体" w:cs="宋体"/>
          <w:sz w:val="24"/>
          <w:szCs w:val="24"/>
        </w:rPr>
      </w:pPr>
      <w:r>
        <w:rPr>
          <w:rFonts w:ascii="宋体" w:hAnsi="宋体" w:eastAsia="宋体" w:cs="宋体"/>
          <w:color w:val="888888"/>
          <w:spacing w:val="15"/>
          <w:sz w:val="22"/>
          <w:szCs w:val="22"/>
        </w:rPr>
        <w:t>图表2    一心堂2021年主营产品构成情况</w:t>
      </w:r>
      <w:r>
        <w:rPr>
          <w:rFonts w:ascii="宋体" w:hAnsi="宋体" w:eastAsia="宋体" w:cs="宋体"/>
          <w:sz w:val="24"/>
          <w:szCs w:val="24"/>
        </w:rPr>
        <w:drawing>
          <wp:inline distT="0" distB="0" distL="114300" distR="114300">
            <wp:extent cx="4105275" cy="2064385"/>
            <wp:effectExtent l="0" t="0" r="9525" b="1206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5"/>
                    <a:stretch>
                      <a:fillRect/>
                    </a:stretch>
                  </pic:blipFill>
                  <pic:spPr>
                    <a:xfrm>
                      <a:off x="0" y="0"/>
                      <a:ext cx="4105275" cy="2064385"/>
                    </a:xfrm>
                    <a:prstGeom prst="rect">
                      <a:avLst/>
                    </a:prstGeom>
                    <a:noFill/>
                    <a:ln w="9525">
                      <a:noFill/>
                    </a:ln>
                  </pic:spPr>
                </pic:pic>
              </a:graphicData>
            </a:graphic>
          </wp:inline>
        </w:drawing>
      </w:r>
    </w:p>
    <w:p>
      <w:pPr>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资料来源：公司公告、中康产业研究中心</w:t>
      </w:r>
    </w:p>
    <w:p>
      <w:pPr>
        <w:ind w:firstLine="620" w:firstLineChars="200"/>
        <w:jc w:val="left"/>
        <w:rPr>
          <w:rFonts w:ascii="宋体" w:hAnsi="宋体" w:eastAsia="宋体" w:cs="宋体"/>
          <w:color w:val="545454"/>
          <w:spacing w:val="15"/>
          <w:sz w:val="28"/>
          <w:szCs w:val="28"/>
        </w:rPr>
      </w:pPr>
      <w:r>
        <w:rPr>
          <w:rFonts w:ascii="宋体" w:hAnsi="宋体" w:eastAsia="宋体" w:cs="宋体"/>
          <w:color w:val="545454"/>
          <w:spacing w:val="15"/>
          <w:sz w:val="28"/>
          <w:szCs w:val="28"/>
        </w:rPr>
        <w:t>在医保控费药品集采降价等事件的影响下，公司毛利率有所下行，</w:t>
      </w:r>
      <w:r>
        <w:rPr>
          <w:rStyle w:val="14"/>
          <w:rFonts w:ascii="宋体" w:hAnsi="宋体" w:eastAsia="宋体" w:cs="宋体"/>
          <w:color w:val="545454"/>
          <w:spacing w:val="15"/>
          <w:sz w:val="28"/>
          <w:szCs w:val="28"/>
        </w:rPr>
        <w:t>整体毛利率从2017年的42%下滑到2021年的37%</w:t>
      </w:r>
      <w:r>
        <w:rPr>
          <w:rFonts w:ascii="宋体" w:hAnsi="宋体" w:eastAsia="宋体" w:cs="宋体"/>
          <w:color w:val="545454"/>
          <w:spacing w:val="15"/>
          <w:sz w:val="28"/>
          <w:szCs w:val="28"/>
        </w:rPr>
        <w:t>。得益于公司在中药产业链的一体化布局，公司中药毛利率较高，近5年保持在46%以上；医疗器械板块同样具有较高的毛利率水平，随着新冠抗原的获批，该板块有望成为业绩新的增长动力。</w:t>
      </w:r>
    </w:p>
    <w:p>
      <w:pPr>
        <w:jc w:val="center"/>
        <w:rPr>
          <w:rFonts w:ascii="宋体" w:hAnsi="宋体" w:eastAsia="宋体" w:cs="宋体"/>
          <w:color w:val="888888"/>
          <w:spacing w:val="15"/>
          <w:sz w:val="19"/>
          <w:szCs w:val="19"/>
        </w:rPr>
      </w:pPr>
      <w:r>
        <w:rPr>
          <w:rFonts w:ascii="宋体" w:hAnsi="宋体" w:eastAsia="宋体" w:cs="宋体"/>
          <w:color w:val="888888"/>
          <w:spacing w:val="15"/>
          <w:sz w:val="22"/>
          <w:szCs w:val="22"/>
        </w:rPr>
        <w:t>图表3    一心堂2021年主营产品毛利率情况</w:t>
      </w:r>
      <w:r>
        <w:rPr>
          <w:rFonts w:ascii="宋体" w:hAnsi="宋体" w:eastAsia="宋体" w:cs="宋体"/>
          <w:sz w:val="24"/>
          <w:szCs w:val="24"/>
        </w:rPr>
        <w:drawing>
          <wp:inline distT="0" distB="0" distL="114300" distR="114300">
            <wp:extent cx="5353050" cy="2743200"/>
            <wp:effectExtent l="0" t="0" r="0" b="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6"/>
                    <a:stretch>
                      <a:fillRect/>
                    </a:stretch>
                  </pic:blipFill>
                  <pic:spPr>
                    <a:xfrm>
                      <a:off x="0" y="0"/>
                      <a:ext cx="5353050" cy="2743200"/>
                    </a:xfrm>
                    <a:prstGeom prst="rect">
                      <a:avLst/>
                    </a:prstGeom>
                    <a:noFill/>
                    <a:ln w="9525">
                      <a:noFill/>
                    </a:ln>
                  </pic:spPr>
                </pic:pic>
              </a:graphicData>
            </a:graphic>
          </wp:inline>
        </w:drawing>
      </w:r>
      <w:r>
        <w:rPr>
          <w:rFonts w:ascii="宋体" w:hAnsi="宋体" w:eastAsia="宋体" w:cs="宋体"/>
          <w:color w:val="888888"/>
          <w:spacing w:val="15"/>
          <w:sz w:val="19"/>
          <w:szCs w:val="19"/>
        </w:rPr>
        <w:t>资料来源：公司公告、中康产业研究中心</w:t>
      </w:r>
    </w:p>
    <w:p>
      <w:pPr>
        <w:ind w:firstLine="620" w:firstLineChars="200"/>
        <w:jc w:val="left"/>
        <w:rPr>
          <w:rFonts w:ascii="宋体" w:hAnsi="宋体" w:eastAsia="宋体" w:cs="宋体"/>
          <w:color w:val="545454"/>
          <w:spacing w:val="15"/>
          <w:sz w:val="28"/>
          <w:szCs w:val="28"/>
        </w:rPr>
      </w:pPr>
    </w:p>
    <w:p>
      <w:pPr>
        <w:ind w:firstLine="620" w:firstLineChars="200"/>
        <w:jc w:val="left"/>
        <w:rPr>
          <w:rFonts w:ascii="宋体" w:hAnsi="宋体" w:eastAsia="宋体" w:cs="宋体"/>
          <w:color w:val="888888"/>
          <w:spacing w:val="15"/>
          <w:sz w:val="22"/>
          <w:szCs w:val="22"/>
        </w:rPr>
      </w:pPr>
      <w:r>
        <w:rPr>
          <w:rFonts w:ascii="宋体" w:hAnsi="宋体" w:eastAsia="宋体" w:cs="宋体"/>
          <w:color w:val="545454"/>
          <w:spacing w:val="15"/>
          <w:sz w:val="28"/>
          <w:szCs w:val="28"/>
        </w:rPr>
        <w:t>截至2021年末，公司共有8560家门店，主要聚焦在云南和四川省，两者占比70.55%。</w:t>
      </w:r>
      <w:r>
        <w:rPr>
          <w:rStyle w:val="14"/>
          <w:rFonts w:ascii="宋体" w:hAnsi="宋体" w:eastAsia="宋体" w:cs="宋体"/>
          <w:color w:val="545454"/>
          <w:spacing w:val="15"/>
          <w:sz w:val="28"/>
          <w:szCs w:val="28"/>
        </w:rPr>
        <w:t>公司采用少区域高密度的战略布局，根据中康药店通数据，一心堂在云南、四川和海南市场占有率均为第一，占比分别为23.4%、 2.4%和7.4%</w:t>
      </w:r>
      <w:r>
        <w:rPr>
          <w:rFonts w:ascii="宋体" w:hAnsi="宋体" w:eastAsia="宋体" w:cs="宋体"/>
          <w:color w:val="545454"/>
          <w:spacing w:val="15"/>
          <w:sz w:val="28"/>
          <w:szCs w:val="28"/>
        </w:rPr>
        <w:t>。</w:t>
      </w: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color w:val="888888"/>
          <w:spacing w:val="15"/>
          <w:sz w:val="22"/>
          <w:szCs w:val="22"/>
        </w:rPr>
      </w:pPr>
    </w:p>
    <w:p>
      <w:pPr>
        <w:jc w:val="center"/>
        <w:rPr>
          <w:rFonts w:ascii="宋体" w:hAnsi="宋体" w:eastAsia="宋体" w:cs="宋体"/>
          <w:sz w:val="24"/>
          <w:szCs w:val="24"/>
        </w:rPr>
      </w:pPr>
      <w:r>
        <w:rPr>
          <w:rFonts w:ascii="宋体" w:hAnsi="宋体" w:eastAsia="宋体" w:cs="宋体"/>
          <w:color w:val="888888"/>
          <w:spacing w:val="15"/>
          <w:sz w:val="22"/>
          <w:szCs w:val="22"/>
        </w:rPr>
        <w:t>图表4    一心堂2021年末门店分布情况</w:t>
      </w:r>
      <w:r>
        <w:rPr>
          <w:rFonts w:ascii="宋体" w:hAnsi="宋体" w:eastAsia="宋体" w:cs="宋体"/>
          <w:sz w:val="24"/>
          <w:szCs w:val="24"/>
        </w:rPr>
        <w:drawing>
          <wp:inline distT="0" distB="0" distL="114300" distR="114300">
            <wp:extent cx="4353560" cy="2305685"/>
            <wp:effectExtent l="0" t="0" r="8890" b="18415"/>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17"/>
                    <a:stretch>
                      <a:fillRect/>
                    </a:stretch>
                  </pic:blipFill>
                  <pic:spPr>
                    <a:xfrm>
                      <a:off x="0" y="0"/>
                      <a:ext cx="4353560" cy="2305685"/>
                    </a:xfrm>
                    <a:prstGeom prst="rect">
                      <a:avLst/>
                    </a:prstGeom>
                    <a:noFill/>
                    <a:ln w="9525">
                      <a:noFill/>
                    </a:ln>
                  </pic:spPr>
                </pic:pic>
              </a:graphicData>
            </a:graphic>
          </wp:inline>
        </w:drawing>
      </w:r>
    </w:p>
    <w:p>
      <w:pPr>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资料来源：公司公告、中康产业研究中心</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影响零售药店核心竞争能力的因素包括流量和经营效率：流量的来源包括门店扩展能力、会员增长及复购率、承接处方药外流能力等。经营效率主要体现在日均坪效、租金效率、投资回收期等。一心堂关键经营数据分析-流量门店拓展方面，公司门店数量从2017年的5,066家增加到2021年的8,560家，近5年CAGR达14%。2020年新冠疫情对实体造成较大冲击，许多较小的零售药店面临着巨大的经营压力，加速了零售药店并购整合进度。公司凭借规模优势，2020年后门店扩展步伐不断加快，2021年门店数量同步增加19%。</w:t>
      </w:r>
    </w:p>
    <w:p>
      <w:pPr>
        <w:ind w:firstLine="680"/>
        <w:jc w:val="center"/>
        <w:rPr>
          <w:rFonts w:ascii="宋体" w:hAnsi="宋体" w:eastAsia="宋体" w:cs="宋体"/>
          <w:sz w:val="24"/>
          <w:szCs w:val="24"/>
        </w:rPr>
      </w:pPr>
      <w:r>
        <w:rPr>
          <w:rFonts w:ascii="宋体" w:hAnsi="宋体" w:eastAsia="宋体" w:cs="宋体"/>
          <w:color w:val="888888"/>
          <w:spacing w:val="15"/>
          <w:sz w:val="22"/>
          <w:szCs w:val="22"/>
        </w:rPr>
        <w:t>图表5    一心堂2017-2021年末门店数量和增长情况</w:t>
      </w:r>
      <w:r>
        <w:rPr>
          <w:rFonts w:ascii="宋体" w:hAnsi="宋体" w:eastAsia="宋体" w:cs="宋体"/>
          <w:sz w:val="24"/>
          <w:szCs w:val="24"/>
        </w:rPr>
        <w:drawing>
          <wp:inline distT="0" distB="0" distL="114300" distR="114300">
            <wp:extent cx="3743325" cy="2241550"/>
            <wp:effectExtent l="0" t="0" r="9525" b="6350"/>
            <wp:docPr id="18"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7"/>
                    <pic:cNvPicPr>
                      <a:picLocks noChangeAspect="1"/>
                    </pic:cNvPicPr>
                  </pic:nvPicPr>
                  <pic:blipFill>
                    <a:blip r:embed="rId18"/>
                    <a:stretch>
                      <a:fillRect/>
                    </a:stretch>
                  </pic:blipFill>
                  <pic:spPr>
                    <a:xfrm>
                      <a:off x="0" y="0"/>
                      <a:ext cx="3743325" cy="2241550"/>
                    </a:xfrm>
                    <a:prstGeom prst="rect">
                      <a:avLst/>
                    </a:prstGeom>
                    <a:noFill/>
                    <a:ln w="9525">
                      <a:noFill/>
                    </a:ln>
                  </pic:spPr>
                </pic:pic>
              </a:graphicData>
            </a:graphic>
          </wp:inline>
        </w:drawing>
      </w:r>
    </w:p>
    <w:p>
      <w:pPr>
        <w:ind w:firstLine="680"/>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资料来源：公司公告、中康产业研究中心</w:t>
      </w:r>
    </w:p>
    <w:p>
      <w:pPr>
        <w:bidi w:val="0"/>
        <w:ind w:firstLine="840" w:firstLineChars="300"/>
        <w:rPr>
          <w:rFonts w:hint="eastAsia" w:ascii="宋体" w:hAnsi="宋体" w:eastAsia="宋体" w:cs="宋体"/>
          <w:sz w:val="28"/>
          <w:szCs w:val="28"/>
        </w:rPr>
      </w:pPr>
      <w:r>
        <w:rPr>
          <w:rFonts w:hint="eastAsia" w:ascii="宋体" w:hAnsi="宋体" w:eastAsia="宋体" w:cs="宋体"/>
          <w:sz w:val="28"/>
          <w:szCs w:val="28"/>
        </w:rPr>
        <w:t>截至2021年末，公司会员人数3000万，同比2020年年末增长25%，近5年CAGR达19%。公司会员增长趋势和公司门店拓展速度保持联动，在疫情后保持高速增长。</w:t>
      </w:r>
    </w:p>
    <w:p>
      <w:pPr>
        <w:ind w:firstLine="680"/>
        <w:jc w:val="center"/>
        <w:rPr>
          <w:rFonts w:ascii="宋体" w:hAnsi="宋体" w:eastAsia="宋体" w:cs="宋体"/>
          <w:sz w:val="24"/>
          <w:szCs w:val="24"/>
        </w:rPr>
      </w:pPr>
      <w:r>
        <w:rPr>
          <w:rFonts w:ascii="宋体" w:hAnsi="宋体" w:eastAsia="宋体" w:cs="宋体"/>
          <w:color w:val="888888"/>
          <w:spacing w:val="15"/>
          <w:sz w:val="22"/>
          <w:szCs w:val="22"/>
        </w:rPr>
        <w:t>图表6    一心堂2017-2021年末会员数量和增长情况（单位：万人）</w:t>
      </w:r>
      <w:r>
        <w:rPr>
          <w:rFonts w:ascii="宋体" w:hAnsi="宋体" w:eastAsia="宋体" w:cs="宋体"/>
          <w:sz w:val="24"/>
          <w:szCs w:val="24"/>
        </w:rPr>
        <w:drawing>
          <wp:inline distT="0" distB="0" distL="114300" distR="114300">
            <wp:extent cx="4581525" cy="2743200"/>
            <wp:effectExtent l="0" t="0" r="9525" b="0"/>
            <wp:docPr id="19"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8"/>
                    <pic:cNvPicPr>
                      <a:picLocks noChangeAspect="1"/>
                    </pic:cNvPicPr>
                  </pic:nvPicPr>
                  <pic:blipFill>
                    <a:blip r:embed="rId19"/>
                    <a:stretch>
                      <a:fillRect/>
                    </a:stretch>
                  </pic:blipFill>
                  <pic:spPr>
                    <a:xfrm>
                      <a:off x="0" y="0"/>
                      <a:ext cx="4581525" cy="2743200"/>
                    </a:xfrm>
                    <a:prstGeom prst="rect">
                      <a:avLst/>
                    </a:prstGeom>
                    <a:noFill/>
                    <a:ln w="9525">
                      <a:noFill/>
                    </a:ln>
                  </pic:spPr>
                </pic:pic>
              </a:graphicData>
            </a:graphic>
          </wp:inline>
        </w:drawing>
      </w:r>
    </w:p>
    <w:p>
      <w:pPr>
        <w:ind w:firstLine="680"/>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资料来源：公司公告、中康产业研究中心</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2021年全年从会员销售复购率情况来看，会员复购率为64%，消费1次会员的占比36%，消费1次会员的会员较2020年增长3.23个百分点主要由新会员的开发和公司品牌影响力的扩大从而吸引潜在客户群体加入到公司会员，同时也表现出公司吸纳潜在客户的能力得到进一步提升。随着医保DIP/DRG支付改革的推进及医保谈判药品“双通道”的落地，零售药房将承接大量处方药外流的市场，而院边店及DTP药房将成为上述的主要承接方。尽管处方药销售的毛利率要低于其他药品，但会给药店带来可观的流量能带动其他药品的销售。截至2021年末，公司开通的各类慢病医保门店为831家，慢病医保门店占比公司门店总数近10%。院边店门店数为623家﹐覆盖二级、三级医院。公司药妆店的运营在2021年取得新进展，全集团个护项目类产品销售较2020年同比增长9.63%。目前在云南省内的药妆店为近300家，主要集中在昆明，此外在玉溪、曲靖、红河州也有布局。其中云南省内药妆店个护项目类销售额较2020年同口径门店数同比增长40.43%。上述药妆产品的推出主要吸引年轻群体客户，产品不受医保政策影响，毛利率高，是一个很好的盈利增收点。</w:t>
      </w:r>
    </w:p>
    <w:p>
      <w:pPr>
        <w:jc w:val="center"/>
        <w:rPr>
          <w:rStyle w:val="14"/>
          <w:rFonts w:ascii="宋体" w:hAnsi="宋体" w:eastAsia="宋体" w:cs="宋体"/>
          <w:color w:val="159196"/>
          <w:spacing w:val="15"/>
          <w:sz w:val="28"/>
          <w:szCs w:val="28"/>
        </w:rPr>
      </w:pPr>
      <w:r>
        <w:rPr>
          <w:rStyle w:val="14"/>
          <w:rFonts w:ascii="宋体" w:hAnsi="宋体" w:eastAsia="宋体" w:cs="宋体"/>
          <w:color w:val="159196"/>
          <w:spacing w:val="15"/>
          <w:sz w:val="28"/>
          <w:szCs w:val="28"/>
        </w:rPr>
        <w:t>一心堂关键经营数据分析-经营效率</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从门店在各行政级别来看，公司直营门店覆盖十个省及直辖市，在省、市、县、乡镇均有所覆盖，各区域门店发展布局均衡。2021年各级行政区域销售占比较为稳定，其中地市级门店销售占比最高达到31.83%、省会级门店销售占比为29.51%、县级门店销售占比25.02%、乡镇级门店占比13.63%。乡镇级门店在各级行政区域中净利率最高，主要表现为乡镇级门店房租费相对其他区域较低，从而导致总体费用率较低，对利润形成正面支撑。公司品牌通过时间的沉淀，效益由上至下起到辐射影响。</w:t>
      </w:r>
    </w:p>
    <w:p>
      <w:pPr>
        <w:ind w:firstLine="680"/>
        <w:jc w:val="center"/>
        <w:rPr>
          <w:rFonts w:ascii="宋体" w:hAnsi="宋体" w:eastAsia="宋体" w:cs="宋体"/>
          <w:sz w:val="24"/>
          <w:szCs w:val="24"/>
        </w:rPr>
      </w:pPr>
      <w:r>
        <w:rPr>
          <w:rFonts w:ascii="宋体" w:hAnsi="宋体" w:eastAsia="宋体" w:cs="宋体"/>
          <w:color w:val="888888"/>
          <w:spacing w:val="15"/>
          <w:sz w:val="22"/>
          <w:szCs w:val="22"/>
        </w:rPr>
        <w:t>图表7   一心堂2017-2021年不同租金效率情况</w:t>
      </w:r>
      <w:r>
        <w:rPr>
          <w:rFonts w:ascii="宋体" w:hAnsi="宋体" w:eastAsia="宋体" w:cs="宋体"/>
          <w:sz w:val="24"/>
          <w:szCs w:val="24"/>
        </w:rPr>
        <w:drawing>
          <wp:inline distT="0" distB="0" distL="114300" distR="114300">
            <wp:extent cx="4581525" cy="2743200"/>
            <wp:effectExtent l="0" t="0" r="9525" b="0"/>
            <wp:docPr id="20"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9"/>
                    <pic:cNvPicPr>
                      <a:picLocks noChangeAspect="1"/>
                    </pic:cNvPicPr>
                  </pic:nvPicPr>
                  <pic:blipFill>
                    <a:blip r:embed="rId20"/>
                    <a:stretch>
                      <a:fillRect/>
                    </a:stretch>
                  </pic:blipFill>
                  <pic:spPr>
                    <a:xfrm>
                      <a:off x="0" y="0"/>
                      <a:ext cx="4581525" cy="2743200"/>
                    </a:xfrm>
                    <a:prstGeom prst="rect">
                      <a:avLst/>
                    </a:prstGeom>
                    <a:noFill/>
                    <a:ln w="9525">
                      <a:noFill/>
                    </a:ln>
                  </pic:spPr>
                </pic:pic>
              </a:graphicData>
            </a:graphic>
          </wp:inline>
        </w:drawing>
      </w:r>
    </w:p>
    <w:p>
      <w:pPr>
        <w:ind w:firstLine="680"/>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资料来源：公司公告、中康产业研究中心</w:t>
      </w:r>
    </w:p>
    <w:p>
      <w:pPr>
        <w:ind w:firstLine="680"/>
        <w:jc w:val="center"/>
        <w:rPr>
          <w:rFonts w:ascii="宋体" w:hAnsi="宋体" w:eastAsia="宋体" w:cs="宋体"/>
          <w:color w:val="888888"/>
          <w:spacing w:val="15"/>
          <w:sz w:val="19"/>
          <w:szCs w:val="19"/>
        </w:rPr>
      </w:pPr>
      <w:r>
        <w:rPr>
          <w:rFonts w:ascii="宋体" w:hAnsi="宋体" w:eastAsia="宋体" w:cs="宋体"/>
          <w:color w:val="888888"/>
          <w:spacing w:val="15"/>
          <w:sz w:val="19"/>
          <w:szCs w:val="19"/>
        </w:rPr>
        <w:t>备注：租金效率=（含税，年销售额/租金）</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值得注意的是，乡镇级租金效率不仅最高，而且保持高速增长。因为乡镇级市场受电商冲击较小，欠发达地区电商冲击的市场壁垒依然存在，行政级别越低的地区各项配送等成本费用越高。目前我国乡镇医药零售市场开发尚不完全，零售药店在很多地方没有覆盖，但随着生活水平的提高以及医疗保健意识的增强，我国乡镇人口对于医疗保健的需求将大幅提升，这将带动我国乡镇零售药店市场潜力的逐步释放。</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2020年公司平均盈利周期大概在10个月左右，不同区域的密集程度，品牌影响力，消费者认知度会有差异，盈利周期最短3-4个月，长一点大概15-16个月，平均下来往年10个月左右。过去几年门店促销活动会吸引很大的人流，对门店的品牌宣传有很大的作用，2021因为疫情反复，门店做不了开业的促销活动，比往年盈利周期延长了1-2个月，盈亏平衡周期是2年。</w:t>
      </w:r>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总体来看，整个零售药店的集中度水平较低。公司在少区域高密度、多元化商业模式的战略布局下，未来业绩将保持持续增长。</w:t>
      </w:r>
    </w:p>
    <w:p>
      <w:pPr>
        <w:bidi w:val="0"/>
        <w:rPr>
          <w:rFonts w:hint="eastAsia" w:ascii="宋体" w:hAnsi="宋体" w:eastAsia="宋体" w:cs="宋体"/>
          <w:sz w:val="28"/>
          <w:szCs w:val="28"/>
        </w:rPr>
      </w:pPr>
    </w:p>
    <w:p>
      <w:pPr>
        <w:bidi w:val="0"/>
        <w:rPr>
          <w:rFonts w:hint="eastAsia" w:ascii="宋体" w:hAnsi="宋体" w:eastAsia="宋体" w:cs="宋体"/>
          <w:sz w:val="28"/>
          <w:szCs w:val="28"/>
        </w:rPr>
      </w:pPr>
    </w:p>
    <w:p>
      <w:pPr>
        <w:rPr>
          <w:rFonts w:hint="eastAsia" w:cs="宋体" w:asciiTheme="majorEastAsia" w:hAnsiTheme="majorEastAsia" w:eastAsiaTheme="majorEastAsia"/>
          <w:b/>
          <w:color w:val="376092" w:themeColor="accent1" w:themeShade="BF"/>
          <w:spacing w:val="8"/>
          <w:kern w:val="0"/>
          <w:sz w:val="28"/>
          <w:szCs w:val="28"/>
          <w:lang w:val="en-US" w:eastAsia="zh-CN"/>
        </w:rPr>
      </w:pPr>
      <w:r>
        <w:rPr>
          <w:rFonts w:hint="eastAsia" w:cs="宋体" w:asciiTheme="majorEastAsia" w:hAnsiTheme="majorEastAsia" w:eastAsiaTheme="majorEastAsia"/>
          <w:b/>
          <w:color w:val="376092" w:themeColor="accent1" w:themeShade="BF"/>
          <w:spacing w:val="8"/>
          <w:kern w:val="0"/>
          <w:sz w:val="28"/>
          <w:szCs w:val="28"/>
          <w:lang w:val="en-US" w:eastAsia="zh-CN"/>
        </w:rPr>
        <w:t>四、2.04亿！益丰收购湖南九芝堂51%股权</w:t>
      </w:r>
    </w:p>
    <w:p>
      <w:pPr>
        <w:rPr>
          <w:rFonts w:hint="eastAsia"/>
          <w:lang w:val="en-US" w:eastAsia="zh-CN"/>
        </w:rPr>
      </w:pPr>
    </w:p>
    <w:p>
      <w:pPr>
        <w:rPr>
          <w:rFonts w:hint="eastAsia" w:cs="宋体" w:asciiTheme="majorEastAsia" w:hAnsiTheme="majorEastAsia" w:eastAsiaTheme="majorEastAsia"/>
          <w:b/>
          <w:color w:val="376092" w:themeColor="accent1" w:themeShade="BF"/>
          <w:spacing w:val="8"/>
          <w:kern w:val="0"/>
          <w:sz w:val="28"/>
          <w:szCs w:val="28"/>
          <w:lang w:val="en-US" w:eastAsia="zh-CN"/>
        </w:rPr>
      </w:pPr>
      <w:r>
        <w:rPr>
          <w:rFonts w:hint="eastAsia"/>
          <w:lang w:val="en-US" w:eastAsia="zh-CN"/>
        </w:rPr>
        <w:fldChar w:fldCharType="begin"/>
      </w:r>
      <w:r>
        <w:rPr>
          <w:rFonts w:hint="eastAsia"/>
          <w:lang w:val="en-US" w:eastAsia="zh-CN"/>
        </w:rPr>
        <w:instrText xml:space="preserve"> HYPERLINK "javascript:void(0);" </w:instrText>
      </w:r>
      <w:r>
        <w:rPr>
          <w:rFonts w:hint="eastAsia"/>
          <w:lang w:val="en-US" w:eastAsia="zh-CN"/>
        </w:rPr>
        <w:fldChar w:fldCharType="separate"/>
      </w:r>
      <w:r>
        <w:rPr>
          <w:rFonts w:hint="eastAsia"/>
          <w:lang w:val="en-US" w:eastAsia="zh-CN"/>
        </w:rPr>
        <w:t>第一药店财智</w:t>
      </w:r>
      <w:r>
        <w:rPr>
          <w:rFonts w:hint="eastAsia"/>
          <w:lang w:val="en-US" w:eastAsia="zh-CN"/>
        </w:rPr>
        <w:fldChar w:fldCharType="end"/>
      </w:r>
      <w:r>
        <w:rPr>
          <w:rFonts w:hint="eastAsia"/>
          <w:lang w:val="en-US" w:eastAsia="zh-CN"/>
        </w:rPr>
        <w:t> 2022-04-24</w:t>
      </w:r>
    </w:p>
    <w:p/>
    <w:p>
      <w:pPr>
        <w:bidi w:val="0"/>
        <w:ind w:firstLine="560" w:firstLineChars="200"/>
        <w:rPr>
          <w:rFonts w:hint="eastAsia" w:ascii="宋体" w:hAnsi="宋体" w:eastAsia="宋体" w:cs="宋体"/>
          <w:sz w:val="28"/>
          <w:szCs w:val="28"/>
        </w:rPr>
      </w:pPr>
      <w:r>
        <w:rPr>
          <w:rFonts w:hint="eastAsia" w:ascii="宋体" w:hAnsi="宋体" w:eastAsia="宋体" w:cs="宋体"/>
          <w:sz w:val="28"/>
          <w:szCs w:val="28"/>
        </w:rPr>
        <w:t>4月24日晚间，益丰大药房连锁股份有限公司（下称“益丰药房”）发布公告，称2022年4月23日，公司召开的第四届董事会第九次会议与第四届监事会第九次会议审议通过了《关于收购湖南九芝堂医药有限公司51%股权的议案》。</w:t>
      </w:r>
    </w:p>
    <w:p>
      <w:pPr>
        <w:bidi w:val="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1770" cy="2731135"/>
            <wp:effectExtent l="0" t="0" r="5080" b="12065"/>
            <wp:docPr id="21" name="图片 21" descr="0d212429689fed8d9e5ad978fde44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d212429689fed8d9e5ad978fde44acc"/>
                    <pic:cNvPicPr>
                      <a:picLocks noChangeAspect="1"/>
                    </pic:cNvPicPr>
                  </pic:nvPicPr>
                  <pic:blipFill>
                    <a:blip r:embed="rId21"/>
                    <a:stretch>
                      <a:fillRect/>
                    </a:stretch>
                  </pic:blipFill>
                  <pic:spPr>
                    <a:xfrm>
                      <a:off x="0" y="0"/>
                      <a:ext cx="5271770" cy="2731135"/>
                    </a:xfrm>
                    <a:prstGeom prst="rect">
                      <a:avLst/>
                    </a:prstGeom>
                  </pic:spPr>
                </pic:pic>
              </a:graphicData>
            </a:graphic>
          </wp:inline>
        </w:drawing>
      </w:r>
    </w:p>
    <w:p>
      <w:pPr>
        <w:keepNext w:val="0"/>
        <w:keepLines w:val="0"/>
        <w:widowControl/>
        <w:suppressLineNumbers w:val="0"/>
        <w:jc w:val="left"/>
      </w:pPr>
      <w:r>
        <w:rPr>
          <w:rStyle w:val="14"/>
          <w:rFonts w:ascii="宋体" w:hAnsi="宋体" w:eastAsia="宋体" w:cs="宋体"/>
          <w:color w:val="CD0202"/>
          <w:spacing w:val="8"/>
          <w:kern w:val="0"/>
          <w:sz w:val="60"/>
          <w:szCs w:val="60"/>
          <w:lang w:val="en-US" w:eastAsia="zh-CN" w:bidi="ar"/>
        </w:rPr>
        <w:t>01</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rPr>
          <w:rFonts w:hint="eastAsia" w:ascii="宋体" w:hAnsi="宋体" w:eastAsia="宋体" w:cs="宋体"/>
          <w:sz w:val="28"/>
          <w:szCs w:val="28"/>
        </w:rPr>
      </w:pPr>
      <w:r>
        <w:rPr>
          <w:rStyle w:val="14"/>
          <w:rFonts w:hint="eastAsia" w:ascii="宋体" w:hAnsi="宋体" w:eastAsia="宋体" w:cs="宋体"/>
          <w:spacing w:val="30"/>
          <w:sz w:val="28"/>
          <w:szCs w:val="28"/>
        </w:rPr>
        <w:t>2.04亿元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rPr>
          <w:rFonts w:hint="eastAsia" w:ascii="宋体" w:hAnsi="宋体" w:eastAsia="宋体" w:cs="宋体"/>
          <w:sz w:val="28"/>
          <w:szCs w:val="28"/>
        </w:rPr>
      </w:pPr>
      <w:r>
        <w:rPr>
          <w:rStyle w:val="14"/>
          <w:rFonts w:hint="eastAsia" w:ascii="宋体" w:hAnsi="宋体" w:eastAsia="宋体" w:cs="宋体"/>
          <w:spacing w:val="30"/>
          <w:sz w:val="28"/>
          <w:szCs w:val="28"/>
        </w:rPr>
        <w:t>益丰收购湖南九芝堂51%股权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pPr>
      <w:r>
        <w:rPr>
          <w:spacing w:val="30"/>
          <w:sz w:val="22"/>
          <w:szCs w:val="22"/>
        </w:rPr>
        <w:t>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公告，益丰药房与九芝堂股份有限公司共同签署《湖南九芝堂医药有限公司股权转让框架协议》，湖南九芝堂100%股权作价为4亿元，益丰药房拟以人民币2.04亿元购买湖南九芝堂医药有限公司（下称“湖南九芝堂”）51%的股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本次收购完成后，益丰药房将通过降低商品采购成本、加强专业服务水平等措施，不断提升其销售和毛利率水平。经营整合完成后，预计湖南九芝堂第一个年度销售额将不低于11.37亿元，净利润不低于1840万元。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Cs w:val="28"/>
        </w:rPr>
      </w:pPr>
      <w:r>
        <w:rPr>
          <w:rFonts w:hint="eastAsia" w:ascii="宋体" w:hAnsi="宋体" w:eastAsia="宋体" w:cs="宋体"/>
          <w:sz w:val="28"/>
          <w:szCs w:val="28"/>
        </w:rPr>
        <w:t>收购完成后，双方将在湖南市场形成合力，进一步巩固益丰药房在湖南市场的领先优势，有助于增强益丰药房的盈利能力，提高益丰药房在行业内的竞争实力。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pPr>
      <w:r>
        <w:rPr>
          <w:spacing w:val="30"/>
          <w:sz w:val="22"/>
          <w:szCs w:val="22"/>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pPr>
      <w:r>
        <w:rPr>
          <w:rStyle w:val="14"/>
          <w:rFonts w:ascii="微软雅黑" w:hAnsi="微软雅黑" w:eastAsia="微软雅黑" w:cs="微软雅黑"/>
          <w:color w:val="CD0202"/>
          <w:spacing w:val="8"/>
          <w:sz w:val="60"/>
          <w:szCs w:val="60"/>
        </w:rPr>
        <w:t>02</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rPr>
          <w:rFonts w:hint="eastAsia" w:ascii="宋体" w:hAnsi="宋体" w:eastAsia="宋体" w:cs="宋体"/>
          <w:sz w:val="28"/>
          <w:szCs w:val="28"/>
        </w:rPr>
      </w:pPr>
      <w:r>
        <w:rPr>
          <w:rStyle w:val="14"/>
          <w:rFonts w:hint="eastAsia" w:ascii="宋体" w:hAnsi="宋体" w:eastAsia="宋体" w:cs="宋体"/>
          <w:spacing w:val="30"/>
          <w:sz w:val="28"/>
          <w:szCs w:val="28"/>
        </w:rPr>
        <w:t>湖南九芝堂：</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rPr>
          <w:rFonts w:hint="eastAsia" w:ascii="宋体" w:hAnsi="宋体" w:eastAsia="宋体" w:cs="宋体"/>
          <w:sz w:val="28"/>
          <w:szCs w:val="28"/>
        </w:rPr>
      </w:pPr>
      <w:r>
        <w:rPr>
          <w:rStyle w:val="14"/>
          <w:rFonts w:hint="eastAsia" w:ascii="宋体" w:hAnsi="宋体" w:eastAsia="宋体" w:cs="宋体"/>
          <w:spacing w:val="30"/>
          <w:sz w:val="28"/>
          <w:szCs w:val="28"/>
        </w:rPr>
        <w:t>2021年营业收入10.44亿元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pPr>
      <w:r>
        <w:rPr>
          <w:spacing w:val="30"/>
          <w:sz w:val="22"/>
          <w:szCs w:val="22"/>
        </w:rPr>
        <w:t>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湖南九芝堂在湖南市场耕耘超20年，其品牌“九芝堂”在湖南省具有较强的知名度和市场影响力。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2021年，湖南九芝堂年度营业收入10.44亿元，其中，直营零售5.20亿元，批发业务2.82亿元，加盟配送1.20亿元，B2C业务0.70亿元，健康大楼业务0.30亿元（不在本次收购范围之内），其他业务收入0.22 亿元。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据悉，湖南九芝堂下设湖南九芝堂零售连锁有限公司和常德九芝堂医药有限公司两家子公司，分别从事药品零售和药品批发业务，拥有直营连锁门店190家，加盟店359家，均位于湖南省内，拥有良好的市场口碑和稳定的客户群体。</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值得关注的是，上述两家子公司均由湖南九芝堂持股90%，九芝堂股份持股10%。协议签署后，湖南九芝堂零售连锁有限公司、常德九芝堂医药有限公司2家公司将变更为湖南九芝堂100%投资的全资子公司（下简称“新湖南九芝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新湖南九芝堂按照市场公允原则购进九芝堂股份的中药及药食同源类等大健康产品，益丰药房利用自身商品集采优势以及优质的医药零售供应链体系，向新湖南九芝堂导入核心竞争力品种。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股权合作后，为弘扬九芝堂品牌文化，新湖南九芝堂在益丰已进省份内以九芝堂的品牌进行新店扩张。同时，双方以九芝堂品牌为依托，在工业品种的生产和销售上进行深度合作，益丰药房依托自身的资源积极导入九芝堂股份产品，以实现双方资源共享、合作共赢、共同发展的战略目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外，根据益丰药房发布的《关于协议受让九芝堂部分股权的提示性公告》，益丰药房拟以现金方式受让李振国持有的九芝堂股份43,467,800股股份及其对应的股东权益，拟协议受让股份数量占目标公司截至2022年3月31日总股本869,354,236股的5.00001%，标的股份每股转让价格9.85元/股，本次交易对价总额 4.28亿元。</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此次交易后，益丰药房将成为九芝堂股份的第四大股东。</w:t>
      </w: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rPr>
      </w:pPr>
    </w:p>
    <w:p>
      <w:pPr>
        <w:widowControl/>
        <w:spacing w:before="100" w:beforeAutospacing="1" w:after="100" w:afterAutospacing="1" w:line="900" w:lineRule="atLeast"/>
        <w:outlineLvl w:val="1"/>
        <w:rPr>
          <w:rFonts w:hint="eastAsia" w:ascii="微软雅黑" w:hAnsi="微软雅黑" w:eastAsia="微软雅黑" w:cs="宋体"/>
          <w:b/>
          <w:color w:val="333333"/>
          <w:kern w:val="36"/>
          <w:sz w:val="24"/>
          <w:lang w:val="en-US" w:eastAsia="zh-CN"/>
        </w:rPr>
      </w:pPr>
      <w:r>
        <w:rPr>
          <w:rFonts w:hint="eastAsia" w:ascii="微软雅黑" w:hAnsi="微软雅黑" w:eastAsia="微软雅黑" w:cs="宋体"/>
          <w:b/>
          <w:color w:val="333333"/>
          <w:kern w:val="36"/>
          <w:sz w:val="24"/>
        </w:rPr>
        <w:t>附件</w:t>
      </w:r>
      <w:r>
        <w:rPr>
          <w:rFonts w:hint="eastAsia" w:ascii="微软雅黑" w:hAnsi="微软雅黑" w:eastAsia="微软雅黑" w:cs="宋体"/>
          <w:b/>
          <w:color w:val="333333"/>
          <w:kern w:val="36"/>
          <w:sz w:val="24"/>
          <w:lang w:val="en-US" w:eastAsia="zh-CN"/>
        </w:rPr>
        <w:t>5</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腾讯、国美，开卖医疗器械</w:t>
      </w:r>
    </w:p>
    <w:p>
      <w:pPr>
        <w:rPr>
          <w:rFonts w:hint="eastAsia"/>
        </w:rPr>
      </w:pPr>
    </w:p>
    <w:p>
      <w:r>
        <w:rPr>
          <w:rFonts w:hint="eastAsia"/>
        </w:rPr>
        <w:t xml:space="preserve">原创 小天 第一药店财智 2022-04-18   </w:t>
      </w:r>
    </w:p>
    <w:p>
      <w:pPr>
        <w:rPr>
          <w:rStyle w:val="14"/>
          <w:rFonts w:cs="Helvetica" w:asciiTheme="minorEastAsia" w:hAnsiTheme="minorEastAsia"/>
          <w:b w:val="0"/>
          <w:spacing w:val="15"/>
          <w:sz w:val="28"/>
          <w:szCs w:val="28"/>
        </w:rPr>
      </w:pP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01 新玩家来了：国美新增医疗器械、互联网医院</w:t>
      </w:r>
    </w:p>
    <w:p>
      <w:pPr>
        <w:ind w:firstLine="620" w:firstLineChars="200"/>
        <w:jc w:val="left"/>
        <w:rPr>
          <w:rStyle w:val="14"/>
          <w:rFonts w:hint="eastAsia" w:cs="Helvetica" w:asciiTheme="minorEastAsia" w:hAnsiTheme="minorEastAsia"/>
          <w:b w:val="0"/>
          <w:spacing w:val="15"/>
          <w:sz w:val="28"/>
          <w:szCs w:val="28"/>
        </w:rPr>
      </w:pPr>
      <w:r>
        <w:rPr>
          <w:rStyle w:val="14"/>
          <w:rFonts w:hint="eastAsia" w:cs="Helvetica" w:asciiTheme="minorEastAsia" w:hAnsiTheme="minorEastAsia"/>
          <w:b w:val="0"/>
          <w:spacing w:val="15"/>
          <w:sz w:val="28"/>
          <w:szCs w:val="28"/>
        </w:rPr>
        <w:t>近日，国美健康科技有限公司成立，注册资本1亿元人民币，经营范围包含：医疗服务；药品批发；药品零售；第三类医疗器械经营；生活美容服务等。企查查股权穿透显示该公司由国美控股集团有限公司100%控股。</w:t>
      </w:r>
    </w:p>
    <w:p>
      <w:pPr>
        <w:jc w:val="center"/>
        <w:rPr>
          <w:rStyle w:val="14"/>
          <w:rFonts w:hint="eastAsia" w:cs="Helvetica" w:asciiTheme="minorEastAsia" w:hAnsiTheme="minorEastAsia" w:eastAsiaTheme="minorEastAsia"/>
          <w:b w:val="0"/>
          <w:spacing w:val="15"/>
          <w:sz w:val="28"/>
          <w:szCs w:val="28"/>
          <w:lang w:eastAsia="zh-CN"/>
        </w:rPr>
      </w:pPr>
      <w:r>
        <w:rPr>
          <w:rStyle w:val="14"/>
          <w:rFonts w:hint="eastAsia" w:cs="Helvetica" w:asciiTheme="minorEastAsia" w:hAnsiTheme="minorEastAsia" w:eastAsiaTheme="minorEastAsia"/>
          <w:b w:val="0"/>
          <w:spacing w:val="15"/>
          <w:sz w:val="28"/>
          <w:szCs w:val="28"/>
          <w:lang w:eastAsia="zh-CN"/>
        </w:rPr>
        <w:drawing>
          <wp:inline distT="0" distB="0" distL="114300" distR="114300">
            <wp:extent cx="2607945" cy="3137535"/>
            <wp:effectExtent l="0" t="0" r="1905" b="5715"/>
            <wp:docPr id="4" name="图片 4" descr="45788c81fbe4beed8551e620af4ad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788c81fbe4beed8551e620af4ade5d"/>
                    <pic:cNvPicPr>
                      <a:picLocks noChangeAspect="1"/>
                    </pic:cNvPicPr>
                  </pic:nvPicPr>
                  <pic:blipFill>
                    <a:blip r:embed="rId22"/>
                    <a:stretch>
                      <a:fillRect/>
                    </a:stretch>
                  </pic:blipFill>
                  <pic:spPr>
                    <a:xfrm>
                      <a:off x="0" y="0"/>
                      <a:ext cx="2607945" cy="3137535"/>
                    </a:xfrm>
                    <a:prstGeom prst="rect">
                      <a:avLst/>
                    </a:prstGeom>
                  </pic:spPr>
                </pic:pic>
              </a:graphicData>
            </a:graphic>
          </wp:inline>
        </w:drawing>
      </w:r>
    </w:p>
    <w:p>
      <w:pPr>
        <w:jc w:val="center"/>
        <w:rPr>
          <w:rFonts w:hint="eastAsia" w:ascii="微软雅黑" w:hAnsi="微软雅黑" w:eastAsia="微软雅黑" w:cs="微软雅黑"/>
          <w:i w:val="0"/>
          <w:iCs w:val="0"/>
          <w:caps w:val="0"/>
          <w:color w:val="888888"/>
          <w:spacing w:val="8"/>
          <w:sz w:val="21"/>
          <w:szCs w:val="21"/>
          <w:shd w:val="clear" w:fill="FFFFFF"/>
        </w:rPr>
      </w:pPr>
      <w:r>
        <w:rPr>
          <w:rFonts w:ascii="微软雅黑" w:hAnsi="微软雅黑" w:eastAsia="微软雅黑" w:cs="微软雅黑"/>
          <w:i w:val="0"/>
          <w:iCs w:val="0"/>
          <w:caps w:val="0"/>
          <w:color w:val="888888"/>
          <w:spacing w:val="8"/>
          <w:sz w:val="21"/>
          <w:szCs w:val="21"/>
          <w:shd w:val="clear" w:fill="FFFFFF"/>
        </w:rPr>
        <w:t>国美健康科技</w:t>
      </w:r>
      <w:r>
        <w:rPr>
          <w:rFonts w:hint="eastAsia" w:ascii="微软雅黑" w:hAnsi="微软雅黑" w:eastAsia="微软雅黑" w:cs="微软雅黑"/>
          <w:i w:val="0"/>
          <w:iCs w:val="0"/>
          <w:caps w:val="0"/>
          <w:color w:val="888888"/>
          <w:spacing w:val="30"/>
          <w:sz w:val="21"/>
          <w:szCs w:val="21"/>
          <w:shd w:val="clear" w:fill="FFFFFF"/>
        </w:rPr>
        <w:t>有限公司的</w:t>
      </w:r>
      <w:r>
        <w:rPr>
          <w:rFonts w:hint="eastAsia" w:ascii="微软雅黑" w:hAnsi="微软雅黑" w:eastAsia="微软雅黑" w:cs="微软雅黑"/>
          <w:i w:val="0"/>
          <w:iCs w:val="0"/>
          <w:caps w:val="0"/>
          <w:color w:val="888888"/>
          <w:spacing w:val="8"/>
          <w:sz w:val="21"/>
          <w:szCs w:val="21"/>
          <w:shd w:val="clear" w:fill="FFFFFF"/>
        </w:rPr>
        <w:t>经营范围，图片来源企查查</w:t>
      </w:r>
    </w:p>
    <w:p>
      <w:pPr>
        <w:ind w:firstLine="620" w:firstLineChars="200"/>
        <w:jc w:val="left"/>
        <w:rPr>
          <w:rStyle w:val="14"/>
          <w:rFonts w:hint="eastAsia" w:eastAsia="宋体" w:cs="Helvetica" w:asciiTheme="minorEastAsia" w:hAnsiTheme="minorEastAsia"/>
          <w:b w:val="0"/>
          <w:spacing w:val="15"/>
          <w:sz w:val="28"/>
          <w:szCs w:val="28"/>
        </w:rPr>
      </w:pPr>
      <w:r>
        <w:rPr>
          <w:rStyle w:val="14"/>
          <w:rFonts w:hint="eastAsia" w:eastAsia="宋体" w:cs="Helvetica" w:asciiTheme="minorEastAsia" w:hAnsiTheme="minorEastAsia"/>
          <w:b w:val="0"/>
          <w:spacing w:val="15"/>
          <w:sz w:val="28"/>
          <w:szCs w:val="28"/>
        </w:rPr>
        <w:t>有业内预计，下一步，国美大概率将启动对外招商合作，头部企业也会相继入驻平台、开通直营店等。值得关注的是，国美并不满足于扩充零售品类，销售医药器械，还致力于通过互联网医院来撬动整个医药零售市场。</w:t>
      </w:r>
    </w:p>
    <w:p>
      <w:pPr>
        <w:ind w:firstLine="620" w:firstLineChars="200"/>
        <w:jc w:val="left"/>
        <w:rPr>
          <w:rStyle w:val="14"/>
          <w:rFonts w:hint="eastAsia" w:eastAsia="宋体" w:cs="Helvetica" w:asciiTheme="minorEastAsia" w:hAnsiTheme="minorEastAsia"/>
          <w:b w:val="0"/>
          <w:spacing w:val="15"/>
          <w:sz w:val="28"/>
          <w:szCs w:val="28"/>
        </w:rPr>
      </w:pPr>
      <w:r>
        <w:rPr>
          <w:rStyle w:val="14"/>
          <w:rFonts w:hint="eastAsia" w:eastAsia="宋体" w:cs="Helvetica" w:asciiTheme="minorEastAsia" w:hAnsiTheme="minorEastAsia"/>
          <w:b w:val="0"/>
          <w:spacing w:val="15"/>
          <w:sz w:val="28"/>
          <w:szCs w:val="28"/>
        </w:rPr>
        <w:t>2021年4月，国美投资1个亿，成立四川国美互联网医院有限公司，经营范围包含：依托实体医院的互联网医院服务；药品零售；第三类医疗器械经营；药品批发；药品互联网信息服务；保健食品销售；健康咨询服务（不含诊疗服务）；第二类医疗器械销售；第一类医疗器械销售等。</w:t>
      </w:r>
    </w:p>
    <w:p>
      <w:pPr>
        <w:ind w:firstLine="620" w:firstLineChars="200"/>
        <w:jc w:val="left"/>
        <w:rPr>
          <w:rStyle w:val="14"/>
          <w:rFonts w:hint="eastAsia" w:eastAsia="宋体" w:cs="Helvetica" w:asciiTheme="minorEastAsia" w:hAnsiTheme="minorEastAsia"/>
          <w:b w:val="0"/>
          <w:spacing w:val="15"/>
          <w:sz w:val="28"/>
          <w:szCs w:val="28"/>
        </w:rPr>
      </w:pPr>
      <w:r>
        <w:rPr>
          <w:rStyle w:val="14"/>
          <w:rFonts w:hint="eastAsia" w:eastAsia="宋体" w:cs="Helvetica" w:asciiTheme="minorEastAsia" w:hAnsiTheme="minorEastAsia"/>
          <w:b w:val="0"/>
          <w:spacing w:val="15"/>
          <w:sz w:val="28"/>
          <w:szCs w:val="28"/>
        </w:rPr>
        <w:t>实际上，国美进军医药零售并不意外，从2021年国美零售财报，透露打造全零售生态共享平台的目标。</w:t>
      </w:r>
    </w:p>
    <w:p>
      <w:pPr>
        <w:ind w:firstLine="620" w:firstLineChars="200"/>
        <w:jc w:val="left"/>
        <w:rPr>
          <w:rStyle w:val="14"/>
          <w:rFonts w:hint="eastAsia" w:eastAsia="宋体" w:cs="Helvetica" w:asciiTheme="minorEastAsia" w:hAnsiTheme="minorEastAsia"/>
          <w:b w:val="0"/>
          <w:spacing w:val="15"/>
          <w:sz w:val="28"/>
          <w:szCs w:val="28"/>
        </w:rPr>
      </w:pPr>
      <w:r>
        <w:rPr>
          <w:rStyle w:val="14"/>
          <w:rFonts w:hint="eastAsia" w:eastAsia="宋体" w:cs="Helvetica" w:asciiTheme="minorEastAsia" w:hAnsiTheme="minorEastAsia"/>
          <w:b w:val="0"/>
          <w:spacing w:val="15"/>
          <w:sz w:val="28"/>
          <w:szCs w:val="28"/>
        </w:rPr>
        <w:t>财报数据显示，国美零售在2021年达成了销售收入464.84亿，同比增5.36%的亮眼业绩；综合毛利率约为14.4%，同比提升2.24%；GMV规模达1469亿，同比增长30.4%；同时，国美零售经营活动现金流大幅改善，全年实现了净经营现金流的转正。</w:t>
      </w:r>
    </w:p>
    <w:p>
      <w:pPr>
        <w:ind w:firstLine="620" w:firstLineChars="200"/>
        <w:jc w:val="left"/>
        <w:rPr>
          <w:rStyle w:val="14"/>
          <w:rFonts w:hint="eastAsia" w:eastAsia="宋体" w:cs="Helvetica" w:asciiTheme="minorEastAsia" w:hAnsiTheme="minorEastAsia"/>
          <w:b w:val="0"/>
          <w:spacing w:val="15"/>
          <w:sz w:val="28"/>
          <w:szCs w:val="28"/>
        </w:rPr>
      </w:pPr>
      <w:r>
        <w:rPr>
          <w:rStyle w:val="14"/>
          <w:rFonts w:hint="eastAsia" w:eastAsia="宋体" w:cs="Helvetica" w:asciiTheme="minorEastAsia" w:hAnsiTheme="minorEastAsia"/>
          <w:b w:val="0"/>
          <w:spacing w:val="15"/>
          <w:sz w:val="28"/>
          <w:szCs w:val="28"/>
        </w:rPr>
        <w:t>国美零售致力于完成了从家电赛道，向万亿级家庭生活广阔领域赛道的蜕变，国美零售围绕“家·生活”这一核心，紧扣“家·生活”战略和家庭消费特性，打造涵盖家电、食品酒水、服饰鞋包、家居家装、日用百货、母婴玩具、美妆个护、医药零售等全品类的“家庭消费”超级供应链。</w:t>
      </w: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0</w:t>
      </w:r>
      <w:r>
        <w:rPr>
          <w:rStyle w:val="14"/>
          <w:rFonts w:hint="eastAsia" w:cs="Helvetica" w:asciiTheme="minorEastAsia" w:hAnsiTheme="minorEastAsia"/>
          <w:spacing w:val="15"/>
          <w:sz w:val="28"/>
          <w:szCs w:val="28"/>
          <w:lang w:val="en-US" w:eastAsia="zh-CN"/>
        </w:rPr>
        <w:t>2</w:t>
      </w:r>
      <w:r>
        <w:rPr>
          <w:rStyle w:val="14"/>
          <w:rFonts w:hint="eastAsia" w:cs="Helvetica" w:asciiTheme="minorEastAsia" w:hAnsiTheme="minorEastAsia"/>
          <w:spacing w:val="15"/>
          <w:sz w:val="28"/>
          <w:szCs w:val="28"/>
        </w:rPr>
        <w:t xml:space="preserve"> 赛道“拥挤”：腾讯、抖音、苏宁入局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此前，抖音、腾讯、瑞幸咖啡、苏宁易购也宣布新增医疗器械销售品类。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4月7日，抖音电商也发布关于新增《医疗器械品类管理规范》的公示通知，宣布单独划分“保健/护理/理疗器械”一级目录。此外，抖音还新增了体外检测类产品的销售资质。这些变动4月14日起正式实行。</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   4月6日，腾讯云计算（无锡）有限责任公司成立，经营范围包含：健康咨询服务（不含诊疗服务）；第二类医疗器械销售；第一类医疗器械销售（除依法须经批准的项目外，凭营业执照依法自主开展经营活动）等。</w:t>
      </w:r>
    </w:p>
    <w:p>
      <w:pPr>
        <w:jc w:val="center"/>
        <w:rPr>
          <w:rStyle w:val="14"/>
          <w:rFonts w:hint="eastAsia" w:cs="Helvetica" w:asciiTheme="minorEastAsia" w:hAnsiTheme="minorEastAsia" w:eastAsiaTheme="minorEastAsia"/>
          <w:spacing w:val="15"/>
          <w:sz w:val="28"/>
          <w:szCs w:val="28"/>
          <w:lang w:eastAsia="zh-CN"/>
        </w:rPr>
      </w:pPr>
      <w:r>
        <w:rPr>
          <w:rStyle w:val="14"/>
          <w:rFonts w:hint="eastAsia" w:cs="Helvetica" w:asciiTheme="minorEastAsia" w:hAnsiTheme="minorEastAsia" w:eastAsiaTheme="minorEastAsia"/>
          <w:spacing w:val="15"/>
          <w:sz w:val="28"/>
          <w:szCs w:val="28"/>
          <w:lang w:eastAsia="zh-CN"/>
        </w:rPr>
        <w:drawing>
          <wp:inline distT="0" distB="0" distL="114300" distR="114300">
            <wp:extent cx="3661410" cy="2736850"/>
            <wp:effectExtent l="0" t="0" r="15240" b="6350"/>
            <wp:docPr id="6" name="图片 6" descr="14b553d9ff1e8e5fb8c8bc299c4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b553d9ff1e8e5fb8c8bc299c423832"/>
                    <pic:cNvPicPr>
                      <a:picLocks noChangeAspect="1"/>
                    </pic:cNvPicPr>
                  </pic:nvPicPr>
                  <pic:blipFill>
                    <a:blip r:embed="rId23"/>
                    <a:stretch>
                      <a:fillRect/>
                    </a:stretch>
                  </pic:blipFill>
                  <pic:spPr>
                    <a:xfrm>
                      <a:off x="0" y="0"/>
                      <a:ext cx="3661410" cy="2736850"/>
                    </a:xfrm>
                    <a:prstGeom prst="rect">
                      <a:avLst/>
                    </a:prstGeom>
                  </pic:spPr>
                </pic:pic>
              </a:graphicData>
            </a:graphic>
          </wp:inline>
        </w:drawing>
      </w:r>
    </w:p>
    <w:p>
      <w:pPr>
        <w:jc w:val="center"/>
        <w:rPr>
          <w:rFonts w:hint="eastAsia" w:ascii="微软雅黑" w:hAnsi="微软雅黑" w:eastAsia="微软雅黑" w:cs="微软雅黑"/>
          <w:i w:val="0"/>
          <w:iCs w:val="0"/>
          <w:caps w:val="0"/>
          <w:color w:val="888888"/>
          <w:spacing w:val="8"/>
          <w:sz w:val="21"/>
          <w:szCs w:val="21"/>
          <w:shd w:val="clear" w:fill="FFFFFF"/>
        </w:rPr>
      </w:pPr>
      <w:r>
        <w:rPr>
          <w:rFonts w:ascii="微软雅黑" w:hAnsi="微软雅黑" w:eastAsia="微软雅黑" w:cs="微软雅黑"/>
          <w:i w:val="0"/>
          <w:iCs w:val="0"/>
          <w:caps w:val="0"/>
          <w:color w:val="888888"/>
          <w:spacing w:val="30"/>
          <w:sz w:val="21"/>
          <w:szCs w:val="21"/>
          <w:shd w:val="clear" w:fill="FFFFFF"/>
        </w:rPr>
        <w:t>腾讯云计算（无锡）有限责任公司的经营范围</w:t>
      </w:r>
      <w:r>
        <w:rPr>
          <w:rFonts w:hint="eastAsia" w:ascii="微软雅黑" w:hAnsi="微软雅黑" w:eastAsia="微软雅黑" w:cs="微软雅黑"/>
          <w:i w:val="0"/>
          <w:iCs w:val="0"/>
          <w:caps w:val="0"/>
          <w:color w:val="888888"/>
          <w:spacing w:val="8"/>
          <w:sz w:val="21"/>
          <w:szCs w:val="21"/>
          <w:shd w:val="clear" w:fill="FFFFFF"/>
        </w:rPr>
        <w:t>，图片来源企查查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3月11日，瑞幸咖啡（宁夏）有限公司日前在宁夏银川成立，注册资本500万元，由瑞幸咖啡（中国）有限公司全资持股。经营范围包括了药品零售、第一类医疗器械销售及第二类医疗器械销售，而其母公司瑞幸咖啡（中国）经营范围并未包含上述许可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苏宁易购早在2020年5月，就新增对外投资，成立宁波苏宁国际供应链管理有限公司，其经营范围包括“第二类医疗器械销售；第一类医疗器械销售”，开始进军医疗器械领域。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苏宁不仅布局线上，也在线下开了数家大药房。2021年4月份，苏宁宣布开10家实体药店，5月，线上自营大药房开始营业。苏宁易购回复投资者：目前pc端和app端首页均有医药相关入口，其中pc端从首页“分类”―“医药健康”中进入后可看到“苏宁大药房”；APP端从首页“苏宁健康”里面进入后可看到“大药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0"/>
        <w:jc w:val="center"/>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drawing>
          <wp:inline distT="0" distB="0" distL="114300" distR="114300">
            <wp:extent cx="3401060" cy="1786890"/>
            <wp:effectExtent l="0" t="0" r="8890" b="3810"/>
            <wp:docPr id="7" name="图片 7" descr="7bfa7abdfeb3ef4f47e4805f892ef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fa7abdfeb3ef4f47e4805f892ef536"/>
                    <pic:cNvPicPr>
                      <a:picLocks noChangeAspect="1"/>
                    </pic:cNvPicPr>
                  </pic:nvPicPr>
                  <pic:blipFill>
                    <a:blip r:embed="rId24"/>
                    <a:stretch>
                      <a:fillRect/>
                    </a:stretch>
                  </pic:blipFill>
                  <pic:spPr>
                    <a:xfrm>
                      <a:off x="0" y="0"/>
                      <a:ext cx="3401060" cy="1786890"/>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当然，相较于京东健康、阿里健康、美团买药等医药电商大流量平台，苏宁易购、国美、瑞幸等新入局较晚，前期“卖药”效果不佳也在意料之中。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不过，随着抖音、腾讯等越来越来的电商平台、互联网巨头加码投资布局医药零售这条新赛道，医药电商的渠道将更为多元化、差异化，原本“拥挤”的行业面临更多竞争，线上或再“割”走一部分线下客流量和销售额。</w:t>
      </w:r>
    </w:p>
    <w:p>
      <w:pPr>
        <w:jc w:val="center"/>
        <w:rPr>
          <w:rStyle w:val="14"/>
          <w:rFonts w:hint="eastAsia" w:cs="Helvetica" w:asciiTheme="minorEastAsia" w:hAnsiTheme="minorEastAsia"/>
          <w:spacing w:val="15"/>
          <w:sz w:val="28"/>
          <w:szCs w:val="28"/>
        </w:rPr>
      </w:pPr>
      <w:r>
        <w:rPr>
          <w:rStyle w:val="14"/>
          <w:rFonts w:hint="eastAsia" w:cs="Helvetica" w:asciiTheme="minorEastAsia" w:hAnsiTheme="minorEastAsia"/>
          <w:spacing w:val="15"/>
          <w:sz w:val="28"/>
          <w:szCs w:val="28"/>
        </w:rPr>
        <w:t>0</w:t>
      </w:r>
      <w:r>
        <w:rPr>
          <w:rStyle w:val="14"/>
          <w:rFonts w:hint="eastAsia" w:cs="Helvetica" w:asciiTheme="minorEastAsia" w:hAnsiTheme="minorEastAsia"/>
          <w:spacing w:val="15"/>
          <w:sz w:val="28"/>
          <w:szCs w:val="28"/>
          <w:lang w:val="en-US" w:eastAsia="zh-CN"/>
        </w:rPr>
        <w:t>3</w:t>
      </w:r>
      <w:r>
        <w:rPr>
          <w:rStyle w:val="14"/>
          <w:rFonts w:hint="eastAsia" w:cs="Helvetica" w:asciiTheme="minorEastAsia" w:hAnsiTheme="minorEastAsia"/>
          <w:spacing w:val="15"/>
          <w:sz w:val="28"/>
          <w:szCs w:val="28"/>
        </w:rPr>
        <w:t xml:space="preserve"> 下一个风口：医疗器械电商？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医疗器械的传统销售渠道是医院和药店，现在转战新零售平台，机会在哪？</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据国家药监局数据显示，2021年3月至2022年3月期间，全国医疗器械网络交易服务第三方平台备案数由382个增至536个，同比增长40%。</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近些年，阿里、京东、美团、拼多多、唯品会等电商平台都有医疗器械网络交易服务。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例如，美团、饿了么主要是将医疗器械专卖店“搬到”线上，多以抗原检测试剂盒、雾化器、隐形眼镜、口罩、按摩仪等日常医疗保健器材为主。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阿里健康开通线上医疗器械企业旗舰店；京东健康以自营模式为主，同时兼顾面向医疗机构的采购批发业务，直播带货产品主要是超声、CT等高端医疗设备。</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与此同时，传统医疗器械企业，也在积极布局电商领域。包括鱼跃医疗、三诺、欧姆龙等在电商平台开设旗舰店。</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120"/>
        <w:jc w:val="center"/>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drawing>
          <wp:inline distT="0" distB="0" distL="114300" distR="114300">
            <wp:extent cx="2843530" cy="2843530"/>
            <wp:effectExtent l="0" t="0" r="13970" b="13970"/>
            <wp:docPr id="8" name="图片 8" descr="96a75fcfcde9d4a50786482a3d387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6a75fcfcde9d4a50786482a3d3874cb"/>
                    <pic:cNvPicPr>
                      <a:picLocks noChangeAspect="1"/>
                    </pic:cNvPicPr>
                  </pic:nvPicPr>
                  <pic:blipFill>
                    <a:blip r:embed="rId25"/>
                    <a:stretch>
                      <a:fillRect/>
                    </a:stretch>
                  </pic:blipFill>
                  <pic:spPr>
                    <a:xfrm>
                      <a:off x="0" y="0"/>
                      <a:ext cx="2843530" cy="2843530"/>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Style w:val="14"/>
          <w:rFonts w:hint="eastAsia" w:eastAsia="宋体" w:cs="Helvetica" w:asciiTheme="minorEastAsia" w:hAnsiTheme="minorEastAsia"/>
          <w:b w:val="0"/>
          <w:spacing w:val="15"/>
          <w:kern w:val="2"/>
          <w:sz w:val="28"/>
          <w:szCs w:val="28"/>
          <w:lang w:val="en-US" w:eastAsia="zh-CN" w:bidi="ar-SA"/>
        </w:rPr>
      </w:pPr>
      <w:r>
        <w:rPr>
          <w:rStyle w:val="14"/>
          <w:rFonts w:hint="eastAsia" w:eastAsia="宋体" w:cs="Helvetica" w:asciiTheme="minorEastAsia" w:hAnsiTheme="minorEastAsia"/>
          <w:b w:val="0"/>
          <w:spacing w:val="15"/>
          <w:kern w:val="2"/>
          <w:sz w:val="28"/>
          <w:szCs w:val="28"/>
          <w:lang w:val="en-US" w:eastAsia="zh-CN" w:bidi="ar-SA"/>
        </w:rPr>
        <w:t>对于渠道相对传统的医疗器械行业来说，互联网电商平台庞大的流量以及用户基数，是一个新机会，能否成为其实现业绩翻倍的新增量？时至今日，平台玩法还在进一步完善和摸索，有待观察。但毫无疑问的是，医疗器械电商已成为医械企业、经销商着重关注的新渠道。</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20" w:right="120" w:firstLine="620" w:firstLineChars="200"/>
        <w:jc w:val="both"/>
        <w:rPr>
          <w:rFonts w:hint="eastAsia" w:asciiTheme="minorEastAsia" w:hAnsiTheme="minorEastAsia"/>
          <w:sz w:val="28"/>
          <w:szCs w:val="28"/>
          <w:lang w:val="en-US" w:eastAsia="zh-CN"/>
        </w:rPr>
      </w:pPr>
      <w:r>
        <w:rPr>
          <w:rStyle w:val="14"/>
          <w:rFonts w:hint="eastAsia" w:eastAsia="宋体" w:cs="Helvetica" w:asciiTheme="minorEastAsia" w:hAnsiTheme="minorEastAsia"/>
          <w:b w:val="0"/>
          <w:spacing w:val="15"/>
          <w:kern w:val="2"/>
          <w:sz w:val="28"/>
          <w:szCs w:val="28"/>
          <w:lang w:val="en-US" w:eastAsia="zh-CN" w:bidi="ar-SA"/>
        </w:rPr>
        <w:t>有业内人士认为，对药店来说，跨界者纷纷入局，药店经营者应当建立起自己的壁垒，强化自身优势，持续在专业力、供应链能力上下功夫，避免被跨界者赶超。</w:t>
      </w:r>
    </w:p>
    <w:sectPr>
      <w:footerReference r:id="rId3" w:type="default"/>
      <w:pgSz w:w="11906" w:h="16838"/>
      <w:pgMar w:top="1440" w:right="1797" w:bottom="1134"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iti SC Light">
    <w:altName w:val="hakuyoxingshu7000"/>
    <w:panose1 w:val="00000000000000000000"/>
    <w:charset w:val="50"/>
    <w:family w:val="auto"/>
    <w:pitch w:val="default"/>
    <w:sig w:usb0="00000000" w:usb1="00000000" w:usb2="00000010" w:usb3="00000000" w:csb0="00040000" w:csb1="00000000"/>
  </w:font>
  <w:font w:name="hakuyoxingshu7000">
    <w:panose1 w:val="02000600000000000000"/>
    <w:charset w:val="86"/>
    <w:family w:val="auto"/>
    <w:pitch w:val="default"/>
    <w:sig w:usb0="FFFFFFFF" w:usb1="E9FFFFFF" w:usb2="0000003F" w:usb3="00000000" w:csb0="603F00FF" w:csb1="FFFF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8"/>
          <w:jc w:val="center"/>
        </w:pPr>
        <w:r>
          <w:fldChar w:fldCharType="begin"/>
        </w:r>
        <w:r>
          <w:instrText xml:space="preserve"> PAGE   \* MERGEFORMAT </w:instrText>
        </w:r>
        <w:r>
          <w:fldChar w:fldCharType="separate"/>
        </w:r>
        <w:r>
          <w:rPr>
            <w:lang w:val="zh-CN"/>
          </w:rPr>
          <w:t>35</w:t>
        </w:r>
        <w:r>
          <w:rPr>
            <w:lang w:val="zh-CN"/>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02EA"/>
    <w:rsid w:val="00031218"/>
    <w:rsid w:val="0003140E"/>
    <w:rsid w:val="00031F9A"/>
    <w:rsid w:val="000321B8"/>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596E"/>
    <w:rsid w:val="0005614E"/>
    <w:rsid w:val="000561FD"/>
    <w:rsid w:val="00056209"/>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94B"/>
    <w:rsid w:val="00076278"/>
    <w:rsid w:val="00076422"/>
    <w:rsid w:val="00076AA0"/>
    <w:rsid w:val="00077AA6"/>
    <w:rsid w:val="00081C4C"/>
    <w:rsid w:val="0008296C"/>
    <w:rsid w:val="00082B25"/>
    <w:rsid w:val="00082D82"/>
    <w:rsid w:val="0008334C"/>
    <w:rsid w:val="00084851"/>
    <w:rsid w:val="0008494B"/>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02B"/>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659"/>
    <w:rsid w:val="000D2695"/>
    <w:rsid w:val="000D28F7"/>
    <w:rsid w:val="000D56A1"/>
    <w:rsid w:val="000D5A1A"/>
    <w:rsid w:val="000D5FFB"/>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33C"/>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77D"/>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3FCE"/>
    <w:rsid w:val="0012415F"/>
    <w:rsid w:val="00124221"/>
    <w:rsid w:val="00125020"/>
    <w:rsid w:val="00125227"/>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FFB"/>
    <w:rsid w:val="001514B1"/>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1AC8"/>
    <w:rsid w:val="0018452F"/>
    <w:rsid w:val="001859C9"/>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9BE"/>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646C"/>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0ED"/>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4D3B"/>
    <w:rsid w:val="00235103"/>
    <w:rsid w:val="002351A4"/>
    <w:rsid w:val="00236537"/>
    <w:rsid w:val="0023675C"/>
    <w:rsid w:val="00237D91"/>
    <w:rsid w:val="0024061C"/>
    <w:rsid w:val="00240C67"/>
    <w:rsid w:val="00240FAB"/>
    <w:rsid w:val="002416FC"/>
    <w:rsid w:val="002427C2"/>
    <w:rsid w:val="00244227"/>
    <w:rsid w:val="00244248"/>
    <w:rsid w:val="0024457B"/>
    <w:rsid w:val="00244ABD"/>
    <w:rsid w:val="00244CFF"/>
    <w:rsid w:val="00245654"/>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57A74"/>
    <w:rsid w:val="0026045F"/>
    <w:rsid w:val="00260468"/>
    <w:rsid w:val="00260992"/>
    <w:rsid w:val="002621F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283B"/>
    <w:rsid w:val="002A33A8"/>
    <w:rsid w:val="002A3C2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021"/>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5D30"/>
    <w:rsid w:val="002D68A2"/>
    <w:rsid w:val="002D7855"/>
    <w:rsid w:val="002D7BEE"/>
    <w:rsid w:val="002E096F"/>
    <w:rsid w:val="002E1EA0"/>
    <w:rsid w:val="002E2D86"/>
    <w:rsid w:val="002E36AC"/>
    <w:rsid w:val="002E3F25"/>
    <w:rsid w:val="002E4FD9"/>
    <w:rsid w:val="002E5E7D"/>
    <w:rsid w:val="002E6ABE"/>
    <w:rsid w:val="002F0685"/>
    <w:rsid w:val="002F1160"/>
    <w:rsid w:val="002F13BC"/>
    <w:rsid w:val="002F1F90"/>
    <w:rsid w:val="002F3403"/>
    <w:rsid w:val="002F3F94"/>
    <w:rsid w:val="002F40B3"/>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3C02"/>
    <w:rsid w:val="00314C54"/>
    <w:rsid w:val="003161C3"/>
    <w:rsid w:val="00317276"/>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4825"/>
    <w:rsid w:val="00335274"/>
    <w:rsid w:val="00335A4E"/>
    <w:rsid w:val="00335C44"/>
    <w:rsid w:val="00336499"/>
    <w:rsid w:val="0033663B"/>
    <w:rsid w:val="00336E08"/>
    <w:rsid w:val="00336F6F"/>
    <w:rsid w:val="003370D6"/>
    <w:rsid w:val="0033724A"/>
    <w:rsid w:val="00337391"/>
    <w:rsid w:val="00337888"/>
    <w:rsid w:val="00337E06"/>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EDB"/>
    <w:rsid w:val="00365092"/>
    <w:rsid w:val="003656A7"/>
    <w:rsid w:val="00365C24"/>
    <w:rsid w:val="003662F1"/>
    <w:rsid w:val="00366A50"/>
    <w:rsid w:val="00366F4D"/>
    <w:rsid w:val="0036711D"/>
    <w:rsid w:val="00367305"/>
    <w:rsid w:val="0036751A"/>
    <w:rsid w:val="003679CE"/>
    <w:rsid w:val="00370103"/>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2266"/>
    <w:rsid w:val="003F3312"/>
    <w:rsid w:val="003F4D08"/>
    <w:rsid w:val="003F5392"/>
    <w:rsid w:val="003F5C06"/>
    <w:rsid w:val="003F5D26"/>
    <w:rsid w:val="003F5E53"/>
    <w:rsid w:val="003F5FAB"/>
    <w:rsid w:val="003F66F5"/>
    <w:rsid w:val="003F6EF1"/>
    <w:rsid w:val="003F6F0B"/>
    <w:rsid w:val="003F6F7E"/>
    <w:rsid w:val="003F7CD9"/>
    <w:rsid w:val="004004A9"/>
    <w:rsid w:val="004009E2"/>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3E76"/>
    <w:rsid w:val="004242C7"/>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1A88"/>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1D6"/>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B757D"/>
    <w:rsid w:val="004C0247"/>
    <w:rsid w:val="004C171A"/>
    <w:rsid w:val="004C3CBE"/>
    <w:rsid w:val="004C3CE4"/>
    <w:rsid w:val="004C4274"/>
    <w:rsid w:val="004C6C60"/>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4C45"/>
    <w:rsid w:val="005C5B9C"/>
    <w:rsid w:val="005C61F1"/>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462"/>
    <w:rsid w:val="005E48A0"/>
    <w:rsid w:val="005E4B49"/>
    <w:rsid w:val="005E5241"/>
    <w:rsid w:val="005E5B1D"/>
    <w:rsid w:val="005E6377"/>
    <w:rsid w:val="005E750B"/>
    <w:rsid w:val="005E7CEA"/>
    <w:rsid w:val="005F023A"/>
    <w:rsid w:val="005F02AF"/>
    <w:rsid w:val="005F1719"/>
    <w:rsid w:val="005F2817"/>
    <w:rsid w:val="005F3812"/>
    <w:rsid w:val="005F4451"/>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59A"/>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177"/>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345"/>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A7884"/>
    <w:rsid w:val="006B0715"/>
    <w:rsid w:val="006B072C"/>
    <w:rsid w:val="006B0AFF"/>
    <w:rsid w:val="006B0CAD"/>
    <w:rsid w:val="006B1D1E"/>
    <w:rsid w:val="006B2065"/>
    <w:rsid w:val="006B304B"/>
    <w:rsid w:val="006B444D"/>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3CA"/>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1B55"/>
    <w:rsid w:val="006F1CEC"/>
    <w:rsid w:val="006F201F"/>
    <w:rsid w:val="006F25F5"/>
    <w:rsid w:val="006F371F"/>
    <w:rsid w:val="006F4B62"/>
    <w:rsid w:val="006F5124"/>
    <w:rsid w:val="006F5285"/>
    <w:rsid w:val="006F5942"/>
    <w:rsid w:val="006F63D2"/>
    <w:rsid w:val="006F66F0"/>
    <w:rsid w:val="006F6BBC"/>
    <w:rsid w:val="006F72C9"/>
    <w:rsid w:val="00700509"/>
    <w:rsid w:val="00700803"/>
    <w:rsid w:val="00700FF9"/>
    <w:rsid w:val="0070162F"/>
    <w:rsid w:val="0070214B"/>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261F"/>
    <w:rsid w:val="00723A70"/>
    <w:rsid w:val="00723BD6"/>
    <w:rsid w:val="00723D39"/>
    <w:rsid w:val="007242E8"/>
    <w:rsid w:val="00724637"/>
    <w:rsid w:val="0072593C"/>
    <w:rsid w:val="00726523"/>
    <w:rsid w:val="00726AB8"/>
    <w:rsid w:val="007272C0"/>
    <w:rsid w:val="00730E23"/>
    <w:rsid w:val="00731E43"/>
    <w:rsid w:val="007320E2"/>
    <w:rsid w:val="00733A24"/>
    <w:rsid w:val="0073532B"/>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B93"/>
    <w:rsid w:val="00790F8E"/>
    <w:rsid w:val="007918EF"/>
    <w:rsid w:val="007927AC"/>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366E"/>
    <w:rsid w:val="007B3F98"/>
    <w:rsid w:val="007B4520"/>
    <w:rsid w:val="007B496E"/>
    <w:rsid w:val="007B4A5F"/>
    <w:rsid w:val="007B4FE4"/>
    <w:rsid w:val="007B50D4"/>
    <w:rsid w:val="007B52AA"/>
    <w:rsid w:val="007B5C6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3F2F"/>
    <w:rsid w:val="007E4918"/>
    <w:rsid w:val="007E4BE3"/>
    <w:rsid w:val="007E675B"/>
    <w:rsid w:val="007E67DF"/>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6F7C"/>
    <w:rsid w:val="0080741D"/>
    <w:rsid w:val="00807EAA"/>
    <w:rsid w:val="00811D10"/>
    <w:rsid w:val="00812EAC"/>
    <w:rsid w:val="008138F0"/>
    <w:rsid w:val="00814D85"/>
    <w:rsid w:val="008151F5"/>
    <w:rsid w:val="00815C2E"/>
    <w:rsid w:val="00816D2F"/>
    <w:rsid w:val="00816EDB"/>
    <w:rsid w:val="008203B3"/>
    <w:rsid w:val="0082191D"/>
    <w:rsid w:val="00821E2F"/>
    <w:rsid w:val="00822DB3"/>
    <w:rsid w:val="008230CA"/>
    <w:rsid w:val="008233F5"/>
    <w:rsid w:val="00826013"/>
    <w:rsid w:val="0082627D"/>
    <w:rsid w:val="00826C11"/>
    <w:rsid w:val="00827962"/>
    <w:rsid w:val="00827E97"/>
    <w:rsid w:val="00830713"/>
    <w:rsid w:val="008308D1"/>
    <w:rsid w:val="008309D3"/>
    <w:rsid w:val="00832A3B"/>
    <w:rsid w:val="00832E99"/>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18F1"/>
    <w:rsid w:val="00843605"/>
    <w:rsid w:val="00843CBC"/>
    <w:rsid w:val="00843DCB"/>
    <w:rsid w:val="00843F22"/>
    <w:rsid w:val="008447CA"/>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E40"/>
    <w:rsid w:val="00862040"/>
    <w:rsid w:val="0086267F"/>
    <w:rsid w:val="00862897"/>
    <w:rsid w:val="008628EC"/>
    <w:rsid w:val="008631D7"/>
    <w:rsid w:val="008636EE"/>
    <w:rsid w:val="0086467A"/>
    <w:rsid w:val="0086479E"/>
    <w:rsid w:val="00864D1E"/>
    <w:rsid w:val="00866E33"/>
    <w:rsid w:val="0086769C"/>
    <w:rsid w:val="008677ED"/>
    <w:rsid w:val="00867B2A"/>
    <w:rsid w:val="00867DB1"/>
    <w:rsid w:val="00870961"/>
    <w:rsid w:val="00870B32"/>
    <w:rsid w:val="008739B0"/>
    <w:rsid w:val="00873C83"/>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6D97"/>
    <w:rsid w:val="00897288"/>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59F"/>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5467"/>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1372"/>
    <w:rsid w:val="009113F4"/>
    <w:rsid w:val="00911E31"/>
    <w:rsid w:val="00911F96"/>
    <w:rsid w:val="00912091"/>
    <w:rsid w:val="009126F0"/>
    <w:rsid w:val="00913083"/>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427"/>
    <w:rsid w:val="00960AAA"/>
    <w:rsid w:val="00960DE2"/>
    <w:rsid w:val="00961E9C"/>
    <w:rsid w:val="009624A1"/>
    <w:rsid w:val="009632C5"/>
    <w:rsid w:val="009647EC"/>
    <w:rsid w:val="00967284"/>
    <w:rsid w:val="0096775C"/>
    <w:rsid w:val="00970CD3"/>
    <w:rsid w:val="009711B8"/>
    <w:rsid w:val="009719FB"/>
    <w:rsid w:val="00972192"/>
    <w:rsid w:val="00972664"/>
    <w:rsid w:val="00973C73"/>
    <w:rsid w:val="0097538D"/>
    <w:rsid w:val="00975E74"/>
    <w:rsid w:val="00976911"/>
    <w:rsid w:val="009775CA"/>
    <w:rsid w:val="00977742"/>
    <w:rsid w:val="009806F0"/>
    <w:rsid w:val="00981181"/>
    <w:rsid w:val="009812FD"/>
    <w:rsid w:val="009813D5"/>
    <w:rsid w:val="009816C4"/>
    <w:rsid w:val="0098346B"/>
    <w:rsid w:val="00985A43"/>
    <w:rsid w:val="009860B9"/>
    <w:rsid w:val="00987525"/>
    <w:rsid w:val="00990B9A"/>
    <w:rsid w:val="00991165"/>
    <w:rsid w:val="00991306"/>
    <w:rsid w:val="00991FB7"/>
    <w:rsid w:val="00992060"/>
    <w:rsid w:val="009929EB"/>
    <w:rsid w:val="00992F75"/>
    <w:rsid w:val="00993080"/>
    <w:rsid w:val="0099318C"/>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16A"/>
    <w:rsid w:val="009A3900"/>
    <w:rsid w:val="009A3AEF"/>
    <w:rsid w:val="009A410B"/>
    <w:rsid w:val="009A426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107B"/>
    <w:rsid w:val="009F2311"/>
    <w:rsid w:val="009F2575"/>
    <w:rsid w:val="009F25DB"/>
    <w:rsid w:val="009F308D"/>
    <w:rsid w:val="009F4210"/>
    <w:rsid w:val="009F449D"/>
    <w:rsid w:val="009F5C8D"/>
    <w:rsid w:val="009F6736"/>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12B0"/>
    <w:rsid w:val="00A223B5"/>
    <w:rsid w:val="00A2274F"/>
    <w:rsid w:val="00A234CB"/>
    <w:rsid w:val="00A235CA"/>
    <w:rsid w:val="00A235D3"/>
    <w:rsid w:val="00A2396A"/>
    <w:rsid w:val="00A2485F"/>
    <w:rsid w:val="00A257FC"/>
    <w:rsid w:val="00A26FA0"/>
    <w:rsid w:val="00A301AA"/>
    <w:rsid w:val="00A30480"/>
    <w:rsid w:val="00A3049D"/>
    <w:rsid w:val="00A30E9C"/>
    <w:rsid w:val="00A321CD"/>
    <w:rsid w:val="00A32C7B"/>
    <w:rsid w:val="00A33128"/>
    <w:rsid w:val="00A34866"/>
    <w:rsid w:val="00A35A71"/>
    <w:rsid w:val="00A35C38"/>
    <w:rsid w:val="00A36446"/>
    <w:rsid w:val="00A36D74"/>
    <w:rsid w:val="00A36EC6"/>
    <w:rsid w:val="00A379CF"/>
    <w:rsid w:val="00A37B99"/>
    <w:rsid w:val="00A4034A"/>
    <w:rsid w:val="00A4089B"/>
    <w:rsid w:val="00A41593"/>
    <w:rsid w:val="00A42118"/>
    <w:rsid w:val="00A446B3"/>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DF4"/>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38D"/>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1E31"/>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227"/>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57516"/>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7A8B"/>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3E7"/>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43E1"/>
    <w:rsid w:val="00BE5441"/>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0F92"/>
    <w:rsid w:val="00C2196F"/>
    <w:rsid w:val="00C21EE0"/>
    <w:rsid w:val="00C22F82"/>
    <w:rsid w:val="00C2428B"/>
    <w:rsid w:val="00C258B1"/>
    <w:rsid w:val="00C26B69"/>
    <w:rsid w:val="00C27046"/>
    <w:rsid w:val="00C277A8"/>
    <w:rsid w:val="00C27A54"/>
    <w:rsid w:val="00C32822"/>
    <w:rsid w:val="00C337A0"/>
    <w:rsid w:val="00C341A0"/>
    <w:rsid w:val="00C349FA"/>
    <w:rsid w:val="00C35900"/>
    <w:rsid w:val="00C36A3C"/>
    <w:rsid w:val="00C3722B"/>
    <w:rsid w:val="00C3737D"/>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737"/>
    <w:rsid w:val="00C75EF7"/>
    <w:rsid w:val="00C76181"/>
    <w:rsid w:val="00C764F3"/>
    <w:rsid w:val="00C767F0"/>
    <w:rsid w:val="00C76DAB"/>
    <w:rsid w:val="00C803CF"/>
    <w:rsid w:val="00C818F2"/>
    <w:rsid w:val="00C81C56"/>
    <w:rsid w:val="00C82329"/>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16D"/>
    <w:rsid w:val="00C91A02"/>
    <w:rsid w:val="00C91A32"/>
    <w:rsid w:val="00C92140"/>
    <w:rsid w:val="00C92C41"/>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306"/>
    <w:rsid w:val="00CA55FE"/>
    <w:rsid w:val="00CA647C"/>
    <w:rsid w:val="00CA6F0A"/>
    <w:rsid w:val="00CA720B"/>
    <w:rsid w:val="00CA7485"/>
    <w:rsid w:val="00CA7890"/>
    <w:rsid w:val="00CA7984"/>
    <w:rsid w:val="00CA7C71"/>
    <w:rsid w:val="00CB0A01"/>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76BF"/>
    <w:rsid w:val="00CC78FD"/>
    <w:rsid w:val="00CD0750"/>
    <w:rsid w:val="00CD07D6"/>
    <w:rsid w:val="00CD1B64"/>
    <w:rsid w:val="00CD2DA7"/>
    <w:rsid w:val="00CD43AB"/>
    <w:rsid w:val="00CD4AD6"/>
    <w:rsid w:val="00CD4B93"/>
    <w:rsid w:val="00CD50E8"/>
    <w:rsid w:val="00CD5180"/>
    <w:rsid w:val="00CD5E33"/>
    <w:rsid w:val="00CD6BB8"/>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5045"/>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166C7"/>
    <w:rsid w:val="00D2068B"/>
    <w:rsid w:val="00D209F3"/>
    <w:rsid w:val="00D20F45"/>
    <w:rsid w:val="00D21257"/>
    <w:rsid w:val="00D2129C"/>
    <w:rsid w:val="00D21BC1"/>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48F7"/>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6F3F"/>
    <w:rsid w:val="00D7762F"/>
    <w:rsid w:val="00D80DA5"/>
    <w:rsid w:val="00D81003"/>
    <w:rsid w:val="00D81447"/>
    <w:rsid w:val="00D8181D"/>
    <w:rsid w:val="00D82813"/>
    <w:rsid w:val="00D82AC6"/>
    <w:rsid w:val="00D82DB3"/>
    <w:rsid w:val="00D840CB"/>
    <w:rsid w:val="00D84F08"/>
    <w:rsid w:val="00D84F38"/>
    <w:rsid w:val="00D85699"/>
    <w:rsid w:val="00D85B2F"/>
    <w:rsid w:val="00D861A2"/>
    <w:rsid w:val="00D86C94"/>
    <w:rsid w:val="00D90FDA"/>
    <w:rsid w:val="00D9106E"/>
    <w:rsid w:val="00D917F9"/>
    <w:rsid w:val="00D92564"/>
    <w:rsid w:val="00D926FA"/>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30"/>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4FE"/>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2CB1"/>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56B"/>
    <w:rsid w:val="00DF2C18"/>
    <w:rsid w:val="00DF3D79"/>
    <w:rsid w:val="00DF47EE"/>
    <w:rsid w:val="00DF502B"/>
    <w:rsid w:val="00DF54BB"/>
    <w:rsid w:val="00DF62E0"/>
    <w:rsid w:val="00DF7435"/>
    <w:rsid w:val="00DF7D77"/>
    <w:rsid w:val="00E00060"/>
    <w:rsid w:val="00E00431"/>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3653A"/>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E84"/>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1A7A"/>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4BBE"/>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EF727C"/>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573E6"/>
    <w:rsid w:val="00F61F49"/>
    <w:rsid w:val="00F620DD"/>
    <w:rsid w:val="00F6277C"/>
    <w:rsid w:val="00F63440"/>
    <w:rsid w:val="00F647F9"/>
    <w:rsid w:val="00F64B62"/>
    <w:rsid w:val="00F64F4B"/>
    <w:rsid w:val="00F661C7"/>
    <w:rsid w:val="00F66588"/>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8A3"/>
    <w:rsid w:val="00F96A2B"/>
    <w:rsid w:val="00FA0219"/>
    <w:rsid w:val="00FA1A82"/>
    <w:rsid w:val="00FA30A2"/>
    <w:rsid w:val="00FA389D"/>
    <w:rsid w:val="00FA3CCE"/>
    <w:rsid w:val="00FA460E"/>
    <w:rsid w:val="00FA5273"/>
    <w:rsid w:val="00FA5BFD"/>
    <w:rsid w:val="00FA5E36"/>
    <w:rsid w:val="00FA641D"/>
    <w:rsid w:val="00FA6F79"/>
    <w:rsid w:val="00FA71F0"/>
    <w:rsid w:val="00FA7834"/>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5FAC"/>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2544"/>
    <w:rsid w:val="00FF3301"/>
    <w:rsid w:val="00FF3335"/>
    <w:rsid w:val="00FF3C71"/>
    <w:rsid w:val="00FF3DEC"/>
    <w:rsid w:val="00FF47F6"/>
    <w:rsid w:val="00FF4A83"/>
    <w:rsid w:val="00FF52CF"/>
    <w:rsid w:val="00FF5CC9"/>
    <w:rsid w:val="00FF6D43"/>
    <w:rsid w:val="00FF73E8"/>
    <w:rsid w:val="00FF796E"/>
    <w:rsid w:val="01814321"/>
    <w:rsid w:val="01981761"/>
    <w:rsid w:val="09D05DEC"/>
    <w:rsid w:val="09F63639"/>
    <w:rsid w:val="0AE93662"/>
    <w:rsid w:val="0C93296B"/>
    <w:rsid w:val="10710382"/>
    <w:rsid w:val="133E25B0"/>
    <w:rsid w:val="13F015BE"/>
    <w:rsid w:val="14794C25"/>
    <w:rsid w:val="193E101D"/>
    <w:rsid w:val="19D8595E"/>
    <w:rsid w:val="1EAB0F03"/>
    <w:rsid w:val="269A41CC"/>
    <w:rsid w:val="28A36949"/>
    <w:rsid w:val="29413A4D"/>
    <w:rsid w:val="2E3C1649"/>
    <w:rsid w:val="309A0DD7"/>
    <w:rsid w:val="30BA6D84"/>
    <w:rsid w:val="31615451"/>
    <w:rsid w:val="31B41A25"/>
    <w:rsid w:val="33FB7DDF"/>
    <w:rsid w:val="3A8F5700"/>
    <w:rsid w:val="3EE762D2"/>
    <w:rsid w:val="4090365D"/>
    <w:rsid w:val="40D73166"/>
    <w:rsid w:val="40E56C11"/>
    <w:rsid w:val="411D5025"/>
    <w:rsid w:val="42260DDB"/>
    <w:rsid w:val="434C670E"/>
    <w:rsid w:val="44AB315B"/>
    <w:rsid w:val="44C055E0"/>
    <w:rsid w:val="464D6B29"/>
    <w:rsid w:val="5084660D"/>
    <w:rsid w:val="55275FF4"/>
    <w:rsid w:val="55CE495A"/>
    <w:rsid w:val="56721A62"/>
    <w:rsid w:val="5C3C3BB3"/>
    <w:rsid w:val="5D96206A"/>
    <w:rsid w:val="60723523"/>
    <w:rsid w:val="624D542C"/>
    <w:rsid w:val="661C6631"/>
    <w:rsid w:val="68A970BB"/>
    <w:rsid w:val="6B95269F"/>
    <w:rsid w:val="6BBF215B"/>
    <w:rsid w:val="70E138DD"/>
    <w:rsid w:val="72D4487B"/>
    <w:rsid w:val="76443835"/>
    <w:rsid w:val="773B1232"/>
    <w:rsid w:val="79D850E7"/>
    <w:rsid w:val="7CB83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5"/>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1"/>
    <w:next w:val="1"/>
    <w:link w:val="26"/>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8"/>
    <w:semiHidden/>
    <w:qFormat/>
    <w:uiPriority w:val="0"/>
    <w:pPr>
      <w:shd w:val="clear" w:color="auto" w:fill="000080"/>
    </w:pPr>
    <w:rPr>
      <w:rFonts w:ascii="Times New Roman" w:hAnsi="Times New Roman"/>
      <w:szCs w:val="24"/>
    </w:rPr>
  </w:style>
  <w:style w:type="paragraph" w:styleId="6">
    <w:name w:val="Date"/>
    <w:basedOn w:val="1"/>
    <w:next w:val="1"/>
    <w:link w:val="36"/>
    <w:semiHidden/>
    <w:unhideWhenUsed/>
    <w:qFormat/>
    <w:uiPriority w:val="0"/>
    <w:pPr>
      <w:ind w:left="100" w:leftChars="2500"/>
    </w:pPr>
  </w:style>
  <w:style w:type="paragraph" w:styleId="7">
    <w:name w:val="Balloon Text"/>
    <w:basedOn w:val="1"/>
    <w:link w:val="18"/>
    <w:unhideWhenUsed/>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22"/>
    <w:rPr>
      <w:b/>
      <w:bCs/>
    </w:rPr>
  </w:style>
  <w:style w:type="character" w:styleId="15">
    <w:name w:val="page number"/>
    <w:basedOn w:val="13"/>
    <w:qFormat/>
    <w:uiPriority w:val="0"/>
  </w:style>
  <w:style w:type="character" w:styleId="16">
    <w:name w:val="Emphasis"/>
    <w:basedOn w:val="13"/>
    <w:qFormat/>
    <w:uiPriority w:val="20"/>
    <w:rPr>
      <w:i/>
      <w:iCs/>
    </w:rPr>
  </w:style>
  <w:style w:type="character" w:styleId="17">
    <w:name w:val="Hyperlink"/>
    <w:basedOn w:val="13"/>
    <w:unhideWhenUsed/>
    <w:qFormat/>
    <w:uiPriority w:val="99"/>
    <w:rPr>
      <w:color w:val="0000FF"/>
      <w:u w:val="single"/>
    </w:rPr>
  </w:style>
  <w:style w:type="character" w:customStyle="1" w:styleId="18">
    <w:name w:val="批注框文本 Char"/>
    <w:basedOn w:val="13"/>
    <w:link w:val="7"/>
    <w:semiHidden/>
    <w:qFormat/>
    <w:uiPriority w:val="0"/>
    <w:rPr>
      <w:sz w:val="18"/>
      <w:szCs w:val="18"/>
    </w:rPr>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No Spacing"/>
    <w:link w:val="22"/>
    <w:qFormat/>
    <w:uiPriority w:val="1"/>
    <w:rPr>
      <w:rFonts w:asciiTheme="minorHAnsi" w:hAnsiTheme="minorHAnsi" w:eastAsiaTheme="minorEastAsia" w:cstheme="minorBidi"/>
      <w:sz w:val="22"/>
      <w:szCs w:val="22"/>
      <w:lang w:val="en-US" w:eastAsia="zh-CN" w:bidi="ar-SA"/>
    </w:rPr>
  </w:style>
  <w:style w:type="character" w:customStyle="1" w:styleId="22">
    <w:name w:val="无间隔 Char"/>
    <w:basedOn w:val="13"/>
    <w:link w:val="21"/>
    <w:qFormat/>
    <w:uiPriority w:val="1"/>
    <w:rPr>
      <w:rFonts w:asciiTheme="minorHAnsi" w:hAnsiTheme="minorHAnsi" w:eastAsiaTheme="minorEastAsia" w:cstheme="minorBidi"/>
      <w:sz w:val="22"/>
      <w:szCs w:val="22"/>
    </w:rPr>
  </w:style>
  <w:style w:type="paragraph" w:styleId="23">
    <w:name w:val="List Paragraph"/>
    <w:basedOn w:val="1"/>
    <w:unhideWhenUsed/>
    <w:qFormat/>
    <w:uiPriority w:val="34"/>
    <w:pPr>
      <w:ind w:firstLine="420" w:firstLineChars="200"/>
    </w:pPr>
  </w:style>
  <w:style w:type="paragraph" w:customStyle="1" w:styleId="24">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5">
    <w:name w:val="标题 2 Char"/>
    <w:basedOn w:val="13"/>
    <w:link w:val="3"/>
    <w:qFormat/>
    <w:uiPriority w:val="9"/>
    <w:rPr>
      <w:rFonts w:ascii="宋体" w:hAnsi="宋体" w:cs="宋体"/>
      <w:sz w:val="36"/>
      <w:szCs w:val="36"/>
    </w:rPr>
  </w:style>
  <w:style w:type="character" w:customStyle="1" w:styleId="26">
    <w:name w:val="标题 4 Char"/>
    <w:basedOn w:val="13"/>
    <w:link w:val="4"/>
    <w:qFormat/>
    <w:uiPriority w:val="9"/>
    <w:rPr>
      <w:rFonts w:ascii="宋体" w:hAnsi="宋体" w:cs="宋体"/>
      <w:sz w:val="24"/>
      <w:szCs w:val="24"/>
    </w:rPr>
  </w:style>
  <w:style w:type="paragraph" w:customStyle="1" w:styleId="27">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8">
    <w:name w:val="articlel"/>
    <w:basedOn w:val="13"/>
    <w:qFormat/>
    <w:uiPriority w:val="0"/>
  </w:style>
  <w:style w:type="character" w:customStyle="1" w:styleId="29">
    <w:name w:val="articler"/>
    <w:basedOn w:val="13"/>
    <w:qFormat/>
    <w:uiPriority w:val="0"/>
  </w:style>
  <w:style w:type="paragraph" w:customStyle="1" w:styleId="30">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31">
    <w:name w:val="rich_media_meta1"/>
    <w:basedOn w:val="13"/>
    <w:qFormat/>
    <w:uiPriority w:val="0"/>
    <w:rPr>
      <w:sz w:val="24"/>
      <w:szCs w:val="24"/>
    </w:rPr>
  </w:style>
  <w:style w:type="character" w:customStyle="1" w:styleId="32">
    <w:name w:val="profile_meta_value1"/>
    <w:basedOn w:val="13"/>
    <w:qFormat/>
    <w:uiPriority w:val="0"/>
    <w:rPr>
      <w:color w:val="ADADAD"/>
    </w:rPr>
  </w:style>
  <w:style w:type="character" w:customStyle="1" w:styleId="33">
    <w:name w:val="apple-converted-space"/>
    <w:basedOn w:val="13"/>
    <w:qFormat/>
    <w:uiPriority w:val="0"/>
  </w:style>
  <w:style w:type="character" w:customStyle="1" w:styleId="34">
    <w:name w:val="rich_media_meta"/>
    <w:basedOn w:val="13"/>
    <w:qFormat/>
    <w:uiPriority w:val="0"/>
  </w:style>
  <w:style w:type="character" w:customStyle="1" w:styleId="35">
    <w:name w:val="blue"/>
    <w:basedOn w:val="13"/>
    <w:qFormat/>
    <w:uiPriority w:val="0"/>
  </w:style>
  <w:style w:type="character" w:customStyle="1" w:styleId="36">
    <w:name w:val="日期 Char"/>
    <w:basedOn w:val="13"/>
    <w:link w:val="6"/>
    <w:semiHidden/>
    <w:qFormat/>
    <w:uiPriority w:val="0"/>
    <w:rPr>
      <w:rFonts w:ascii="Calibri" w:hAnsi="Calibri"/>
      <w:kern w:val="2"/>
      <w:sz w:val="21"/>
      <w:szCs w:val="22"/>
    </w:rPr>
  </w:style>
  <w:style w:type="character" w:customStyle="1" w:styleId="37">
    <w:name w:val="article-tag__item"/>
    <w:basedOn w:val="13"/>
    <w:qFormat/>
    <w:uiPriority w:val="0"/>
  </w:style>
  <w:style w:type="character" w:customStyle="1" w:styleId="38">
    <w:name w:val="文档结构图 Char"/>
    <w:basedOn w:val="13"/>
    <w:link w:val="5"/>
    <w:semiHidden/>
    <w:qFormat/>
    <w:uiPriority w:val="0"/>
    <w:rPr>
      <w:kern w:val="2"/>
      <w:sz w:val="21"/>
      <w:szCs w:val="24"/>
      <w:shd w:val="clear" w:color="auto" w:fill="000080"/>
    </w:rPr>
  </w:style>
  <w:style w:type="character" w:customStyle="1" w:styleId="39">
    <w:name w:val="页眉 Char1"/>
    <w:basedOn w:val="13"/>
    <w:semiHidden/>
    <w:qFormat/>
    <w:uiPriority w:val="99"/>
    <w:rPr>
      <w:kern w:val="2"/>
      <w:sz w:val="18"/>
      <w:szCs w:val="18"/>
    </w:rPr>
  </w:style>
  <w:style w:type="character" w:customStyle="1" w:styleId="40">
    <w:name w:val="页脚 Char1"/>
    <w:basedOn w:val="1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FE6A86-8F99-480C-8272-D08E672326D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14066</Words>
  <Characters>15015</Characters>
  <Lines>175</Lines>
  <Paragraphs>49</Paragraphs>
  <TotalTime>1</TotalTime>
  <ScaleCrop>false</ScaleCrop>
  <LinksUpToDate>false</LinksUpToDate>
  <CharactersWithSpaces>15220</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fly</cp:lastModifiedBy>
  <cp:lastPrinted>2018-09-29T05:55:00Z</cp:lastPrinted>
  <dcterms:modified xsi:type="dcterms:W3CDTF">2022-04-27T05:15:15Z</dcterms:modified>
  <dc:subject>2015年7月29日</dc:subject>
  <dc:title>2015年第一期</dc:title>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FDE4415A9D3245C5B46B891FD753CF34</vt:lpwstr>
  </property>
</Properties>
</file>