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id w:val="11921172"/>
        <w:docPartObj>
          <w:docPartGallery w:val="autotext"/>
        </w:docPartObj>
      </w:sdtPr>
      <w:sdtContent>
        <w:p>
          <w:r>
            <w:drawing>
              <wp:anchor distT="0" distB="0" distL="114300" distR="114300" simplePos="0" relativeHeight="251663360" behindDoc="1" locked="0" layoutInCell="1" allowOverlap="1">
                <wp:simplePos x="0" y="0"/>
                <wp:positionH relativeFrom="column">
                  <wp:posOffset>-1188720</wp:posOffset>
                </wp:positionH>
                <wp:positionV relativeFrom="paragraph">
                  <wp:posOffset>-914400</wp:posOffset>
                </wp:positionV>
                <wp:extent cx="7686675" cy="10873105"/>
                <wp:effectExtent l="0" t="0" r="0" b="0"/>
                <wp:wrapNone/>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86674" cy="10872925"/>
                        </a:xfrm>
                        <a:prstGeom prst="rect">
                          <a:avLst/>
                        </a:prstGeom>
                        <a:noFill/>
                        <a:ln w="9525">
                          <a:noFill/>
                          <a:miter lim="800000"/>
                          <a:headEnd/>
                          <a:tailEnd/>
                        </a:ln>
                      </pic:spPr>
                    </pic:pic>
                  </a:graphicData>
                </a:graphic>
              </wp:anchor>
            </w:drawing>
          </w:r>
        </w:p>
        <w:p/>
        <w:tbl>
          <w:tblPr>
            <w:tblStyle w:val="11"/>
            <w:tblpPr w:leftFromText="187" w:rightFromText="187" w:horzAnchor="margin" w:tblpXSpec="center" w:tblpYSpec="bottom"/>
            <w:tblW w:w="4000" w:type="pct"/>
            <w:tblInd w:w="0" w:type="dxa"/>
            <w:tblLayout w:type="autofit"/>
            <w:tblCellMar>
              <w:top w:w="0" w:type="dxa"/>
              <w:left w:w="108" w:type="dxa"/>
              <w:bottom w:w="0" w:type="dxa"/>
              <w:right w:w="108" w:type="dxa"/>
            </w:tblCellMar>
          </w:tblPr>
          <w:tblGrid>
            <w:gridCol w:w="6834"/>
          </w:tblGrid>
          <w:tr>
            <w:tc>
              <w:tcPr>
                <w:tcW w:w="7672" w:type="dxa"/>
                <w:tcMar>
                  <w:top w:w="216" w:type="dxa"/>
                  <w:left w:w="115" w:type="dxa"/>
                  <w:bottom w:w="216" w:type="dxa"/>
                  <w:right w:w="115" w:type="dxa"/>
                </w:tcMar>
              </w:tcPr>
              <w:p>
                <w:pPr>
                  <w:pStyle w:val="20"/>
                  <w:rPr>
                    <w:color w:val="4F81BD" w:themeColor="accent1"/>
                  </w:rPr>
                </w:pPr>
              </w:p>
              <w:p>
                <w:pPr>
                  <w:pStyle w:val="20"/>
                  <w:rPr>
                    <w:color w:val="4F81BD" w:themeColor="accent1"/>
                  </w:rPr>
                </w:pPr>
              </w:p>
              <w:p>
                <w:pPr>
                  <w:pStyle w:val="20"/>
                  <w:rPr>
                    <w:color w:val="4F81BD" w:themeColor="accent1"/>
                  </w:rPr>
                </w:pPr>
              </w:p>
              <w:p>
                <w:pPr>
                  <w:pStyle w:val="20"/>
                  <w:rPr>
                    <w:color w:val="4F81BD" w:themeColor="accent1"/>
                  </w:rPr>
                </w:pPr>
              </w:p>
            </w:tc>
          </w:tr>
        </w:tbl>
        <w:p/>
        <w:p/>
        <w:p/>
        <w:p/>
        <w:p>
          <w:r>
            <w:rPr>
              <w:rFonts w:hint="eastAsia"/>
            </w:rPr>
            <w:t xml:space="preserve">   </w:t>
          </w:r>
        </w:p>
        <w:p/>
        <w:p/>
        <w:p/>
        <w:p/>
        <w:p/>
        <w:p/>
        <w:p/>
        <w:p/>
        <w:p>
          <w:pPr>
            <w:tabs>
              <w:tab w:val="left" w:pos="7050"/>
            </w:tabs>
          </w:pPr>
          <w:r>
            <w:tab/>
          </w:r>
        </w:p>
        <w:p/>
        <w:p/>
        <w:p/>
        <w:p/>
        <w:p>
          <w:pPr>
            <w:jc w:val="center"/>
            <w:rPr>
              <w:rFonts w:ascii="Heiti SC Light" w:eastAsia="Heiti SC Light"/>
              <w:color w:val="FFFFFF"/>
              <w:sz w:val="32"/>
              <w:szCs w:val="32"/>
            </w:rPr>
          </w:pPr>
          <w:r>
            <w:rPr>
              <w:rFonts w:hint="eastAsia" w:ascii="Heiti SC Light" w:eastAsia="Heiti SC Light"/>
              <w:color w:val="FFFFFF"/>
              <w:sz w:val="32"/>
              <w:szCs w:val="32"/>
            </w:rPr>
            <w:t>（202</w:t>
          </w:r>
          <w:r>
            <w:rPr>
              <w:rFonts w:hint="eastAsia" w:ascii="Heiti SC Light" w:eastAsia="Heiti SC Light"/>
              <w:color w:val="FFFFFF"/>
              <w:sz w:val="32"/>
              <w:szCs w:val="32"/>
              <w:lang w:val="en-US" w:eastAsia="zh-CN"/>
            </w:rPr>
            <w:t>2</w:t>
          </w:r>
          <w:r>
            <w:rPr>
              <w:rFonts w:hint="eastAsia" w:ascii="Heiti SC Light" w:eastAsia="Heiti SC Light"/>
              <w:color w:val="FFFFFF"/>
              <w:sz w:val="32"/>
              <w:szCs w:val="32"/>
            </w:rPr>
            <w:t>年第</w:t>
          </w:r>
          <w:r>
            <w:rPr>
              <w:rFonts w:hint="eastAsia" w:ascii="Heiti SC Light" w:eastAsia="Heiti SC Light"/>
              <w:color w:val="FFFFFF"/>
              <w:sz w:val="32"/>
              <w:szCs w:val="32"/>
              <w:lang w:val="en-US" w:eastAsia="zh-CN"/>
            </w:rPr>
            <w:t>7</w:t>
          </w:r>
          <w:r>
            <w:rPr>
              <w:rFonts w:hint="eastAsia" w:ascii="Heiti SC Light" w:eastAsia="Heiti SC Light"/>
              <w:color w:val="FFFFFF"/>
              <w:sz w:val="32"/>
              <w:szCs w:val="32"/>
            </w:rPr>
            <w:t>期） 202</w:t>
          </w:r>
          <w:r>
            <w:rPr>
              <w:rFonts w:hint="eastAsia" w:ascii="Heiti SC Light" w:eastAsia="Heiti SC Light"/>
              <w:color w:val="FFFFFF"/>
              <w:sz w:val="32"/>
              <w:szCs w:val="32"/>
              <w:lang w:val="en-US" w:eastAsia="zh-CN"/>
            </w:rPr>
            <w:t>2</w:t>
          </w:r>
          <w:r>
            <w:rPr>
              <w:rFonts w:hint="eastAsia" w:ascii="Heiti SC Light" w:eastAsia="Heiti SC Light"/>
              <w:color w:val="FFFFFF"/>
              <w:sz w:val="32"/>
              <w:szCs w:val="32"/>
            </w:rPr>
            <w:t>年</w:t>
          </w:r>
          <w:r>
            <w:rPr>
              <w:rFonts w:hint="eastAsia" w:ascii="Heiti SC Light" w:eastAsia="Heiti SC Light"/>
              <w:color w:val="FFFFFF"/>
              <w:sz w:val="32"/>
              <w:szCs w:val="32"/>
              <w:lang w:val="en-US" w:eastAsia="zh-CN"/>
            </w:rPr>
            <w:t>7</w:t>
          </w:r>
          <w:r>
            <w:rPr>
              <w:rFonts w:hint="eastAsia" w:ascii="Heiti SC Light" w:eastAsia="Heiti SC Light"/>
              <w:color w:val="FFFFFF"/>
              <w:sz w:val="32"/>
              <w:szCs w:val="32"/>
            </w:rPr>
            <w:t>月2</w:t>
          </w:r>
          <w:r>
            <w:rPr>
              <w:rFonts w:hint="eastAsia" w:ascii="Heiti SC Light" w:eastAsia="Heiti SC Light"/>
              <w:color w:val="FFFFFF"/>
              <w:sz w:val="32"/>
              <w:szCs w:val="32"/>
              <w:lang w:val="en-US" w:eastAsia="zh-CN"/>
            </w:rPr>
            <w:t>5</w:t>
          </w:r>
          <w:r>
            <w:rPr>
              <w:rFonts w:hint="eastAsia" w:ascii="Heiti SC Light" w:eastAsia="Heiti SC Light"/>
              <w:color w:val="FFFFFF"/>
              <w:sz w:val="32"/>
              <w:szCs w:val="32"/>
            </w:rPr>
            <w:t>日</w:t>
          </w:r>
        </w:p>
        <w:p/>
        <w:p/>
        <w:p/>
        <w:p/>
        <w:p/>
        <w:p>
          <w:r>
            <w:rPr>
              <w:rFonts w:hint="eastAsia"/>
            </w:rPr>
            <w:t xml:space="preserve"> </w:t>
          </w:r>
        </w:p>
        <w:p/>
        <w:p/>
        <w:p/>
        <w:p/>
        <w:p/>
        <w:p/>
        <w:p/>
        <w:p/>
        <w:p/>
        <w:p/>
        <w:p/>
        <w:p/>
        <w:p>
          <w:pPr>
            <w:tabs>
              <w:tab w:val="left" w:pos="5245"/>
            </w:tabs>
          </w:pPr>
        </w:p>
        <w:p>
          <w:pPr>
            <w:tabs>
              <w:tab w:val="left" w:pos="5245"/>
            </w:tabs>
          </w:pPr>
        </w:p>
        <w:p>
          <w:pPr>
            <w:widowControl/>
            <w:tabs>
              <w:tab w:val="left" w:pos="5245"/>
            </w:tabs>
            <w:jc w:val="left"/>
          </w:pPr>
        </w:p>
        <w:p>
          <w:pPr>
            <w:widowControl/>
            <w:tabs>
              <w:tab w:val="left" w:pos="5245"/>
            </w:tabs>
            <w:jc w:val="left"/>
          </w:pPr>
        </w:p>
        <w:p>
          <w:pPr>
            <w:widowControl/>
            <w:tabs>
              <w:tab w:val="left" w:pos="5245"/>
            </w:tabs>
            <w:jc w:val="left"/>
          </w:pPr>
        </w:p>
        <w:p>
          <w:pPr>
            <w:widowControl/>
            <w:tabs>
              <w:tab w:val="left" w:pos="5245"/>
            </w:tabs>
            <w:jc w:val="left"/>
          </w:pPr>
        </w:p>
        <w:p>
          <w:pPr>
            <w:widowControl/>
            <w:tabs>
              <w:tab w:val="left" w:pos="5245"/>
            </w:tabs>
            <w:jc w:val="left"/>
          </w:pPr>
        </w:p>
        <w:p>
          <w:pPr>
            <w:widowControl/>
            <w:tabs>
              <w:tab w:val="left" w:pos="5245"/>
            </w:tabs>
            <w:jc w:val="left"/>
          </w:pPr>
        </w:p>
        <w:p>
          <w:pPr>
            <w:widowControl/>
            <w:tabs>
              <w:tab w:val="left" w:pos="5245"/>
            </w:tabs>
            <w:jc w:val="left"/>
          </w:pPr>
        </w:p>
      </w:sdtContent>
    </w:sdt>
    <w:p>
      <w:pPr>
        <w:tabs>
          <w:tab w:val="left" w:pos="5245"/>
        </w:tabs>
      </w:pPr>
      <w:r>
        <w:pict>
          <v:shape id="Straight Connector 3" o:spid="_x0000_s1033" o:spt="32" type="#_x0000_t32" style="position:absolute;left:0pt;margin-left:102pt;margin-top:0.8pt;height:629.65pt;width:1.75pt;z-index:251660288;mso-width-relative:page;mso-height-relative:page;" filled="f" stroked="t" coordsize="21600,21600">
            <v:path arrowok="t"/>
            <v:fill on="f" focussize="0,0"/>
            <v:stroke weight="2.5pt" color="#548DD4"/>
            <v:imagedata o:title=""/>
            <o:lock v:ext="edit" aspectratio="f"/>
          </v:shape>
        </w:pict>
      </w:r>
      <w:r>
        <w:pict>
          <v:shape id="Straight Connector 2" o:spid="_x0000_s1026" o:spt="32" type="#_x0000_t32" style="position:absolute;left:0pt;margin-left:-67.5pt;margin-top:0.75pt;height:0.05pt;width:539.25pt;z-index:251659264;mso-width-relative:page;mso-height-relative:page;" filled="f" stroked="t" coordsize="21600,21600" o:gfxdata="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m8Y+ltYAAAAIAQAADwAAAAAAAAABACAAAAAiAAAAZHJzL2Rv&#10;d25yZXYueG1sUEsBAhQAFAAAAAgAh07iQAI+bt7KAQAAngMAAA4AAAAAAAAAAQAgAAAAJQEAAGRy&#10;cy9lMm9Eb2MueG1sUEsFBgAAAAAGAAYAWQEAAGEFAAAAAA==&#10;">
            <v:path arrowok="t"/>
            <v:fill on="f" focussize="0,0"/>
            <v:stroke weight="3pt" color="#548DD4"/>
            <v:imagedata o:title=""/>
            <o:lock v:ext="edit"/>
          </v:shape>
        </w:pict>
      </w:r>
      <w:r>
        <w:rPr>
          <w:rFonts w:hint="eastAsia"/>
        </w:rPr>
        <w:t xml:space="preserve"> </w:t>
      </w:r>
    </w:p>
    <w:p>
      <w:pPr>
        <w:tabs>
          <w:tab w:val="center" w:pos="4156"/>
        </w:tabs>
      </w:pPr>
      <w:r>
        <w:pict>
          <v:shape id="文本框 14" o:spid="_x0000_s1032" o:spt="202" type="#_x0000_t202" style="position:absolute;left:0pt;margin-left:122.4pt;margin-top:8.4pt;height:620pt;width:331.5pt;z-index:25166745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">
            <v:path/>
            <v:fill on="f" focussize="0,0"/>
            <v:stroke on="f" weight="1.25pt"/>
            <v:imagedata o:title=""/>
            <o:lock v:ext="edit" aspectratio="f"/>
            <v:textbox>
              <w:txbxContent>
                <w:p>
                  <w:pPr>
                    <w:rPr>
                      <w:rFonts w:hint="eastAsia" w:ascii="宋体" w:hAnsi="宋体" w:eastAsia="宋体" w:cs="宋体"/>
                      <w:b/>
                      <w:bCs/>
                      <w:kern w:val="0"/>
                      <w:sz w:val="33"/>
                      <w:szCs w:val="33"/>
                      <w:lang w:val="en-US" w:eastAsia="zh-CN" w:bidi="ar-SA"/>
                    </w:rPr>
                  </w:pPr>
                  <w:r>
                    <w:rPr>
                      <w:rFonts w:hint="eastAsia" w:ascii="宋体" w:hAnsi="宋体" w:eastAsia="宋体" w:cs="宋体"/>
                      <w:b/>
                      <w:bCs/>
                      <w:kern w:val="0"/>
                      <w:sz w:val="33"/>
                      <w:szCs w:val="33"/>
                      <w:lang w:val="en-US" w:eastAsia="zh-CN" w:bidi="ar-SA"/>
                    </w:rPr>
                    <w:t>1.重磅！国家医保局公布，2022医保重点工作</w:t>
                  </w:r>
                </w:p>
                <w:p>
                  <w:pPr>
                    <w:rPr>
                      <w:b/>
                      <w:sz w:val="36"/>
                      <w:szCs w:val="36"/>
                    </w:rPr>
                  </w:pPr>
                </w:p>
                <w:p>
                  <w:pPr>
                    <w:rPr>
                      <w:rFonts w:hint="eastAsia" w:ascii="宋体" w:hAnsi="宋体" w:eastAsia="宋体" w:cs="宋体"/>
                      <w:b/>
                      <w:bCs/>
                      <w:kern w:val="0"/>
                      <w:sz w:val="33"/>
                      <w:szCs w:val="33"/>
                      <w:lang w:val="en-US" w:eastAsia="zh-CN" w:bidi="ar-SA"/>
                    </w:rPr>
                  </w:pPr>
                </w:p>
                <w:p>
                  <w:pPr>
                    <w:rPr>
                      <w:rFonts w:hint="eastAsia" w:ascii="宋体" w:hAnsi="宋体" w:eastAsia="宋体" w:cs="宋体"/>
                      <w:b/>
                      <w:bCs/>
                      <w:kern w:val="0"/>
                      <w:sz w:val="33"/>
                      <w:szCs w:val="33"/>
                      <w:lang w:val="en-US" w:eastAsia="zh-CN" w:bidi="ar-SA"/>
                    </w:rPr>
                  </w:pPr>
                  <w:r>
                    <w:rPr>
                      <w:rFonts w:hint="eastAsia" w:ascii="宋体" w:hAnsi="宋体" w:eastAsia="宋体" w:cs="宋体"/>
                      <w:b/>
                      <w:bCs/>
                      <w:kern w:val="0"/>
                      <w:sz w:val="33"/>
                      <w:szCs w:val="33"/>
                      <w:lang w:val="en-US" w:eastAsia="zh-CN" w:bidi="ar-SA"/>
                    </w:rPr>
                    <w:t>2. 刚刚！第七批国采，正式中选结果公布（附选省清单）</w:t>
                  </w:r>
                </w:p>
                <w:p>
                  <w:pPr>
                    <w:rPr>
                      <w:b/>
                      <w:sz w:val="36"/>
                      <w:szCs w:val="36"/>
                    </w:rPr>
                  </w:pPr>
                </w:p>
                <w:p>
                  <w:pPr>
                    <w:rPr>
                      <w:b/>
                      <w:sz w:val="36"/>
                      <w:szCs w:val="36"/>
                    </w:rPr>
                  </w:pPr>
                </w:p>
                <w:p>
                  <w:pPr>
                    <w:rPr>
                      <w:rFonts w:hint="eastAsia" w:ascii="宋体" w:hAnsi="宋体" w:eastAsia="宋体" w:cs="宋体"/>
                      <w:b/>
                      <w:bCs/>
                      <w:kern w:val="0"/>
                      <w:sz w:val="33"/>
                      <w:szCs w:val="33"/>
                      <w:lang w:val="en-US" w:eastAsia="zh-CN" w:bidi="ar-SA"/>
                    </w:rPr>
                  </w:pPr>
                  <w:r>
                    <w:rPr>
                      <w:rFonts w:hint="eastAsia" w:ascii="宋体" w:hAnsi="宋体" w:eastAsia="宋体" w:cs="宋体"/>
                      <w:b/>
                      <w:bCs/>
                      <w:kern w:val="0"/>
                      <w:sz w:val="33"/>
                      <w:szCs w:val="33"/>
                      <w:lang w:val="en-US" w:eastAsia="zh-CN" w:bidi="ar-SA"/>
                    </w:rPr>
                    <w:t>3. 医保局正式发文！大批药店参与集采</w:t>
                  </w:r>
                </w:p>
                <w:p>
                  <w:pPr>
                    <w:rPr>
                      <w:b/>
                      <w:sz w:val="36"/>
                      <w:szCs w:val="36"/>
                    </w:rPr>
                  </w:pPr>
                </w:p>
                <w:p>
                  <w:pPr>
                    <w:rPr>
                      <w:b/>
                      <w:sz w:val="36"/>
                      <w:szCs w:val="36"/>
                    </w:rPr>
                  </w:pPr>
                </w:p>
                <w:p>
                  <w:pPr>
                    <w:widowControl/>
                    <w:numPr>
                      <w:ilvl w:val="0"/>
                      <w:numId w:val="0"/>
                    </w:numPr>
                    <w:spacing w:after="210"/>
                    <w:jc w:val="left"/>
                    <w:outlineLvl w:val="1"/>
                    <w:rPr>
                      <w:rFonts w:hint="eastAsia" w:ascii="宋体" w:hAnsi="宋体" w:cs="宋体"/>
                      <w:b/>
                      <w:bCs/>
                      <w:kern w:val="0"/>
                      <w:sz w:val="33"/>
                      <w:szCs w:val="33"/>
                      <w:lang w:val="en-US" w:eastAsia="zh-CN" w:bidi="ar-SA"/>
                    </w:rPr>
                  </w:pPr>
                  <w:r>
                    <w:rPr>
                      <w:rFonts w:hint="eastAsia" w:ascii="宋体" w:hAnsi="宋体" w:cs="宋体"/>
                      <w:b/>
                      <w:bCs/>
                      <w:kern w:val="0"/>
                      <w:sz w:val="33"/>
                      <w:szCs w:val="33"/>
                      <w:lang w:val="en-US" w:eastAsia="zh-CN" w:bidi="ar-SA"/>
                    </w:rPr>
                    <w:t>4.5月零售药店市场分析</w:t>
                  </w:r>
                </w:p>
                <w:p>
                  <w:pPr>
                    <w:widowControl/>
                    <w:numPr>
                      <w:ilvl w:val="0"/>
                      <w:numId w:val="0"/>
                    </w:numPr>
                    <w:spacing w:after="210"/>
                    <w:jc w:val="left"/>
                    <w:outlineLvl w:val="1"/>
                    <w:rPr>
                      <w:rFonts w:hint="eastAsia" w:ascii="宋体" w:hAnsi="宋体" w:cs="宋体"/>
                      <w:b/>
                      <w:bCs/>
                      <w:kern w:val="0"/>
                      <w:sz w:val="33"/>
                      <w:szCs w:val="33"/>
                      <w:lang w:val="en-US" w:eastAsia="zh-CN" w:bidi="ar-SA"/>
                    </w:rPr>
                  </w:pPr>
                </w:p>
                <w:p>
                  <w:pPr>
                    <w:widowControl/>
                    <w:numPr>
                      <w:ilvl w:val="0"/>
                      <w:numId w:val="0"/>
                    </w:numPr>
                    <w:spacing w:after="210"/>
                    <w:jc w:val="left"/>
                    <w:outlineLvl w:val="1"/>
                    <w:rPr>
                      <w:rFonts w:hint="eastAsia" w:ascii="宋体" w:hAnsi="宋体" w:cs="宋体"/>
                      <w:b/>
                      <w:bCs/>
                      <w:kern w:val="0"/>
                      <w:sz w:val="33"/>
                      <w:szCs w:val="33"/>
                      <w:lang w:val="en-US" w:eastAsia="zh-CN" w:bidi="ar-SA"/>
                    </w:rPr>
                  </w:pPr>
                  <w:r>
                    <w:rPr>
                      <w:rFonts w:hint="eastAsia" w:ascii="宋体" w:hAnsi="宋体" w:cs="宋体"/>
                      <w:b/>
                      <w:bCs/>
                      <w:kern w:val="0"/>
                      <w:sz w:val="33"/>
                      <w:szCs w:val="33"/>
                      <w:lang w:val="en-US" w:eastAsia="zh-CN" w:bidi="ar-SA"/>
                    </w:rPr>
                    <w:t>5.连锁O2O“腰部崛起”，处方药同比增长131%</w:t>
                  </w:r>
                </w:p>
                <w:p>
                  <w:pPr>
                    <w:widowControl/>
                    <w:numPr>
                      <w:ilvl w:val="0"/>
                      <w:numId w:val="0"/>
                    </w:numPr>
                    <w:spacing w:after="210"/>
                    <w:jc w:val="left"/>
                    <w:outlineLvl w:val="1"/>
                    <w:rPr>
                      <w:rFonts w:hint="eastAsia" w:ascii="宋体" w:hAnsi="宋体" w:cs="宋体"/>
                      <w:b/>
                      <w:bCs/>
                      <w:kern w:val="0"/>
                      <w:sz w:val="33"/>
                      <w:szCs w:val="33"/>
                      <w:lang w:val="en-US" w:eastAsia="zh-CN" w:bidi="ar-SA"/>
                    </w:rPr>
                  </w:pPr>
                </w:p>
                <w:p>
                  <w:pPr>
                    <w:widowControl/>
                    <w:numPr>
                      <w:ilvl w:val="0"/>
                      <w:numId w:val="0"/>
                    </w:numPr>
                    <w:spacing w:after="210"/>
                    <w:jc w:val="left"/>
                    <w:outlineLvl w:val="1"/>
                    <w:rPr>
                      <w:rFonts w:hint="eastAsia" w:ascii="宋体" w:hAnsi="宋体" w:cs="宋体"/>
                      <w:b/>
                      <w:bCs/>
                      <w:kern w:val="0"/>
                      <w:sz w:val="33"/>
                      <w:szCs w:val="33"/>
                      <w:lang w:val="en-US" w:eastAsia="zh-CN" w:bidi="ar-SA"/>
                    </w:rPr>
                  </w:pPr>
                </w:p>
                <w:p>
                  <w:pPr>
                    <w:widowControl/>
                    <w:numPr>
                      <w:ilvl w:val="0"/>
                      <w:numId w:val="0"/>
                    </w:numPr>
                    <w:spacing w:after="210"/>
                    <w:jc w:val="left"/>
                    <w:outlineLvl w:val="1"/>
                    <w:rPr>
                      <w:rFonts w:hint="eastAsia" w:ascii="宋体" w:hAnsi="宋体" w:eastAsia="宋体" w:cs="宋体"/>
                      <w:b/>
                      <w:bCs/>
                      <w:kern w:val="0"/>
                      <w:sz w:val="33"/>
                      <w:szCs w:val="33"/>
                      <w:lang w:val="en-US" w:eastAsia="zh-CN" w:bidi="ar-SA"/>
                    </w:rPr>
                  </w:pPr>
                </w:p>
                <w:p>
                  <w:pPr>
                    <w:rPr>
                      <w:b/>
                      <w:sz w:val="44"/>
                      <w:szCs w:val="44"/>
                    </w:rPr>
                  </w:pPr>
                </w:p>
                <w:p>
                  <w:pPr>
                    <w:rPr>
                      <w:b/>
                      <w:sz w:val="44"/>
                      <w:szCs w:val="44"/>
                    </w:rPr>
                  </w:pPr>
                </w:p>
                <w:p>
                  <w:pPr>
                    <w:rPr>
                      <w:b/>
                      <w:sz w:val="44"/>
                      <w:szCs w:val="44"/>
                    </w:rPr>
                  </w:pPr>
                </w:p>
                <w:p>
                  <w:pPr>
                    <w:rPr>
                      <w:b/>
                      <w:sz w:val="44"/>
                      <w:szCs w:val="44"/>
                    </w:rPr>
                  </w:pPr>
                </w:p>
                <w:p>
                  <w:pPr>
                    <w:rPr>
                      <w:b/>
                      <w:sz w:val="44"/>
                      <w:szCs w:val="44"/>
                    </w:rPr>
                  </w:pPr>
                </w:p>
                <w:p>
                  <w:pPr>
                    <w:rPr>
                      <w:b/>
                      <w:sz w:val="44"/>
                      <w:szCs w:val="44"/>
                    </w:rPr>
                  </w:pPr>
                </w:p>
                <w:p>
                  <w:pPr>
                    <w:rPr>
                      <w:b/>
                      <w:sz w:val="44"/>
                      <w:szCs w:val="44"/>
                    </w:rPr>
                  </w:pPr>
                </w:p>
                <w:p>
                  <w:pPr>
                    <w:rPr>
                      <w:b/>
                      <w:sz w:val="44"/>
                      <w:szCs w:val="44"/>
                    </w:rPr>
                  </w:pPr>
                </w:p>
                <w:p>
                  <w:pPr>
                    <w:widowControl/>
                    <w:numPr>
                      <w:ilvl w:val="0"/>
                      <w:numId w:val="0"/>
                    </w:numPr>
                    <w:spacing w:after="210"/>
                    <w:jc w:val="left"/>
                    <w:outlineLvl w:val="1"/>
                    <w:rPr>
                      <w:rFonts w:hint="eastAsia" w:ascii="宋体" w:hAnsi="宋体" w:eastAsia="宋体" w:cs="宋体"/>
                      <w:b/>
                      <w:bCs/>
                      <w:kern w:val="0"/>
                      <w:sz w:val="33"/>
                      <w:szCs w:val="33"/>
                      <w:lang w:val="en-US" w:eastAsia="zh-CN" w:bidi="ar-SA"/>
                    </w:rPr>
                  </w:pPr>
                </w:p>
                <w:p>
                  <w:pPr>
                    <w:widowControl/>
                    <w:numPr>
                      <w:ilvl w:val="0"/>
                      <w:numId w:val="0"/>
                    </w:numPr>
                    <w:spacing w:after="210"/>
                    <w:jc w:val="left"/>
                    <w:outlineLvl w:val="1"/>
                    <w:rPr>
                      <w:rFonts w:hint="eastAsia" w:ascii="宋体" w:hAnsi="宋体" w:eastAsia="宋体" w:cs="宋体"/>
                      <w:b/>
                      <w:bCs/>
                      <w:kern w:val="0"/>
                      <w:sz w:val="33"/>
                      <w:szCs w:val="33"/>
                      <w:lang w:val="en-US" w:eastAsia="zh-CN" w:bidi="ar-SA"/>
                    </w:rPr>
                  </w:pPr>
                </w:p>
                <w:p>
                  <w:pPr>
                    <w:widowControl/>
                    <w:numPr>
                      <w:ilvl w:val="0"/>
                      <w:numId w:val="0"/>
                    </w:numPr>
                    <w:spacing w:after="210"/>
                    <w:jc w:val="left"/>
                    <w:outlineLvl w:val="1"/>
                    <w:rPr>
                      <w:rFonts w:hint="eastAsia" w:ascii="宋体" w:hAnsi="宋体" w:eastAsia="宋体" w:cs="宋体"/>
                      <w:b/>
                      <w:bCs/>
                      <w:kern w:val="0"/>
                      <w:sz w:val="33"/>
                      <w:szCs w:val="33"/>
                      <w:lang w:val="en-US" w:eastAsia="zh-CN" w:bidi="ar-SA"/>
                    </w:rPr>
                  </w:pPr>
                </w:p>
              </w:txbxContent>
            </v:textbox>
          </v:shape>
        </w:pict>
      </w:r>
      <w:r>
        <w:pict>
          <v:shape id="文本框 11" o:spid="_x0000_s1027" o:spt="202" type="#_x0000_t202" style="position:absolute;left:0pt;margin-left:-62.1pt;margin-top:3.15pt;height:251.25pt;width:156.1pt;z-index:25166438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">
            <v:path/>
            <v:fill on="f" focussize="0,0"/>
            <v:stroke on="f" weight="1.25pt" joinstyle="miter"/>
            <v:imagedata o:title=""/>
            <o:lock v:ext="edit"/>
            <v:textbox>
              <w:txbxContent>
                <w:p/>
                <w:p/>
                <w:p/>
                <w:p>
                  <w:pPr>
                    <w:jc w:val="center"/>
                    <w:rPr>
                      <w:b/>
                      <w:sz w:val="44"/>
                      <w:szCs w:val="44"/>
                    </w:rPr>
                  </w:pPr>
                  <w:r>
                    <w:rPr>
                      <w:rFonts w:hint="eastAsia"/>
                      <w:b/>
                      <w:sz w:val="44"/>
                      <w:szCs w:val="44"/>
                    </w:rPr>
                    <w:t>目录</w:t>
                  </w:r>
                </w:p>
                <w:p>
                  <w:pPr>
                    <w:jc w:val="center"/>
                    <w:rPr>
                      <w:b/>
                      <w:sz w:val="44"/>
                      <w:szCs w:val="44"/>
                    </w:rPr>
                  </w:pPr>
                </w:p>
                <w:p>
                  <w:pPr>
                    <w:jc w:val="center"/>
                    <w:rPr>
                      <w:b/>
                      <w:sz w:val="44"/>
                      <w:szCs w:val="44"/>
                    </w:rPr>
                  </w:pPr>
                </w:p>
                <w:p>
                  <w:pPr>
                    <w:jc w:val="center"/>
                    <w:rPr>
                      <w:b/>
                      <w:sz w:val="44"/>
                      <w:szCs w:val="44"/>
                    </w:rPr>
                  </w:pPr>
                </w:p>
                <w:p>
                  <w:pPr>
                    <w:jc w:val="center"/>
                    <w:rPr>
                      <w:b/>
                      <w:sz w:val="36"/>
                      <w:szCs w:val="36"/>
                    </w:rPr>
                  </w:pPr>
                  <w:r>
                    <w:rPr>
                      <w:rFonts w:hint="eastAsia"/>
                      <w:b/>
                      <w:sz w:val="36"/>
                      <w:szCs w:val="36"/>
                    </w:rPr>
                    <w:t>（</w:t>
                  </w:r>
                  <w:r>
                    <w:rPr>
                      <w:rFonts w:hint="eastAsia"/>
                      <w:b/>
                      <w:sz w:val="36"/>
                      <w:szCs w:val="36"/>
                      <w:lang w:val="en-US" w:eastAsia="zh-CN"/>
                    </w:rPr>
                    <w:t>7</w:t>
                  </w:r>
                  <w:r>
                    <w:rPr>
                      <w:rFonts w:hint="eastAsia"/>
                      <w:b/>
                      <w:sz w:val="36"/>
                      <w:szCs w:val="36"/>
                    </w:rPr>
                    <w:t>月第</w:t>
                  </w:r>
                  <w:r>
                    <w:rPr>
                      <w:rFonts w:hint="eastAsia"/>
                      <w:b/>
                      <w:sz w:val="36"/>
                      <w:szCs w:val="36"/>
                      <w:lang w:val="en-US" w:eastAsia="zh-CN"/>
                    </w:rPr>
                    <w:t>7</w:t>
                  </w:r>
                  <w:r>
                    <w:rPr>
                      <w:rFonts w:hint="eastAsia"/>
                      <w:b/>
                      <w:sz w:val="36"/>
                      <w:szCs w:val="36"/>
                    </w:rPr>
                    <w:t>期）</w:t>
                  </w:r>
                </w:p>
              </w:txbxContent>
            </v:textbox>
          </v:shape>
        </w:pict>
      </w:r>
    </w:p>
    <w:p>
      <w:pPr>
        <w:tabs>
          <w:tab w:val="left" w:pos="5245"/>
        </w:tabs>
      </w:pPr>
      <w:r>
        <w:rPr>
          <w:rFonts w:hint="eastAsia"/>
        </w:rPr>
        <w:t xml:space="preserve">    </w:t>
      </w:r>
    </w:p>
    <w:p>
      <w:pPr>
        <w:tabs>
          <w:tab w:val="left" w:pos="5245"/>
        </w:tabs>
      </w:pPr>
      <w:r>
        <w:rPr>
          <w:rFonts w:hint="eastAsia"/>
        </w:rPr>
        <w:t xml:space="preserve"> </w:t>
      </w: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r>
        <w:pict>
          <v:shape id="Straight Connector 5" o:spid="_x0000_s1031" o:spt="32" type="#_x0000_t32" style="position:absolute;left:0pt;margin-left:-67.5pt;margin-top:9.45pt;height:0.05pt;width:168.75pt;z-index:251662336;mso-width-relative:page;mso-height-relative:page;" filled="f" stroked="t" coordsize="21600,21600" o:gfxdata="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iHt0tgAAAAKAQAADwAAAAAAAAABACAAAAAiAAAAZHJz&#10;L2Rvd25yZXYueG1sUEsBAhQAFAAAAAgAh07iQLyefE7LAQAAngMAAA4AAAAAAAAAAQAgAAAAJwEA&#10;AGRycy9lMm9Eb2MueG1sUEsFBgAAAAAGAAYAWQEAAGQFAAAAAA==&#10;">
            <v:path arrowok="t"/>
            <v:fill on="f" focussize="0,0"/>
            <v:stroke weight="2.75pt" color="#548DD4"/>
            <v:imagedata o:title=""/>
            <o:lock v:ext="edit"/>
          </v:shape>
        </w:pict>
      </w:r>
    </w:p>
    <w:p>
      <w:pPr>
        <w:tabs>
          <w:tab w:val="left" w:pos="5245"/>
        </w:tabs>
      </w:pPr>
    </w:p>
    <w:p>
      <w:pPr>
        <w:tabs>
          <w:tab w:val="left" w:pos="5245"/>
        </w:tabs>
      </w:pPr>
    </w:p>
    <w:p>
      <w:pPr>
        <w:tabs>
          <w:tab w:val="left" w:pos="5245"/>
        </w:tabs>
      </w:pPr>
    </w:p>
    <w:p>
      <w:pPr>
        <w:tabs>
          <w:tab w:val="left" w:pos="5245"/>
        </w:tabs>
      </w:pPr>
      <w:r>
        <w:pict>
          <v:shape id="文本框 12" o:spid="_x0000_s1028" o:spt="202" type="#_x0000_t202" style="position:absolute;left:0pt;margin-left:-53.1pt;margin-top:10.65pt;height:60pt;width:140.25pt;z-index:25166540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">
            <v:path/>
            <v:fill on="f" focussize="0,0"/>
            <v:stroke on="f" weight="1.25pt" joinstyle="miter"/>
            <v:imagedata o:title=""/>
            <o:lock v:ext="edit"/>
            <v:textbox>
              <w:txbxContent>
                <w:p>
                  <w:pPr>
                    <w:jc w:val="center"/>
                    <w:rPr>
                      <w:rFonts w:hint="eastAsia" w:eastAsia="宋体"/>
                      <w:sz w:val="44"/>
                      <w:szCs w:val="44"/>
                      <w:lang w:eastAsia="zh-CN"/>
                    </w:rPr>
                  </w:pPr>
                  <w:r>
                    <w:rPr>
                      <w:rFonts w:hint="eastAsia"/>
                      <w:sz w:val="44"/>
                      <w:szCs w:val="44"/>
                    </w:rPr>
                    <w:t>202</w:t>
                  </w:r>
                  <w:r>
                    <w:rPr>
                      <w:rFonts w:hint="eastAsia"/>
                      <w:sz w:val="44"/>
                      <w:szCs w:val="44"/>
                      <w:lang w:val="en-US" w:eastAsia="zh-CN"/>
                    </w:rPr>
                    <w:t>2</w:t>
                  </w:r>
                  <w:r>
                    <w:rPr>
                      <w:rFonts w:hint="eastAsia"/>
                      <w:sz w:val="44"/>
                      <w:szCs w:val="44"/>
                    </w:rPr>
                    <w:t>.</w:t>
                  </w:r>
                  <w:r>
                    <w:rPr>
                      <w:rFonts w:hint="eastAsia"/>
                      <w:sz w:val="44"/>
                      <w:szCs w:val="44"/>
                      <w:lang w:val="en-US" w:eastAsia="zh-CN"/>
                    </w:rPr>
                    <w:t xml:space="preserve">7                                                                                                                                                                                                                                                                                                                                                                                                                                                                                                                                                                                                                                                                                                                                                                                                                                                                                                                                                                                                                                                                                                                                   </w:t>
                  </w:r>
                  <w:r>
                    <w:rPr>
                      <w:rFonts w:hint="eastAsia"/>
                      <w:sz w:val="44"/>
                      <w:szCs w:val="44"/>
                    </w:rPr>
                    <w:t>.2</w:t>
                  </w:r>
                  <w:r>
                    <w:rPr>
                      <w:rFonts w:hint="eastAsia"/>
                      <w:sz w:val="44"/>
                      <w:szCs w:val="44"/>
                      <w:lang w:val="en-US" w:eastAsia="zh-CN"/>
                    </w:rPr>
                    <w:t>5</w:t>
                  </w:r>
                </w:p>
              </w:txbxContent>
            </v:textbox>
          </v:shape>
        </w:pict>
      </w: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r>
        <w:pict>
          <v:shape id="文本框 13" o:spid="_x0000_s1029" o:spt="202" type="#_x0000_t202" style="position:absolute;left:0pt;margin-left:-43.7pt;margin-top:3.85pt;height:201.75pt;width:133.5pt;z-index:25166643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">
            <v:path/>
            <v:fill on="f" focussize="0,0"/>
            <v:stroke on="f" weight="1.25pt" joinstyle="miter"/>
            <v:imagedata o:title=""/>
            <o:lock v:ext="edit"/>
            <v:textbox>
              <w:txbxContent>
                <w:p/>
                <w:p/>
                <w:p/>
                <w:p>
                  <w:pPr>
                    <w:rPr>
                      <w:b/>
                      <w:sz w:val="32"/>
                      <w:szCs w:val="32"/>
                    </w:rPr>
                  </w:pPr>
                  <w:r>
                    <w:rPr>
                      <w:rFonts w:hint="eastAsia"/>
                      <w:b/>
                      <w:sz w:val="32"/>
                      <w:szCs w:val="32"/>
                    </w:rPr>
                    <w:t xml:space="preserve">总  编  朱卫东副总编  </w:t>
                  </w:r>
                  <w:r>
                    <w:rPr>
                      <w:rFonts w:hint="eastAsia"/>
                      <w:b/>
                      <w:sz w:val="32"/>
                      <w:szCs w:val="32"/>
                      <w:lang w:eastAsia="zh-CN"/>
                    </w:rPr>
                    <w:t>杨亚南</w:t>
                  </w:r>
                  <w:r>
                    <w:rPr>
                      <w:rFonts w:hint="eastAsia"/>
                      <w:b/>
                      <w:sz w:val="32"/>
                      <w:szCs w:val="32"/>
                    </w:rPr>
                    <w:t xml:space="preserve">  责任编辑车成刚</w:t>
                  </w:r>
                </w:p>
              </w:txbxContent>
            </v:textbox>
          </v:shape>
        </w:pict>
      </w: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r>
        <w:pict>
          <v:shape id="Straight Connector 4" o:spid="_x0000_s1030" o:spt="32" type="#_x0000_t32" style="position:absolute;left:0pt;margin-left:-79.4pt;margin-top:68.05pt;height:0.05pt;width:534pt;z-index:251661312;mso-width-relative:page;mso-height-relative:page;" filled="f" stroked="t" coordsize="21600,21600" o:gfxdata="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hstRc2AAAAAoBAAAPAAAAAAAAAAEAIAAAACIAAABkcnMv&#10;ZG93bnJldi54bWxQSwECFAAUAAAACACHTuJAVWy6vcoBAACeAwAADgAAAAAAAAABACAAAAAnAQAA&#10;ZHJzL2Uyb0RvYy54bWxQSwUGAAAAAAYABgBZAQAAYwUAAAAA&#10;">
            <v:path arrowok="t"/>
            <v:fill on="f" focussize="0,0"/>
            <v:stroke weight="3pt" color="#548DD4"/>
            <v:imagedata o:title=""/>
            <o:lock v:ext="edit"/>
          </v:shape>
        </w:pict>
      </w:r>
    </w:p>
    <w:p>
      <w:pPr>
        <w:tabs>
          <w:tab w:val="left" w:pos="5245"/>
        </w:tabs>
      </w:pPr>
    </w:p>
    <w:p>
      <w:pPr>
        <w:tabs>
          <w:tab w:val="left" w:pos="5245"/>
        </w:tabs>
        <w:rPr>
          <w:rFonts w:hint="default" w:eastAsia="宋体"/>
          <w:lang w:val="en-US" w:eastAsia="zh-CN"/>
        </w:rPr>
      </w:pPr>
      <w:r>
        <w:rPr>
          <w:rFonts w:hint="eastAsia"/>
        </w:rPr>
        <w:t xml:space="preserve">           </w:t>
      </w:r>
      <w:r>
        <w:rPr>
          <w:rFonts w:hint="eastAsia"/>
          <w:lang w:val="en-US" w:eastAsia="zh-CN"/>
        </w:rPr>
        <w:t xml:space="preserve">                                                                               </w:t>
      </w:r>
    </w:p>
    <w:tbl>
      <w:tblPr>
        <w:tblStyle w:val="12"/>
        <w:tblW w:w="9073"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96"/>
        <w:gridCol w:w="2341"/>
        <w:gridCol w:w="2049"/>
        <w:gridCol w:w="24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7" w:hRule="atLeast"/>
        </w:trPr>
        <w:tc>
          <w:tcPr>
            <w:tcW w:w="2127" w:type="dxa"/>
            <w:vAlign w:val="center"/>
          </w:tcPr>
          <w:p>
            <w:pPr>
              <w:tabs>
                <w:tab w:val="left" w:pos="7088"/>
              </w:tabs>
              <w:jc w:val="center"/>
              <w:rPr>
                <w:b/>
                <w:sz w:val="30"/>
                <w:szCs w:val="30"/>
              </w:rPr>
            </w:pPr>
            <w:r>
              <w:rPr>
                <w:rFonts w:hint="eastAsia"/>
                <w:b/>
                <w:sz w:val="30"/>
                <w:szCs w:val="30"/>
              </w:rPr>
              <w:t>信息01</w:t>
            </w:r>
          </w:p>
        </w:tc>
        <w:tc>
          <w:tcPr>
            <w:tcW w:w="6662" w:type="dxa"/>
            <w:gridSpan w:val="3"/>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cs="宋体" w:asciiTheme="minorEastAsia" w:hAnsiTheme="minorEastAsia" w:eastAsiaTheme="minorEastAsia"/>
                <w:b/>
                <w:color w:val="000000"/>
                <w:kern w:val="0"/>
                <w:sz w:val="32"/>
                <w:szCs w:val="32"/>
              </w:rPr>
            </w:pPr>
            <w:r>
              <w:rPr>
                <w:rFonts w:hint="eastAsia" w:cs="宋体" w:asciiTheme="minorEastAsia" w:hAnsiTheme="minorEastAsia" w:eastAsiaTheme="minorEastAsia"/>
                <w:b/>
                <w:color w:val="000000"/>
                <w:kern w:val="0"/>
                <w:sz w:val="32"/>
                <w:szCs w:val="32"/>
              </w:rPr>
              <w:t>重磅！国家医保局公布，2022医保重点工作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7" w:hRule="atLeast"/>
        </w:trPr>
        <w:tc>
          <w:tcPr>
            <w:tcW w:w="2127" w:type="dxa"/>
            <w:vAlign w:val="center"/>
          </w:tcPr>
          <w:p>
            <w:pPr>
              <w:tabs>
                <w:tab w:val="left" w:pos="7088"/>
              </w:tabs>
              <w:jc w:val="center"/>
            </w:pPr>
            <w:r>
              <w:rPr>
                <w:rFonts w:hint="eastAsia"/>
                <w:b/>
                <w:sz w:val="30"/>
                <w:szCs w:val="30"/>
              </w:rPr>
              <w:t>发布</w:t>
            </w:r>
            <w:r>
              <w:rPr>
                <w:b/>
                <w:sz w:val="30"/>
                <w:szCs w:val="30"/>
              </w:rPr>
              <w:t>时间</w:t>
            </w:r>
          </w:p>
        </w:tc>
        <w:tc>
          <w:tcPr>
            <w:tcW w:w="2268" w:type="dxa"/>
            <w:vAlign w:val="center"/>
          </w:tcPr>
          <w:p>
            <w:pPr>
              <w:tabs>
                <w:tab w:val="left" w:pos="7088"/>
              </w:tabs>
              <w:ind w:firstLine="280" w:firstLineChars="100"/>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rPr>
              <w:t>202</w:t>
            </w:r>
            <w:r>
              <w:rPr>
                <w:rFonts w:hint="eastAsia" w:asciiTheme="minorEastAsia" w:hAnsiTheme="minorEastAsia" w:eastAsiaTheme="minorEastAsia"/>
                <w:sz w:val="28"/>
                <w:szCs w:val="28"/>
                <w:lang w:val="en-US" w:eastAsia="zh-CN"/>
              </w:rPr>
              <w:t>2</w:t>
            </w: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lang w:val="en-US" w:eastAsia="zh-CN"/>
              </w:rPr>
              <w:t>7</w:t>
            </w: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lang w:val="en-US" w:eastAsia="zh-CN"/>
              </w:rPr>
              <w:t>8</w:t>
            </w:r>
          </w:p>
        </w:tc>
        <w:tc>
          <w:tcPr>
            <w:tcW w:w="1985" w:type="dxa"/>
            <w:vAlign w:val="center"/>
          </w:tcPr>
          <w:p>
            <w:pPr>
              <w:tabs>
                <w:tab w:val="left" w:pos="7088"/>
              </w:tabs>
              <w:jc w:val="center"/>
              <w:rPr>
                <w:b/>
                <w:sz w:val="28"/>
                <w:szCs w:val="28"/>
              </w:rPr>
            </w:pPr>
            <w:r>
              <w:rPr>
                <w:rFonts w:hint="eastAsia"/>
                <w:b/>
                <w:sz w:val="30"/>
                <w:szCs w:val="30"/>
              </w:rPr>
              <w:t>信息来源</w:t>
            </w:r>
          </w:p>
        </w:tc>
        <w:tc>
          <w:tcPr>
            <w:tcW w:w="2409" w:type="dxa"/>
            <w:vAlign w:val="center"/>
          </w:tcPr>
          <w:p>
            <w:pPr>
              <w:tabs>
                <w:tab w:val="left" w:pos="7088"/>
              </w:tabs>
              <w:jc w:val="center"/>
              <w:rPr>
                <w:rFonts w:hint="default" w:asciiTheme="minorEastAsia" w:hAnsiTheme="minorEastAsia" w:eastAsiaTheme="minorEastAsia"/>
                <w:sz w:val="28"/>
                <w:szCs w:val="28"/>
                <w:lang w:val="en-US" w:eastAsia="zh-CN"/>
              </w:rPr>
            </w:pPr>
            <w:r>
              <w:rPr>
                <w:rFonts w:hint="eastAsia" w:eastAsiaTheme="minorEastAsia"/>
                <w:sz w:val="28"/>
                <w:szCs w:val="28"/>
                <w:lang w:val="en-US" w:eastAsia="zh-CN"/>
              </w:rPr>
              <w:t>赛柏蓝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0" w:hRule="atLeast"/>
        </w:trPr>
        <w:tc>
          <w:tcPr>
            <w:tcW w:w="2127" w:type="dxa"/>
          </w:tcPr>
          <w:p>
            <w:pPr>
              <w:tabs>
                <w:tab w:val="left" w:pos="7088"/>
              </w:tabs>
              <w:jc w:val="center"/>
              <w:rPr>
                <w:b/>
                <w:sz w:val="30"/>
                <w:szCs w:val="30"/>
              </w:rPr>
            </w:pPr>
            <w:r>
              <w:rPr>
                <w:rFonts w:hint="eastAsia"/>
                <w:b/>
                <w:sz w:val="30"/>
                <w:szCs w:val="30"/>
              </w:rPr>
              <w:t>信息</w:t>
            </w:r>
            <w:r>
              <w:rPr>
                <w:b/>
                <w:sz w:val="30"/>
                <w:szCs w:val="30"/>
              </w:rPr>
              <w:t>提供</w:t>
            </w:r>
          </w:p>
        </w:tc>
        <w:tc>
          <w:tcPr>
            <w:tcW w:w="2268" w:type="dxa"/>
            <w:vAlign w:val="center"/>
          </w:tcPr>
          <w:p>
            <w:pPr>
              <w:tabs>
                <w:tab w:val="left" w:pos="7088"/>
              </w:tabs>
              <w:jc w:val="center"/>
              <w:rPr>
                <w:sz w:val="28"/>
                <w:szCs w:val="28"/>
              </w:rPr>
            </w:pPr>
            <w:r>
              <w:rPr>
                <w:rFonts w:hint="eastAsia"/>
                <w:sz w:val="28"/>
                <w:szCs w:val="28"/>
              </w:rPr>
              <w:t>运营管理部</w:t>
            </w:r>
          </w:p>
        </w:tc>
        <w:tc>
          <w:tcPr>
            <w:tcW w:w="1985" w:type="dxa"/>
          </w:tcPr>
          <w:p>
            <w:pPr>
              <w:tabs>
                <w:tab w:val="left" w:pos="7088"/>
              </w:tabs>
              <w:jc w:val="center"/>
              <w:rPr>
                <w:b/>
                <w:sz w:val="28"/>
                <w:szCs w:val="28"/>
              </w:rPr>
            </w:pPr>
            <w:r>
              <w:rPr>
                <w:rFonts w:hint="eastAsia"/>
                <w:b/>
                <w:sz w:val="30"/>
                <w:szCs w:val="30"/>
              </w:rPr>
              <w:t>信息确认</w:t>
            </w:r>
          </w:p>
        </w:tc>
        <w:tc>
          <w:tcPr>
            <w:tcW w:w="2409" w:type="dxa"/>
          </w:tcPr>
          <w:p>
            <w:pPr>
              <w:tabs>
                <w:tab w:val="left" w:pos="7088"/>
              </w:tabs>
              <w:jc w:val="center"/>
              <w:rPr>
                <w:sz w:val="28"/>
                <w:szCs w:val="28"/>
              </w:rPr>
            </w:pPr>
            <w:r>
              <w:rPr>
                <w:rFonts w:hint="eastAsia"/>
                <w:sz w:val="28"/>
                <w:szCs w:val="28"/>
              </w:rPr>
              <w:t>车成刚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0" w:hRule="atLeast"/>
        </w:trPr>
        <w:tc>
          <w:tcPr>
            <w:tcW w:w="2127" w:type="dxa"/>
            <w:tcBorders>
              <w:bottom w:val="single" w:color="auto" w:sz="4" w:space="0"/>
            </w:tcBorders>
            <w:vAlign w:val="center"/>
          </w:tcPr>
          <w:p>
            <w:pPr>
              <w:tabs>
                <w:tab w:val="left" w:pos="7088"/>
              </w:tabs>
              <w:ind w:firstLine="301" w:firstLineChars="100"/>
              <w:rPr>
                <w:b/>
                <w:sz w:val="30"/>
                <w:szCs w:val="30"/>
              </w:rPr>
            </w:pPr>
            <w:r>
              <w:rPr>
                <w:rFonts w:hint="eastAsia"/>
                <w:b/>
                <w:sz w:val="30"/>
                <w:szCs w:val="30"/>
              </w:rPr>
              <w:t>确认</w:t>
            </w:r>
            <w:r>
              <w:rPr>
                <w:b/>
                <w:sz w:val="30"/>
                <w:szCs w:val="30"/>
              </w:rPr>
              <w:t>结果</w:t>
            </w:r>
          </w:p>
        </w:tc>
        <w:tc>
          <w:tcPr>
            <w:tcW w:w="6662" w:type="dxa"/>
            <w:gridSpan w:val="3"/>
            <w:tcBorders>
              <w:bottom w:val="single" w:color="auto" w:sz="4" w:space="0"/>
            </w:tcBorders>
            <w:vAlign w:val="center"/>
          </w:tcPr>
          <w:p>
            <w:pPr>
              <w:tabs>
                <w:tab w:val="left" w:pos="7088"/>
              </w:tabs>
              <w:jc w:val="left"/>
              <w:rPr>
                <w:sz w:val="28"/>
                <w:szCs w:val="28"/>
              </w:rPr>
            </w:pPr>
            <w:r>
              <w:rPr>
                <w:rFonts w:hint="eastAsia" w:asciiTheme="minorEastAsia" w:hAnsiTheme="minorEastAsia" w:eastAsiaTheme="minorEastAsia"/>
                <w:sz w:val="28"/>
                <w:szCs w:val="28"/>
              </w:rPr>
              <w:t>来源：</w:t>
            </w:r>
            <w:r>
              <w:rPr>
                <w:rFonts w:hint="eastAsia" w:eastAsiaTheme="minorEastAsia"/>
                <w:sz w:val="28"/>
                <w:szCs w:val="28"/>
                <w:lang w:val="en-US" w:eastAsia="zh-CN"/>
              </w:rPr>
              <w:t>赛柏蓝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7" w:hRule="atLeast"/>
        </w:trPr>
        <w:tc>
          <w:tcPr>
            <w:tcW w:w="2127" w:type="dxa"/>
            <w:tcBorders>
              <w:top w:val="single" w:color="auto" w:sz="4" w:space="0"/>
            </w:tcBorders>
            <w:vAlign w:val="center"/>
          </w:tcPr>
          <w:p>
            <w:pPr>
              <w:tabs>
                <w:tab w:val="left" w:pos="7088"/>
              </w:tabs>
              <w:jc w:val="center"/>
              <w:rPr>
                <w:b/>
                <w:sz w:val="30"/>
                <w:szCs w:val="30"/>
              </w:rPr>
            </w:pPr>
            <w:r>
              <w:rPr>
                <w:rFonts w:hint="eastAsia"/>
                <w:b/>
                <w:sz w:val="30"/>
                <w:szCs w:val="30"/>
              </w:rPr>
              <w:t>关键词</w:t>
            </w:r>
          </w:p>
        </w:tc>
        <w:tc>
          <w:tcPr>
            <w:tcW w:w="6662" w:type="dxa"/>
            <w:gridSpan w:val="3"/>
            <w:tcBorders>
              <w:top w:val="single" w:color="auto" w:sz="4" w:space="0"/>
            </w:tcBorders>
            <w:vAlign w:val="center"/>
          </w:tcPr>
          <w:p>
            <w:pPr>
              <w:tabs>
                <w:tab w:val="left" w:pos="7088"/>
              </w:tabs>
              <w:jc w:val="left"/>
              <w:rPr>
                <w:rFonts w:cs="宋体" w:asciiTheme="minorEastAsia" w:hAnsiTheme="minorEastAsia" w:eastAsiaTheme="minorEastAsia"/>
                <w:kern w:val="0"/>
                <w:sz w:val="28"/>
                <w:szCs w:val="28"/>
              </w:rPr>
            </w:pPr>
            <w:r>
              <w:rPr>
                <w:rFonts w:hint="eastAsia" w:asciiTheme="minorEastAsia" w:hAnsiTheme="minorEastAsia" w:eastAsiaTheme="minorEastAsia"/>
                <w:sz w:val="28"/>
                <w:szCs w:val="28"/>
                <w:lang w:eastAsia="zh-CN"/>
              </w:rPr>
              <w:t>医保</w:t>
            </w: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lang w:eastAsia="zh-CN"/>
              </w:rPr>
              <w:t>全国统一</w:t>
            </w: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lang w:eastAsia="zh-CN"/>
              </w:rPr>
              <w:t>支付改革</w:t>
            </w: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lang w:eastAsia="zh-CN"/>
              </w:rPr>
              <w:t>带量采购</w:t>
            </w:r>
            <w:r>
              <w:rPr>
                <w:rFonts w:hint="eastAsia" w:asciiTheme="minorEastAsia" w:hAnsiTheme="minorEastAsia" w:eastAsiaTheme="minorEastAsia"/>
                <w:sz w:val="28"/>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6" w:hRule="atLeast"/>
        </w:trPr>
        <w:tc>
          <w:tcPr>
            <w:tcW w:w="2127" w:type="dxa"/>
            <w:vAlign w:val="center"/>
          </w:tcPr>
          <w:p>
            <w:pPr>
              <w:tabs>
                <w:tab w:val="left" w:pos="7088"/>
              </w:tabs>
              <w:jc w:val="center"/>
              <w:rPr>
                <w:b/>
                <w:sz w:val="30"/>
                <w:szCs w:val="30"/>
              </w:rPr>
            </w:pPr>
            <w:r>
              <w:rPr>
                <w:b/>
                <w:sz w:val="30"/>
                <w:szCs w:val="30"/>
              </w:rPr>
              <w:t>内容概要</w:t>
            </w:r>
          </w:p>
        </w:tc>
        <w:tc>
          <w:tcPr>
            <w:tcW w:w="6662" w:type="dxa"/>
            <w:gridSpan w:val="3"/>
            <w:vAlign w:val="center"/>
          </w:tcPr>
          <w:p>
            <w:pPr>
              <w:numPr>
                <w:ilvl w:val="0"/>
                <w:numId w:val="0"/>
              </w:numPr>
              <w:ind w:firstLine="560" w:firstLineChars="200"/>
              <w:rPr>
                <w:rFonts w:hint="eastAsia" w:cs="Times New Roman" w:asciiTheme="minorEastAsia" w:hAnsiTheme="minorEastAsia"/>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国家医保局、财政部、国家税务总局联合发布《关于做好2022年城乡居民基本医疗保障工作的通知》</w:t>
            </w:r>
            <w:r>
              <w:rPr>
                <w:rFonts w:hint="eastAsia" w:cs="Times New Roman" w:asciiTheme="minorEastAsia" w:hAnsiTheme="minorEastAsia"/>
                <w:color w:val="auto"/>
                <w:kern w:val="2"/>
                <w:sz w:val="28"/>
                <w:szCs w:val="28"/>
                <w:lang w:val="en-US" w:eastAsia="zh-CN" w:bidi="ar-SA"/>
              </w:rPr>
              <w:t>，</w:t>
            </w:r>
            <w:r>
              <w:rPr>
                <w:rFonts w:hint="eastAsia" w:eastAsia="宋体" w:cs="Times New Roman" w:asciiTheme="minorEastAsia" w:hAnsiTheme="minorEastAsia"/>
                <w:color w:val="auto"/>
                <w:kern w:val="2"/>
                <w:sz w:val="28"/>
                <w:szCs w:val="28"/>
                <w:lang w:val="en-US" w:eastAsia="zh-CN" w:bidi="ar-SA"/>
              </w:rPr>
              <w:t>内容涉及医保统一、医保支付改革、带量采购等政策。</w:t>
            </w:r>
          </w:p>
          <w:p>
            <w:pPr>
              <w:numPr>
                <w:ilvl w:val="0"/>
                <w:numId w:val="0"/>
              </w:numPr>
              <w:ind w:firstLine="280" w:firstLineChars="100"/>
              <w:rPr>
                <w:rFonts w:hint="default" w:eastAsia="宋体" w:cs="Times New Roman" w:asciiTheme="minorEastAsia" w:hAnsiTheme="minorEastAsia"/>
                <w:kern w:val="2"/>
                <w:sz w:val="28"/>
                <w:szCs w:val="28"/>
                <w:lang w:val="en-US" w:eastAsia="zh-CN" w:bidi="ar-SA"/>
              </w:rPr>
            </w:pPr>
            <w:r>
              <w:rPr>
                <w:rFonts w:hint="eastAsia" w:cs="Times New Roman" w:asciiTheme="minorEastAsia" w:hAnsiTheme="minorEastAsia"/>
                <w:kern w:val="2"/>
                <w:sz w:val="28"/>
                <w:szCs w:val="28"/>
                <w:lang w:val="en-US" w:eastAsia="zh-CN" w:bidi="ar-SA"/>
              </w:rPr>
              <w:t>1、全国医保统一，医药市场将洗牌；</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383" w:lineRule="atLeast"/>
              <w:ind w:right="0" w:firstLine="280" w:firstLineChars="100"/>
              <w:jc w:val="both"/>
              <w:rPr>
                <w:rFonts w:hint="eastAsia" w:eastAsia="宋体" w:cs="Times New Roman" w:asciiTheme="minorEastAsia" w:hAnsiTheme="minorEastAsia"/>
                <w:kern w:val="2"/>
                <w:sz w:val="28"/>
                <w:szCs w:val="28"/>
                <w:lang w:val="en-US" w:eastAsia="zh-CN" w:bidi="ar-SA"/>
              </w:rPr>
            </w:pPr>
            <w:r>
              <w:rPr>
                <w:rFonts w:hint="eastAsia" w:eastAsia="宋体" w:cs="Times New Roman" w:asciiTheme="minorEastAsia" w:hAnsiTheme="minorEastAsia"/>
                <w:kern w:val="2"/>
                <w:sz w:val="28"/>
                <w:szCs w:val="28"/>
                <w:lang w:val="en-US" w:eastAsia="zh-CN" w:bidi="ar-SA"/>
              </w:rPr>
              <w:t>2、完善医保支付，助力产业发展</w:t>
            </w:r>
            <w:r>
              <w:rPr>
                <w:rFonts w:hint="eastAsia" w:cs="Times New Roman" w:asciiTheme="minorEastAsia" w:hAnsiTheme="minorEastAsia"/>
                <w:kern w:val="2"/>
                <w:sz w:val="28"/>
                <w:szCs w:val="28"/>
                <w:lang w:val="en-US" w:eastAsia="zh-CN" w:bidi="ar-SA"/>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383" w:lineRule="atLeast"/>
              <w:ind w:right="0" w:firstLine="280" w:firstLineChars="100"/>
              <w:jc w:val="both"/>
              <w:rPr>
                <w:rFonts w:hint="eastAsia" w:cs="Times New Roman" w:asciiTheme="minorEastAsia" w:hAnsiTheme="minorEastAsia"/>
                <w:kern w:val="2"/>
                <w:sz w:val="28"/>
                <w:szCs w:val="28"/>
                <w:lang w:val="en-US" w:eastAsia="zh-CN" w:bidi="ar-SA"/>
              </w:rPr>
            </w:pPr>
            <w:r>
              <w:rPr>
                <w:rFonts w:hint="eastAsia" w:cs="Times New Roman" w:asciiTheme="minorEastAsia" w:hAnsiTheme="minorEastAsia"/>
                <w:kern w:val="2"/>
                <w:sz w:val="28"/>
                <w:szCs w:val="28"/>
                <w:lang w:val="en-US" w:eastAsia="zh-CN" w:bidi="ar-SA"/>
              </w:rPr>
              <w:t>3、再次强调带量采购“350”目标；</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383" w:lineRule="atLeast"/>
              <w:ind w:right="0"/>
              <w:jc w:val="both"/>
              <w:rPr>
                <w:rFonts w:hint="eastAsia" w:cs="Times New Roman" w:asciiTheme="minorEastAsia" w:hAnsiTheme="minorEastAsia"/>
                <w:kern w:val="2"/>
                <w:sz w:val="28"/>
                <w:szCs w:val="28"/>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383" w:lineRule="atLeast"/>
              <w:ind w:right="0"/>
              <w:jc w:val="both"/>
              <w:rPr>
                <w:rFonts w:hint="eastAsia" w:cs="Times New Roman" w:asciiTheme="minorEastAsia" w:hAnsiTheme="minorEastAsia"/>
                <w:kern w:val="2"/>
                <w:sz w:val="28"/>
                <w:szCs w:val="28"/>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383" w:lineRule="atLeast"/>
              <w:ind w:right="0"/>
              <w:jc w:val="both"/>
              <w:rPr>
                <w:rFonts w:hint="eastAsia" w:cs="Times New Roman" w:asciiTheme="minorEastAsia" w:hAnsiTheme="minorEastAsia"/>
                <w:kern w:val="2"/>
                <w:sz w:val="28"/>
                <w:szCs w:val="28"/>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383" w:lineRule="atLeast"/>
              <w:ind w:right="0"/>
              <w:jc w:val="both"/>
              <w:rPr>
                <w:rFonts w:hint="eastAsia" w:cs="Times New Roman" w:asciiTheme="minorEastAsia" w:hAnsiTheme="minorEastAsia"/>
                <w:kern w:val="2"/>
                <w:sz w:val="28"/>
                <w:szCs w:val="28"/>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383" w:lineRule="atLeast"/>
              <w:ind w:right="0"/>
              <w:jc w:val="both"/>
              <w:rPr>
                <w:rFonts w:hint="eastAsia" w:cs="Times New Roman" w:asciiTheme="minorEastAsia" w:hAnsiTheme="minorEastAsia"/>
                <w:kern w:val="2"/>
                <w:sz w:val="28"/>
                <w:szCs w:val="28"/>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383" w:lineRule="atLeast"/>
              <w:ind w:right="0"/>
              <w:jc w:val="both"/>
              <w:rPr>
                <w:rFonts w:hint="eastAsia" w:cs="Times New Roman" w:asciiTheme="minorEastAsia" w:hAnsiTheme="minorEastAsia"/>
                <w:kern w:val="2"/>
                <w:sz w:val="28"/>
                <w:szCs w:val="28"/>
                <w:lang w:val="en-US" w:eastAsia="zh-CN" w:bidi="ar-SA"/>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asciiTheme="minorEastAsia" w:hAnsiTheme="minorEastAsia" w:eastAsiaTheme="minorEastAsia"/>
                <w:sz w:val="28"/>
                <w:szCs w:val="28"/>
              </w:rPr>
            </w:pPr>
            <w:r>
              <w:rPr>
                <w:rFonts w:hint="eastAsia" w:ascii="Calibri" w:hAnsi="Calibri" w:eastAsia="宋体" w:cs="Times New Roman"/>
                <w:kern w:val="2"/>
                <w:sz w:val="21"/>
                <w:szCs w:val="22"/>
                <w:lang w:val="en-US" w:eastAsia="zh-CN" w:bidi="ar-SA"/>
              </w:rPr>
              <w:t>附件1: 重磅！国家医保局公布，2022医保重点工作</w:t>
            </w:r>
          </w:p>
        </w:tc>
      </w:tr>
    </w:tbl>
    <w:p>
      <w:pPr>
        <w:tabs>
          <w:tab w:val="left" w:pos="5245"/>
        </w:tabs>
      </w:pPr>
    </w:p>
    <w:tbl>
      <w:tblPr>
        <w:tblStyle w:val="12"/>
        <w:tblW w:w="9073"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7"/>
        <w:gridCol w:w="2268"/>
        <w:gridCol w:w="142"/>
        <w:gridCol w:w="1843"/>
        <w:gridCol w:w="2409"/>
        <w:gridCol w:w="2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trPr>
        <w:tc>
          <w:tcPr>
            <w:tcW w:w="2127" w:type="dxa"/>
            <w:vAlign w:val="center"/>
          </w:tcPr>
          <w:p>
            <w:pPr>
              <w:tabs>
                <w:tab w:val="left" w:pos="5245"/>
              </w:tabs>
              <w:jc w:val="center"/>
              <w:rPr>
                <w:b/>
                <w:sz w:val="30"/>
                <w:szCs w:val="30"/>
              </w:rPr>
            </w:pPr>
            <w:r>
              <w:rPr>
                <w:rFonts w:hint="eastAsia"/>
                <w:b/>
                <w:sz w:val="30"/>
                <w:szCs w:val="30"/>
              </w:rPr>
              <w:t>信息02</w:t>
            </w:r>
          </w:p>
        </w:tc>
        <w:tc>
          <w:tcPr>
            <w:tcW w:w="6946" w:type="dxa"/>
            <w:gridSpan w:val="5"/>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asciiTheme="minorEastAsia" w:hAnsiTheme="minorEastAsia" w:eastAsiaTheme="minorEastAsia"/>
                <w:b/>
                <w:sz w:val="32"/>
                <w:szCs w:val="32"/>
              </w:rPr>
            </w:pPr>
            <w:r>
              <w:rPr>
                <w:rFonts w:hint="eastAsia" w:asciiTheme="minorEastAsia" w:hAnsiTheme="minorEastAsia" w:eastAsiaTheme="minorEastAsia"/>
                <w:b/>
                <w:sz w:val="32"/>
                <w:szCs w:val="32"/>
              </w:rPr>
              <w:t>刚刚！第七批国采，正式中选结果公布（附选省清单）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trPr>
        <w:tc>
          <w:tcPr>
            <w:tcW w:w="2127" w:type="dxa"/>
            <w:vAlign w:val="center"/>
          </w:tcPr>
          <w:p>
            <w:pPr>
              <w:tabs>
                <w:tab w:val="left" w:pos="5245"/>
              </w:tabs>
              <w:jc w:val="center"/>
            </w:pPr>
            <w:r>
              <w:rPr>
                <w:rFonts w:hint="eastAsia"/>
                <w:b/>
                <w:sz w:val="30"/>
                <w:szCs w:val="30"/>
              </w:rPr>
              <w:t>发布</w:t>
            </w:r>
            <w:r>
              <w:rPr>
                <w:b/>
                <w:sz w:val="30"/>
                <w:szCs w:val="30"/>
              </w:rPr>
              <w:t>时间</w:t>
            </w:r>
          </w:p>
        </w:tc>
        <w:tc>
          <w:tcPr>
            <w:tcW w:w="2410" w:type="dxa"/>
            <w:gridSpan w:val="2"/>
            <w:vAlign w:val="center"/>
          </w:tcPr>
          <w:p>
            <w:pPr>
              <w:widowControl/>
              <w:spacing w:line="300" w:lineRule="atLeast"/>
              <w:ind w:firstLine="280" w:firstLineChars="100"/>
              <w:jc w:val="left"/>
              <w:rPr>
                <w:rFonts w:hint="default" w:asciiTheme="minorEastAsia" w:hAnsiTheme="minorEastAsia" w:eastAsiaTheme="minorEastAsia"/>
                <w:sz w:val="28"/>
                <w:szCs w:val="28"/>
                <w:lang w:val="en-US"/>
              </w:rPr>
            </w:pPr>
            <w:r>
              <w:rPr>
                <w:rFonts w:hint="eastAsia" w:cs="Helvetica" w:asciiTheme="minorEastAsia" w:hAnsiTheme="minorEastAsia" w:eastAsiaTheme="minorEastAsia"/>
                <w:kern w:val="0"/>
                <w:sz w:val="28"/>
                <w:szCs w:val="28"/>
              </w:rPr>
              <w:t>202</w:t>
            </w:r>
            <w:r>
              <w:rPr>
                <w:rFonts w:hint="eastAsia" w:cs="Helvetica" w:asciiTheme="minorEastAsia" w:hAnsiTheme="minorEastAsia" w:eastAsiaTheme="minorEastAsia"/>
                <w:kern w:val="0"/>
                <w:sz w:val="28"/>
                <w:szCs w:val="28"/>
                <w:lang w:val="en-US" w:eastAsia="zh-CN"/>
              </w:rPr>
              <w:t>2</w:t>
            </w:r>
            <w:r>
              <w:rPr>
                <w:rFonts w:hint="eastAsia" w:cs="Helvetica" w:asciiTheme="minorEastAsia" w:hAnsiTheme="minorEastAsia" w:eastAsiaTheme="minorEastAsia"/>
                <w:kern w:val="0"/>
                <w:sz w:val="28"/>
                <w:szCs w:val="28"/>
              </w:rPr>
              <w:t>-</w:t>
            </w:r>
            <w:r>
              <w:rPr>
                <w:rFonts w:hint="eastAsia" w:cs="Helvetica" w:asciiTheme="minorEastAsia" w:hAnsiTheme="minorEastAsia" w:eastAsiaTheme="minorEastAsia"/>
                <w:kern w:val="0"/>
                <w:sz w:val="28"/>
                <w:szCs w:val="28"/>
                <w:lang w:val="en-US" w:eastAsia="zh-CN"/>
              </w:rPr>
              <w:t>7</w:t>
            </w:r>
            <w:r>
              <w:rPr>
                <w:rFonts w:hint="eastAsia" w:cs="Helvetica" w:asciiTheme="minorEastAsia" w:hAnsiTheme="minorEastAsia" w:eastAsiaTheme="minorEastAsia"/>
                <w:kern w:val="0"/>
                <w:sz w:val="28"/>
                <w:szCs w:val="28"/>
              </w:rPr>
              <w:t>-</w:t>
            </w:r>
            <w:r>
              <w:rPr>
                <w:rFonts w:hint="eastAsia" w:cs="Helvetica" w:asciiTheme="minorEastAsia" w:hAnsiTheme="minorEastAsia" w:eastAsiaTheme="minorEastAsia"/>
                <w:kern w:val="0"/>
                <w:sz w:val="28"/>
                <w:szCs w:val="28"/>
                <w:lang w:val="en-US" w:eastAsia="zh-CN"/>
              </w:rPr>
              <w:t>18</w:t>
            </w:r>
          </w:p>
        </w:tc>
        <w:tc>
          <w:tcPr>
            <w:tcW w:w="1843" w:type="dxa"/>
            <w:vAlign w:val="center"/>
          </w:tcPr>
          <w:p>
            <w:pPr>
              <w:jc w:val="center"/>
              <w:rPr>
                <w:b/>
                <w:sz w:val="30"/>
                <w:szCs w:val="30"/>
              </w:rPr>
            </w:pPr>
            <w:r>
              <w:rPr>
                <w:rFonts w:hint="eastAsia"/>
                <w:b/>
                <w:sz w:val="30"/>
                <w:szCs w:val="30"/>
              </w:rPr>
              <w:t>信息来源</w:t>
            </w:r>
          </w:p>
        </w:tc>
        <w:tc>
          <w:tcPr>
            <w:tcW w:w="2693" w:type="dxa"/>
            <w:gridSpan w:val="2"/>
            <w:vAlign w:val="center"/>
          </w:tcPr>
          <w:p>
            <w:pPr>
              <w:jc w:val="center"/>
              <w:rPr>
                <w:rFonts w:hint="eastAsia" w:eastAsia="宋体"/>
                <w:sz w:val="28"/>
                <w:szCs w:val="28"/>
                <w:lang w:eastAsia="zh-CN"/>
              </w:rPr>
            </w:pPr>
            <w:r>
              <w:rPr>
                <w:rFonts w:hint="eastAsia" w:eastAsiaTheme="minorEastAsia"/>
                <w:sz w:val="28"/>
                <w:szCs w:val="28"/>
                <w:lang w:val="en-US" w:eastAsia="zh-CN"/>
              </w:rPr>
              <w:t>赛柏蓝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2127" w:type="dxa"/>
            <w:vAlign w:val="center"/>
          </w:tcPr>
          <w:p>
            <w:pPr>
              <w:tabs>
                <w:tab w:val="left" w:pos="5245"/>
              </w:tabs>
              <w:jc w:val="center"/>
              <w:rPr>
                <w:b/>
                <w:sz w:val="30"/>
                <w:szCs w:val="30"/>
              </w:rPr>
            </w:pPr>
            <w:r>
              <w:rPr>
                <w:rFonts w:hint="eastAsia"/>
                <w:b/>
                <w:sz w:val="30"/>
                <w:szCs w:val="30"/>
              </w:rPr>
              <w:t>信息</w:t>
            </w:r>
            <w:r>
              <w:rPr>
                <w:b/>
                <w:sz w:val="30"/>
                <w:szCs w:val="30"/>
              </w:rPr>
              <w:t>提供</w:t>
            </w:r>
          </w:p>
        </w:tc>
        <w:tc>
          <w:tcPr>
            <w:tcW w:w="2410" w:type="dxa"/>
            <w:gridSpan w:val="2"/>
            <w:vAlign w:val="center"/>
          </w:tcPr>
          <w:p>
            <w:pPr>
              <w:jc w:val="left"/>
              <w:rPr>
                <w:sz w:val="28"/>
                <w:szCs w:val="28"/>
              </w:rPr>
            </w:pPr>
            <w:r>
              <w:rPr>
                <w:rFonts w:hint="eastAsia"/>
                <w:sz w:val="28"/>
                <w:szCs w:val="28"/>
              </w:rPr>
              <w:t>运营管理部</w:t>
            </w:r>
          </w:p>
        </w:tc>
        <w:tc>
          <w:tcPr>
            <w:tcW w:w="1843" w:type="dxa"/>
            <w:vAlign w:val="center"/>
          </w:tcPr>
          <w:p>
            <w:pPr>
              <w:jc w:val="center"/>
              <w:rPr>
                <w:b/>
                <w:sz w:val="28"/>
                <w:szCs w:val="28"/>
              </w:rPr>
            </w:pPr>
            <w:r>
              <w:rPr>
                <w:rFonts w:hint="eastAsia"/>
                <w:b/>
                <w:sz w:val="30"/>
                <w:szCs w:val="30"/>
              </w:rPr>
              <w:t>信息确认</w:t>
            </w:r>
          </w:p>
        </w:tc>
        <w:tc>
          <w:tcPr>
            <w:tcW w:w="2693" w:type="dxa"/>
            <w:gridSpan w:val="2"/>
            <w:vAlign w:val="center"/>
          </w:tcPr>
          <w:p>
            <w:pPr>
              <w:jc w:val="center"/>
              <w:rPr>
                <w:sz w:val="28"/>
                <w:szCs w:val="28"/>
              </w:rPr>
            </w:pPr>
            <w:r>
              <w:rPr>
                <w:rFonts w:hint="eastAsia"/>
                <w:sz w:val="28"/>
                <w:szCs w:val="28"/>
              </w:rPr>
              <w:t>车成刚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9" w:hRule="atLeast"/>
        </w:trPr>
        <w:tc>
          <w:tcPr>
            <w:tcW w:w="2127" w:type="dxa"/>
            <w:vAlign w:val="center"/>
          </w:tcPr>
          <w:p>
            <w:pPr>
              <w:tabs>
                <w:tab w:val="left" w:pos="5245"/>
              </w:tabs>
              <w:jc w:val="center"/>
              <w:rPr>
                <w:b/>
                <w:sz w:val="30"/>
                <w:szCs w:val="30"/>
              </w:rPr>
            </w:pPr>
            <w:r>
              <w:rPr>
                <w:rFonts w:hint="eastAsia"/>
                <w:b/>
                <w:sz w:val="30"/>
                <w:szCs w:val="30"/>
              </w:rPr>
              <w:t>确认</w:t>
            </w:r>
            <w:r>
              <w:rPr>
                <w:b/>
                <w:sz w:val="30"/>
                <w:szCs w:val="30"/>
              </w:rPr>
              <w:t>结果</w:t>
            </w:r>
          </w:p>
        </w:tc>
        <w:tc>
          <w:tcPr>
            <w:tcW w:w="6946" w:type="dxa"/>
            <w:gridSpan w:val="5"/>
            <w:vAlign w:val="center"/>
          </w:tcPr>
          <w:p>
            <w:pPr>
              <w:rPr>
                <w:rFonts w:cs="Helvetica" w:asciiTheme="minorEastAsia" w:hAnsiTheme="minorEastAsia" w:eastAsiaTheme="minorEastAsia"/>
                <w:kern w:val="0"/>
                <w:sz w:val="32"/>
                <w:szCs w:val="32"/>
              </w:rPr>
            </w:pPr>
            <w:r>
              <w:rPr>
                <w:rFonts w:asciiTheme="minorEastAsia" w:hAnsiTheme="minorEastAsia" w:eastAsiaTheme="minorEastAsia"/>
                <w:sz w:val="28"/>
                <w:szCs w:val="28"/>
              </w:rPr>
              <w:t>来源：</w:t>
            </w:r>
            <w:r>
              <w:rPr>
                <w:rFonts w:hint="eastAsia" w:eastAsiaTheme="minorEastAsia"/>
                <w:sz w:val="28"/>
                <w:szCs w:val="28"/>
                <w:lang w:val="en-US" w:eastAsia="zh-CN"/>
              </w:rPr>
              <w:t>赛柏蓝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8" w:hRule="atLeast"/>
        </w:trPr>
        <w:tc>
          <w:tcPr>
            <w:tcW w:w="2127" w:type="dxa"/>
            <w:vAlign w:val="center"/>
          </w:tcPr>
          <w:p>
            <w:pPr>
              <w:tabs>
                <w:tab w:val="left" w:pos="5245"/>
              </w:tabs>
              <w:jc w:val="center"/>
              <w:rPr>
                <w:b/>
                <w:sz w:val="30"/>
                <w:szCs w:val="30"/>
              </w:rPr>
            </w:pPr>
            <w:r>
              <w:rPr>
                <w:rFonts w:hint="eastAsia"/>
                <w:b/>
                <w:sz w:val="30"/>
                <w:szCs w:val="30"/>
              </w:rPr>
              <w:t>关键词</w:t>
            </w:r>
          </w:p>
        </w:tc>
        <w:tc>
          <w:tcPr>
            <w:tcW w:w="6946" w:type="dxa"/>
            <w:gridSpan w:val="5"/>
            <w:vAlign w:val="center"/>
          </w:tcPr>
          <w:p>
            <w:pPr>
              <w:jc w:val="left"/>
              <w:rPr>
                <w:sz w:val="28"/>
                <w:szCs w:val="28"/>
              </w:rPr>
            </w:pPr>
            <w:r>
              <w:rPr>
                <w:rFonts w:hint="eastAsia" w:asciiTheme="minorEastAsia" w:hAnsiTheme="minorEastAsia" w:eastAsiaTheme="minorEastAsia"/>
                <w:sz w:val="28"/>
                <w:szCs w:val="28"/>
                <w:lang w:val="en-US" w:eastAsia="zh-CN"/>
              </w:rPr>
              <w:t>第七批国采，中选，条件</w:t>
            </w:r>
            <w:r>
              <w:rPr>
                <w:rFonts w:hint="eastAsia"/>
                <w:sz w:val="28"/>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37" w:hRule="atLeast"/>
        </w:trPr>
        <w:tc>
          <w:tcPr>
            <w:tcW w:w="2127" w:type="dxa"/>
            <w:vAlign w:val="center"/>
          </w:tcPr>
          <w:p>
            <w:pPr>
              <w:tabs>
                <w:tab w:val="left" w:pos="5245"/>
              </w:tabs>
              <w:jc w:val="center"/>
              <w:rPr>
                <w:b/>
                <w:sz w:val="30"/>
                <w:szCs w:val="30"/>
              </w:rPr>
            </w:pPr>
            <w:r>
              <w:rPr>
                <w:rFonts w:hint="eastAsia"/>
                <w:b/>
                <w:sz w:val="30"/>
                <w:szCs w:val="30"/>
              </w:rPr>
              <w:t>内容概要</w:t>
            </w:r>
          </w:p>
        </w:tc>
        <w:tc>
          <w:tcPr>
            <w:tcW w:w="6946" w:type="dxa"/>
            <w:gridSpan w:val="5"/>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0"/>
              <w:jc w:val="both"/>
              <w:rPr>
                <w:rFonts w:hint="eastAsia" w:ascii="Microsoft YaHei UI" w:hAnsi="Microsoft YaHei UI" w:eastAsia="宋体" w:cs="Microsoft YaHei UI"/>
                <w:i w:val="0"/>
                <w:iCs w:val="0"/>
                <w:caps w:val="0"/>
                <w:color w:val="333333"/>
                <w:spacing w:val="8"/>
                <w:sz w:val="25"/>
                <w:szCs w:val="25"/>
                <w:u w:val="none"/>
                <w:lang w:eastAsia="zh-CN"/>
              </w:rPr>
            </w:pPr>
            <w:r>
              <w:rPr>
                <w:rFonts w:hint="eastAsia" w:cs="Times New Roman" w:asciiTheme="minorEastAsia" w:hAnsiTheme="minorEastAsia"/>
                <w:kern w:val="2"/>
                <w:sz w:val="28"/>
                <w:szCs w:val="28"/>
                <w:lang w:val="en-US" w:eastAsia="zh-CN" w:bidi="ar-SA"/>
              </w:rPr>
              <w:t>国家组织药品联合采购办公室发布《关于公布全国药品集中采购中选结果的通知》，</w:t>
            </w:r>
            <w:r>
              <w:rPr>
                <w:rFonts w:hint="eastAsia" w:eastAsia="宋体" w:cs="Times New Roman" w:asciiTheme="minorEastAsia" w:hAnsiTheme="minorEastAsia"/>
                <w:color w:val="auto"/>
                <w:kern w:val="2"/>
                <w:sz w:val="28"/>
                <w:szCs w:val="28"/>
                <w:lang w:val="en-US" w:eastAsia="zh-CN" w:bidi="ar-SA"/>
              </w:rPr>
              <w:t>第七批国采共有295家企业的488个产品参与投标，最终217家企业的327个产品获得拟中选资格，60种药品采购成功</w:t>
            </w:r>
            <w:r>
              <w:rPr>
                <w:rStyle w:val="14"/>
                <w:rFonts w:hint="eastAsia" w:ascii="Microsoft YaHei UI" w:hAnsi="Microsoft YaHei UI" w:eastAsia="Microsoft YaHei UI" w:cs="Microsoft YaHei UI"/>
                <w:i w:val="0"/>
                <w:iCs w:val="0"/>
                <w:caps w:val="0"/>
                <w:color w:val="1F4ABC"/>
                <w:spacing w:val="0"/>
                <w:sz w:val="22"/>
                <w:szCs w:val="22"/>
                <w:u w:val="none"/>
                <w:shd w:val="clear" w:fill="FFFFFF"/>
                <w:lang w:eastAsia="zh-CN"/>
              </w:rPr>
              <w:t>。</w:t>
            </w:r>
          </w:p>
          <w:p>
            <w:pPr>
              <w:widowControl/>
              <w:numPr>
                <w:ilvl w:val="0"/>
                <w:numId w:val="1"/>
              </w:numPr>
              <w:spacing w:line="420" w:lineRule="atLeast"/>
              <w:ind w:firstLine="560" w:firstLineChars="200"/>
              <w:jc w:val="left"/>
              <w:rPr>
                <w:rFonts w:hint="eastAsia" w:cs="Times New Roman" w:asciiTheme="minorEastAsia" w:hAnsiTheme="minorEastAsia"/>
                <w:kern w:val="2"/>
                <w:sz w:val="28"/>
                <w:szCs w:val="28"/>
                <w:lang w:val="en-US" w:eastAsia="zh-CN" w:bidi="ar-SA"/>
              </w:rPr>
            </w:pPr>
            <w:r>
              <w:rPr>
                <w:rFonts w:hint="eastAsia" w:cs="Times New Roman" w:asciiTheme="minorEastAsia" w:hAnsiTheme="minorEastAsia"/>
                <w:kern w:val="2"/>
                <w:sz w:val="28"/>
                <w:szCs w:val="28"/>
                <w:lang w:val="en-US" w:eastAsia="zh-CN" w:bidi="ar-SA"/>
              </w:rPr>
              <w:t>第七批国采中选结果，供应与备供地区均确定；</w:t>
            </w:r>
          </w:p>
          <w:p>
            <w:pPr>
              <w:widowControl/>
              <w:numPr>
                <w:ilvl w:val="0"/>
                <w:numId w:val="1"/>
              </w:numPr>
              <w:spacing w:line="420" w:lineRule="atLeast"/>
              <w:ind w:firstLine="560" w:firstLineChars="200"/>
              <w:jc w:val="left"/>
              <w:rPr>
                <w:rFonts w:hint="eastAsia" w:cs="Times New Roman" w:asciiTheme="minorEastAsia" w:hAnsiTheme="minorEastAsia"/>
                <w:kern w:val="2"/>
                <w:sz w:val="28"/>
                <w:szCs w:val="28"/>
                <w:lang w:val="en-US" w:eastAsia="zh-CN" w:bidi="ar-SA"/>
              </w:rPr>
            </w:pPr>
            <w:r>
              <w:rPr>
                <w:rFonts w:hint="eastAsia" w:cs="Times New Roman" w:asciiTheme="minorEastAsia" w:hAnsiTheme="minorEastAsia"/>
                <w:kern w:val="2"/>
                <w:sz w:val="28"/>
                <w:szCs w:val="28"/>
                <w:lang w:val="en-US" w:eastAsia="zh-CN" w:bidi="ar-SA"/>
              </w:rPr>
              <w:t>第八批国采要来了？大批品种，已满足国采条件。</w:t>
            </w:r>
          </w:p>
          <w:p>
            <w:pPr>
              <w:widowControl/>
              <w:numPr>
                <w:ilvl w:val="0"/>
                <w:numId w:val="0"/>
              </w:numPr>
              <w:spacing w:line="420" w:lineRule="atLeast"/>
              <w:jc w:val="left"/>
              <w:rPr>
                <w:rFonts w:hint="eastAsia" w:cs="Times New Roman" w:asciiTheme="minorEastAsia" w:hAnsiTheme="minorEastAsia"/>
                <w:kern w:val="2"/>
                <w:sz w:val="28"/>
                <w:szCs w:val="28"/>
                <w:lang w:val="en-US" w:eastAsia="zh-CN" w:bidi="ar-SA"/>
              </w:rPr>
            </w:pPr>
          </w:p>
          <w:p>
            <w:pPr>
              <w:widowControl/>
              <w:spacing w:line="420" w:lineRule="atLeast"/>
              <w:ind w:firstLine="420" w:firstLineChars="200"/>
              <w:jc w:val="left"/>
              <w:rPr>
                <w:rFonts w:asciiTheme="minorEastAsia" w:hAnsiTheme="minorEastAsia" w:eastAsiaTheme="minorEastAsia"/>
              </w:rPr>
            </w:pPr>
          </w:p>
          <w:p>
            <w:pPr>
              <w:widowControl/>
              <w:spacing w:line="420" w:lineRule="atLeast"/>
              <w:jc w:val="left"/>
              <w:rPr>
                <w:rFonts w:asciiTheme="minorEastAsia" w:hAnsiTheme="minorEastAsia" w:eastAsiaTheme="minorEastAsia"/>
              </w:rPr>
            </w:pPr>
          </w:p>
          <w:p>
            <w:pPr>
              <w:widowControl/>
              <w:spacing w:line="420" w:lineRule="atLeast"/>
              <w:jc w:val="left"/>
              <w:rPr>
                <w:rFonts w:asciiTheme="minorEastAsia" w:hAnsiTheme="minorEastAsia" w:eastAsiaTheme="minorEastAsia"/>
              </w:rPr>
            </w:pPr>
          </w:p>
          <w:p>
            <w:pPr>
              <w:widowControl/>
              <w:spacing w:line="420" w:lineRule="atLeast"/>
              <w:jc w:val="left"/>
              <w:rPr>
                <w:rFonts w:asciiTheme="minorEastAsia" w:hAnsiTheme="minorEastAsia" w:eastAsiaTheme="minorEastAsia"/>
              </w:rPr>
            </w:pPr>
          </w:p>
          <w:p>
            <w:pPr>
              <w:widowControl/>
              <w:spacing w:line="420" w:lineRule="atLeast"/>
              <w:jc w:val="left"/>
              <w:rPr>
                <w:rFonts w:asciiTheme="minorEastAsia" w:hAnsiTheme="minorEastAsia" w:eastAsiaTheme="minorEastAsia"/>
              </w:rPr>
            </w:pPr>
          </w:p>
          <w:p>
            <w:pPr>
              <w:widowControl/>
              <w:spacing w:line="420" w:lineRule="atLeast"/>
              <w:jc w:val="left"/>
              <w:rPr>
                <w:rFonts w:asciiTheme="minorEastAsia" w:hAnsiTheme="minorEastAsia" w:eastAsiaTheme="minorEastAsia"/>
              </w:rPr>
            </w:pPr>
          </w:p>
          <w:p>
            <w:pPr>
              <w:widowControl/>
              <w:spacing w:line="420" w:lineRule="atLeast"/>
              <w:jc w:val="left"/>
              <w:rPr>
                <w:rFonts w:asciiTheme="minorEastAsia" w:hAnsiTheme="minorEastAsia" w:eastAsiaTheme="minorEastAsia"/>
              </w:rPr>
            </w:pPr>
          </w:p>
          <w:p>
            <w:pPr>
              <w:widowControl/>
              <w:spacing w:line="420" w:lineRule="atLeast"/>
              <w:jc w:val="left"/>
              <w:rPr>
                <w:rFonts w:asciiTheme="minorEastAsia" w:hAnsiTheme="minorEastAsia" w:eastAsiaTheme="minorEastAsia"/>
              </w:rPr>
            </w:pPr>
          </w:p>
          <w:p>
            <w:pPr>
              <w:widowControl/>
              <w:spacing w:line="420" w:lineRule="atLeast"/>
              <w:jc w:val="left"/>
              <w:rPr>
                <w:rFonts w:asciiTheme="minorEastAsia" w:hAnsiTheme="minorEastAsia" w:eastAsiaTheme="minorEastAsia"/>
              </w:rPr>
            </w:pPr>
          </w:p>
          <w:p>
            <w:r>
              <w:rPr>
                <w:rFonts w:hint="eastAsia"/>
                <w:lang w:eastAsia="zh-CN"/>
              </w:rPr>
              <w:t>附件</w:t>
            </w:r>
            <w:r>
              <w:rPr>
                <w:rFonts w:hint="eastAsia"/>
                <w:lang w:val="en-US" w:eastAsia="zh-CN"/>
              </w:rPr>
              <w:t>2：刚刚！第七批国采，正式中选结果公布（附选省清单）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1" w:hRule="atLeast"/>
        </w:trPr>
        <w:tc>
          <w:tcPr>
            <w:tcW w:w="2127" w:type="dxa"/>
            <w:vAlign w:val="center"/>
          </w:tcPr>
          <w:p>
            <w:pPr>
              <w:jc w:val="center"/>
              <w:rPr>
                <w:b/>
                <w:sz w:val="30"/>
                <w:szCs w:val="30"/>
              </w:rPr>
            </w:pPr>
            <w:r>
              <w:rPr>
                <w:rFonts w:hint="eastAsia"/>
                <w:b/>
                <w:sz w:val="30"/>
                <w:szCs w:val="30"/>
              </w:rPr>
              <w:t>信息03</w:t>
            </w:r>
          </w:p>
        </w:tc>
        <w:tc>
          <w:tcPr>
            <w:tcW w:w="6946" w:type="dxa"/>
            <w:gridSpan w:val="5"/>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cs="Helvetica" w:asciiTheme="minorEastAsia" w:hAnsiTheme="minorEastAsia" w:eastAsiaTheme="minorEastAsia"/>
                <w:b/>
                <w:color w:val="000000"/>
                <w:kern w:val="0"/>
                <w:sz w:val="32"/>
                <w:szCs w:val="32"/>
              </w:rPr>
            </w:pPr>
            <w:r>
              <w:rPr>
                <w:rFonts w:hint="eastAsia"/>
                <w:b/>
                <w:bCs/>
                <w:sz w:val="33"/>
                <w:szCs w:val="33"/>
              </w:rPr>
              <w:t>医保局正式发文！大批药店参与集采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9" w:hRule="atLeast"/>
        </w:trPr>
        <w:tc>
          <w:tcPr>
            <w:tcW w:w="2127" w:type="dxa"/>
            <w:tcBorders>
              <w:bottom w:val="single" w:color="auto" w:sz="4" w:space="0"/>
            </w:tcBorders>
            <w:vAlign w:val="center"/>
          </w:tcPr>
          <w:p>
            <w:pPr>
              <w:tabs>
                <w:tab w:val="left" w:pos="5245"/>
              </w:tabs>
              <w:jc w:val="center"/>
            </w:pPr>
            <w:r>
              <w:rPr>
                <w:rFonts w:hint="eastAsia"/>
                <w:b/>
                <w:sz w:val="30"/>
                <w:szCs w:val="30"/>
              </w:rPr>
              <w:t>发布</w:t>
            </w:r>
            <w:r>
              <w:rPr>
                <w:b/>
                <w:sz w:val="30"/>
                <w:szCs w:val="30"/>
              </w:rPr>
              <w:t>时间</w:t>
            </w:r>
          </w:p>
        </w:tc>
        <w:tc>
          <w:tcPr>
            <w:tcW w:w="2268" w:type="dxa"/>
            <w:tcBorders>
              <w:bottom w:val="single" w:color="auto" w:sz="4" w:space="0"/>
            </w:tcBorders>
            <w:vAlign w:val="center"/>
          </w:tcPr>
          <w:p>
            <w:pPr>
              <w:widowControl/>
              <w:spacing w:line="300" w:lineRule="atLeast"/>
              <w:ind w:firstLine="280" w:firstLineChars="100"/>
              <w:jc w:val="left"/>
              <w:rPr>
                <w:rFonts w:hint="default" w:asciiTheme="minorEastAsia" w:hAnsiTheme="minorEastAsia" w:eastAsiaTheme="minorEastAsia"/>
                <w:sz w:val="28"/>
                <w:szCs w:val="28"/>
                <w:lang w:val="en-US" w:eastAsia="zh-CN"/>
              </w:rPr>
            </w:pPr>
            <w:r>
              <w:rPr>
                <w:rFonts w:hint="eastAsia" w:cs="Helvetica" w:asciiTheme="minorEastAsia" w:hAnsiTheme="minorEastAsia" w:eastAsiaTheme="minorEastAsia"/>
                <w:kern w:val="0"/>
                <w:sz w:val="28"/>
                <w:szCs w:val="28"/>
              </w:rPr>
              <w:t>202</w:t>
            </w:r>
            <w:r>
              <w:rPr>
                <w:rFonts w:hint="eastAsia" w:cs="Helvetica" w:asciiTheme="minorEastAsia" w:hAnsiTheme="minorEastAsia" w:eastAsiaTheme="minorEastAsia"/>
                <w:kern w:val="0"/>
                <w:sz w:val="28"/>
                <w:szCs w:val="28"/>
                <w:lang w:val="en-US" w:eastAsia="zh-CN"/>
              </w:rPr>
              <w:t>2</w:t>
            </w:r>
            <w:r>
              <w:rPr>
                <w:rFonts w:hint="eastAsia" w:cs="Helvetica" w:asciiTheme="minorEastAsia" w:hAnsiTheme="minorEastAsia" w:eastAsiaTheme="minorEastAsia"/>
                <w:kern w:val="0"/>
                <w:sz w:val="28"/>
                <w:szCs w:val="28"/>
              </w:rPr>
              <w:t>-</w:t>
            </w:r>
            <w:r>
              <w:rPr>
                <w:rFonts w:hint="eastAsia" w:cs="Helvetica" w:asciiTheme="minorEastAsia" w:hAnsiTheme="minorEastAsia" w:eastAsiaTheme="minorEastAsia"/>
                <w:kern w:val="0"/>
                <w:sz w:val="28"/>
                <w:szCs w:val="28"/>
                <w:lang w:val="en-US" w:eastAsia="zh-CN"/>
              </w:rPr>
              <w:t>7</w:t>
            </w:r>
            <w:r>
              <w:rPr>
                <w:rFonts w:hint="eastAsia" w:cs="Helvetica" w:asciiTheme="minorEastAsia" w:hAnsiTheme="minorEastAsia" w:eastAsiaTheme="minorEastAsia"/>
                <w:kern w:val="0"/>
                <w:sz w:val="28"/>
                <w:szCs w:val="28"/>
              </w:rPr>
              <w:t>-</w:t>
            </w:r>
            <w:r>
              <w:rPr>
                <w:rFonts w:hint="eastAsia" w:cs="Helvetica" w:asciiTheme="minorEastAsia" w:hAnsiTheme="minorEastAsia" w:eastAsiaTheme="minorEastAsia"/>
                <w:kern w:val="0"/>
                <w:sz w:val="28"/>
                <w:szCs w:val="28"/>
                <w:lang w:val="en-US" w:eastAsia="zh-CN"/>
              </w:rPr>
              <w:t>22</w:t>
            </w:r>
          </w:p>
        </w:tc>
        <w:tc>
          <w:tcPr>
            <w:tcW w:w="1985" w:type="dxa"/>
            <w:gridSpan w:val="2"/>
            <w:tcBorders>
              <w:bottom w:val="single" w:color="auto" w:sz="4" w:space="0"/>
            </w:tcBorders>
            <w:vAlign w:val="center"/>
          </w:tcPr>
          <w:p>
            <w:pPr>
              <w:jc w:val="center"/>
              <w:rPr>
                <w:b/>
                <w:sz w:val="30"/>
                <w:szCs w:val="30"/>
              </w:rPr>
            </w:pPr>
            <w:r>
              <w:rPr>
                <w:rFonts w:hint="eastAsia"/>
                <w:b/>
                <w:sz w:val="30"/>
                <w:szCs w:val="30"/>
              </w:rPr>
              <w:t>信息来源</w:t>
            </w:r>
          </w:p>
        </w:tc>
        <w:tc>
          <w:tcPr>
            <w:tcW w:w="2693" w:type="dxa"/>
            <w:gridSpan w:val="2"/>
            <w:tcBorders>
              <w:bottom w:val="single" w:color="auto" w:sz="4" w:space="0"/>
            </w:tcBorders>
            <w:vAlign w:val="center"/>
          </w:tcPr>
          <w:p>
            <w:pPr>
              <w:jc w:val="center"/>
              <w:rPr>
                <w:rFonts w:hint="default" w:eastAsia="宋体"/>
                <w:sz w:val="28"/>
                <w:szCs w:val="28"/>
                <w:lang w:val="en-US" w:eastAsia="zh-CN"/>
              </w:rPr>
            </w:pPr>
            <w:r>
              <w:rPr>
                <w:rFonts w:hint="eastAsia" w:eastAsiaTheme="minorEastAsia"/>
                <w:sz w:val="28"/>
                <w:szCs w:val="28"/>
                <w:lang w:val="en-US" w:eastAsia="zh-CN"/>
              </w:rPr>
              <w:t>赛柏蓝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2127" w:type="dxa"/>
            <w:tcBorders>
              <w:top w:val="single" w:color="auto" w:sz="4" w:space="0"/>
            </w:tcBorders>
            <w:vAlign w:val="center"/>
          </w:tcPr>
          <w:p>
            <w:pPr>
              <w:tabs>
                <w:tab w:val="left" w:pos="5245"/>
              </w:tabs>
              <w:jc w:val="center"/>
              <w:rPr>
                <w:b/>
                <w:sz w:val="30"/>
                <w:szCs w:val="30"/>
              </w:rPr>
            </w:pPr>
            <w:r>
              <w:rPr>
                <w:rFonts w:hint="eastAsia"/>
                <w:b/>
                <w:sz w:val="30"/>
                <w:szCs w:val="30"/>
              </w:rPr>
              <w:t>信息</w:t>
            </w:r>
            <w:r>
              <w:rPr>
                <w:b/>
                <w:sz w:val="30"/>
                <w:szCs w:val="30"/>
              </w:rPr>
              <w:t>提供</w:t>
            </w:r>
          </w:p>
        </w:tc>
        <w:tc>
          <w:tcPr>
            <w:tcW w:w="2268" w:type="dxa"/>
            <w:tcBorders>
              <w:top w:val="single" w:color="auto" w:sz="4" w:space="0"/>
            </w:tcBorders>
            <w:vAlign w:val="center"/>
          </w:tcPr>
          <w:p>
            <w:pPr>
              <w:jc w:val="center"/>
              <w:rPr>
                <w:sz w:val="28"/>
                <w:szCs w:val="28"/>
              </w:rPr>
            </w:pPr>
            <w:r>
              <w:rPr>
                <w:rFonts w:hint="eastAsia"/>
                <w:sz w:val="28"/>
                <w:szCs w:val="28"/>
              </w:rPr>
              <w:t>运营管理部</w:t>
            </w:r>
          </w:p>
        </w:tc>
        <w:tc>
          <w:tcPr>
            <w:tcW w:w="1985" w:type="dxa"/>
            <w:gridSpan w:val="2"/>
            <w:tcBorders>
              <w:top w:val="single" w:color="auto" w:sz="4" w:space="0"/>
            </w:tcBorders>
            <w:vAlign w:val="center"/>
          </w:tcPr>
          <w:p>
            <w:pPr>
              <w:jc w:val="center"/>
              <w:rPr>
                <w:b/>
                <w:sz w:val="28"/>
                <w:szCs w:val="28"/>
              </w:rPr>
            </w:pPr>
            <w:r>
              <w:rPr>
                <w:rFonts w:hint="eastAsia"/>
                <w:b/>
                <w:sz w:val="30"/>
                <w:szCs w:val="30"/>
              </w:rPr>
              <w:t>信息确认</w:t>
            </w:r>
          </w:p>
        </w:tc>
        <w:tc>
          <w:tcPr>
            <w:tcW w:w="2693" w:type="dxa"/>
            <w:gridSpan w:val="2"/>
            <w:tcBorders>
              <w:top w:val="single" w:color="auto" w:sz="4" w:space="0"/>
            </w:tcBorders>
            <w:vAlign w:val="center"/>
          </w:tcPr>
          <w:p>
            <w:pPr>
              <w:jc w:val="center"/>
              <w:rPr>
                <w:sz w:val="28"/>
                <w:szCs w:val="28"/>
              </w:rPr>
            </w:pPr>
            <w:r>
              <w:rPr>
                <w:rFonts w:hint="eastAsia"/>
                <w:sz w:val="28"/>
                <w:szCs w:val="28"/>
              </w:rPr>
              <w:t>车成刚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4" w:hRule="atLeast"/>
        </w:trPr>
        <w:tc>
          <w:tcPr>
            <w:tcW w:w="2127" w:type="dxa"/>
            <w:vAlign w:val="center"/>
          </w:tcPr>
          <w:p>
            <w:pPr>
              <w:tabs>
                <w:tab w:val="left" w:pos="5245"/>
              </w:tabs>
              <w:jc w:val="center"/>
              <w:rPr>
                <w:b/>
                <w:sz w:val="30"/>
                <w:szCs w:val="30"/>
              </w:rPr>
            </w:pPr>
            <w:r>
              <w:rPr>
                <w:rFonts w:hint="eastAsia"/>
                <w:b/>
                <w:sz w:val="30"/>
                <w:szCs w:val="30"/>
              </w:rPr>
              <w:t>确认</w:t>
            </w:r>
            <w:r>
              <w:rPr>
                <w:b/>
                <w:sz w:val="30"/>
                <w:szCs w:val="30"/>
              </w:rPr>
              <w:t>结果</w:t>
            </w:r>
          </w:p>
        </w:tc>
        <w:tc>
          <w:tcPr>
            <w:tcW w:w="6946" w:type="dxa"/>
            <w:gridSpan w:val="5"/>
            <w:vAlign w:val="center"/>
          </w:tcPr>
          <w:p>
            <w:pPr>
              <w:widowControl/>
              <w:spacing w:line="300" w:lineRule="atLeast"/>
              <w:jc w:val="left"/>
              <w:rPr>
                <w:rFonts w:hint="eastAsia" w:ascii="Helvetica" w:hAnsi="Helvetica" w:cs="Helvetica" w:eastAsiaTheme="minorEastAsia"/>
                <w:color w:val="000000" w:themeColor="text1"/>
                <w:kern w:val="0"/>
                <w:sz w:val="28"/>
                <w:szCs w:val="28"/>
                <w:lang w:eastAsia="zh-CN"/>
              </w:rPr>
            </w:pPr>
            <w:r>
              <w:rPr>
                <w:rFonts w:hint="eastAsia" w:cs="Helvetica" w:asciiTheme="minorEastAsia" w:hAnsiTheme="minorEastAsia" w:eastAsiaTheme="minorEastAsia"/>
                <w:color w:val="000000" w:themeColor="text1"/>
                <w:kern w:val="0"/>
                <w:sz w:val="28"/>
                <w:szCs w:val="28"/>
              </w:rPr>
              <w:t>来源：</w:t>
            </w:r>
            <w:r>
              <w:rPr>
                <w:rFonts w:hint="eastAsia" w:eastAsiaTheme="minorEastAsia"/>
                <w:sz w:val="28"/>
                <w:szCs w:val="28"/>
                <w:lang w:val="en-US" w:eastAsia="zh-CN"/>
              </w:rPr>
              <w:t>赛柏蓝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2127" w:type="dxa"/>
            <w:vAlign w:val="center"/>
          </w:tcPr>
          <w:p>
            <w:pPr>
              <w:jc w:val="center"/>
              <w:rPr>
                <w:b/>
                <w:sz w:val="30"/>
                <w:szCs w:val="30"/>
              </w:rPr>
            </w:pPr>
            <w:r>
              <w:rPr>
                <w:rFonts w:hint="eastAsia"/>
                <w:b/>
                <w:sz w:val="30"/>
                <w:szCs w:val="30"/>
              </w:rPr>
              <w:t>关键词</w:t>
            </w:r>
          </w:p>
        </w:tc>
        <w:tc>
          <w:tcPr>
            <w:tcW w:w="6946" w:type="dxa"/>
            <w:gridSpan w:val="5"/>
            <w:vAlign w:val="center"/>
          </w:tcPr>
          <w:p>
            <w:pPr>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sz w:val="28"/>
                <w:szCs w:val="28"/>
                <w:lang w:val="en-US" w:eastAsia="zh-CN"/>
              </w:rPr>
              <w:t>医保，</w:t>
            </w:r>
            <w:r>
              <w:rPr>
                <w:rFonts w:hint="eastAsia" w:asciiTheme="minorEastAsia" w:hAnsiTheme="minorEastAsia" w:eastAsiaTheme="minorEastAsia"/>
                <w:sz w:val="28"/>
                <w:szCs w:val="28"/>
                <w:lang w:eastAsia="zh-CN"/>
              </w:rPr>
              <w:t>药店，集采</w:t>
            </w:r>
            <w:r>
              <w:rPr>
                <w:rFonts w:hint="eastAsia" w:asciiTheme="minorEastAsia" w:hAnsiTheme="minorEastAsia" w:eastAsiaTheme="minorEastAsia"/>
                <w:sz w:val="28"/>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27" w:hRule="atLeast"/>
        </w:trPr>
        <w:tc>
          <w:tcPr>
            <w:tcW w:w="2127" w:type="dxa"/>
            <w:vAlign w:val="center"/>
          </w:tcPr>
          <w:p>
            <w:pPr>
              <w:tabs>
                <w:tab w:val="left" w:pos="7088"/>
              </w:tabs>
              <w:spacing w:line="380" w:lineRule="exact"/>
              <w:jc w:val="center"/>
              <w:rPr>
                <w:b/>
                <w:sz w:val="30"/>
                <w:szCs w:val="30"/>
              </w:rPr>
            </w:pPr>
            <w:r>
              <w:rPr>
                <w:rFonts w:hint="eastAsia"/>
                <w:b/>
                <w:sz w:val="30"/>
                <w:szCs w:val="30"/>
              </w:rPr>
              <w:t>内容概要</w:t>
            </w:r>
          </w:p>
        </w:tc>
        <w:tc>
          <w:tcPr>
            <w:tcW w:w="6946" w:type="dxa"/>
            <w:gridSpan w:val="5"/>
            <w:vAlign w:val="center"/>
          </w:tcPr>
          <w:p>
            <w:pPr>
              <w:pStyle w:val="22"/>
              <w:numPr>
                <w:ilvl w:val="0"/>
                <w:numId w:val="0"/>
              </w:numPr>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7月21日，江苏省医保局发布《 关于开展医保定点零售药店参与带量采购和阳光采购工作的通知（征求意见稿）》（下称《意见稿》），为定点药店如何参与带量采购做出流程指引。</w:t>
            </w:r>
          </w:p>
          <w:p>
            <w:pPr>
              <w:numPr>
                <w:ilvl w:val="0"/>
                <w:numId w:val="2"/>
              </w:numPr>
              <w:ind w:left="420" w:leftChars="0" w:firstLineChars="0"/>
              <w:rPr>
                <w:rFonts w:hint="eastAsia" w:ascii="宋体" w:hAnsi="宋体" w:cs="宋体"/>
                <w:kern w:val="2"/>
                <w:sz w:val="28"/>
                <w:szCs w:val="28"/>
                <w:lang w:val="en-US" w:eastAsia="zh-CN" w:bidi="ar-SA"/>
              </w:rPr>
            </w:pPr>
            <w:r>
              <w:rPr>
                <w:rFonts w:hint="eastAsia" w:ascii="宋体" w:hAnsi="宋体" w:cs="宋体"/>
                <w:kern w:val="2"/>
                <w:sz w:val="28"/>
                <w:szCs w:val="28"/>
                <w:lang w:val="en-US" w:eastAsia="zh-CN" w:bidi="ar-SA"/>
              </w:rPr>
              <w:t>集采药进药店 正式落地；</w:t>
            </w:r>
          </w:p>
          <w:p>
            <w:pPr>
              <w:numPr>
                <w:ilvl w:val="0"/>
                <w:numId w:val="2"/>
              </w:numPr>
              <w:ind w:left="420" w:leftChars="0" w:firstLineChars="0"/>
              <w:rPr>
                <w:rFonts w:hint="eastAsia" w:ascii="宋体" w:hAnsi="宋体" w:eastAsia="宋体" w:cs="宋体"/>
                <w:kern w:val="2"/>
                <w:sz w:val="28"/>
                <w:szCs w:val="28"/>
                <w:lang w:val="en-US" w:eastAsia="zh-CN" w:bidi="ar-SA"/>
              </w:rPr>
            </w:pPr>
            <w:r>
              <w:rPr>
                <w:rFonts w:hint="eastAsia" w:ascii="宋体" w:hAnsi="宋体" w:cs="宋体"/>
                <w:kern w:val="2"/>
                <w:sz w:val="28"/>
                <w:szCs w:val="28"/>
                <w:lang w:val="en-US" w:eastAsia="zh-CN" w:bidi="ar-SA"/>
              </w:rPr>
              <w:t>药店期盼政策落地执行；</w:t>
            </w:r>
          </w:p>
          <w:p>
            <w:pPr>
              <w:numPr>
                <w:ilvl w:val="0"/>
                <w:numId w:val="2"/>
              </w:numPr>
              <w:ind w:left="420" w:leftChars="0" w:firstLineChars="0"/>
              <w:rPr>
                <w:rFonts w:hint="eastAsia" w:ascii="宋体" w:hAnsi="宋体" w:eastAsia="宋体" w:cs="宋体"/>
                <w:kern w:val="2"/>
                <w:sz w:val="28"/>
                <w:szCs w:val="28"/>
                <w:lang w:val="en-US" w:eastAsia="zh-CN" w:bidi="ar-SA"/>
              </w:rPr>
            </w:pPr>
            <w:r>
              <w:rPr>
                <w:rFonts w:hint="eastAsia" w:ascii="宋体" w:hAnsi="宋体" w:cs="宋体"/>
                <w:kern w:val="2"/>
                <w:sz w:val="28"/>
                <w:szCs w:val="28"/>
                <w:lang w:val="en-US" w:eastAsia="zh-CN" w:bidi="ar-SA"/>
              </w:rPr>
              <w:t>亏本也要做。</w:t>
            </w: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hint="eastAsia"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附件3：医保局正式发文！大批药店参与集采</w:t>
            </w:r>
          </w:p>
          <w:p>
            <w:pPr>
              <w:rPr>
                <w:rFonts w:cs="Helvetica" w:asciiTheme="minorEastAsia" w:hAnsiTheme="minorEastAsia" w:eastAsiaTheme="minorEastAsia"/>
                <w:color w:val="000000" w:themeColor="text1"/>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1090" w:hRule="atLeast"/>
        </w:trPr>
        <w:tc>
          <w:tcPr>
            <w:tcW w:w="2127" w:type="dxa"/>
            <w:tcBorders>
              <w:right w:val="outset" w:color="auto" w:sz="6" w:space="0"/>
            </w:tcBorders>
            <w:vAlign w:val="center"/>
          </w:tcPr>
          <w:p>
            <w:pPr>
              <w:tabs>
                <w:tab w:val="left" w:pos="7088"/>
              </w:tabs>
              <w:jc w:val="center"/>
              <w:rPr>
                <w:b/>
                <w:sz w:val="30"/>
                <w:szCs w:val="30"/>
              </w:rPr>
            </w:pPr>
            <w:r>
              <w:rPr>
                <w:rFonts w:hint="eastAsia"/>
                <w:b/>
                <w:sz w:val="30"/>
                <w:szCs w:val="30"/>
              </w:rPr>
              <w:t>信息04</w:t>
            </w:r>
          </w:p>
        </w:tc>
        <w:tc>
          <w:tcPr>
            <w:tcW w:w="6662" w:type="dxa"/>
            <w:gridSpan w:val="4"/>
            <w:tcBorders>
              <w:top w:val="outset" w:color="auto" w:sz="6" w:space="0"/>
              <w:left w:val="outset" w:color="auto" w:sz="6" w:space="0"/>
              <w:bottom w:val="inset" w:color="auto" w:sz="6" w:space="0"/>
              <w:right w:val="inset" w:color="auto" w:sz="6" w:space="0"/>
            </w:tcBorders>
            <w:vAlign w:val="center"/>
          </w:tcPr>
          <w:p>
            <w:pPr>
              <w:rPr>
                <w:rFonts w:cs="Helvetica" w:asciiTheme="minorEastAsia" w:hAnsiTheme="minorEastAsia" w:eastAsiaTheme="minorEastAsia"/>
                <w:b/>
                <w:color w:val="000000"/>
                <w:kern w:val="0"/>
                <w:sz w:val="32"/>
                <w:szCs w:val="32"/>
              </w:rPr>
            </w:pPr>
            <w:r>
              <w:rPr>
                <w:rFonts w:hint="eastAsia" w:cs="Helvetica" w:asciiTheme="minorEastAsia" w:hAnsiTheme="minorEastAsia" w:eastAsiaTheme="minorEastAsia"/>
                <w:b/>
                <w:color w:val="000000"/>
                <w:kern w:val="0"/>
                <w:sz w:val="32"/>
                <w:szCs w:val="32"/>
              </w:rPr>
              <w:t>5月零售药店市场分析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838" w:hRule="atLeast"/>
        </w:trPr>
        <w:tc>
          <w:tcPr>
            <w:tcW w:w="2127" w:type="dxa"/>
            <w:vAlign w:val="center"/>
          </w:tcPr>
          <w:p>
            <w:pPr>
              <w:tabs>
                <w:tab w:val="left" w:pos="7088"/>
              </w:tabs>
              <w:jc w:val="center"/>
            </w:pPr>
            <w:r>
              <w:rPr>
                <w:rFonts w:hint="eastAsia"/>
                <w:b/>
                <w:sz w:val="30"/>
                <w:szCs w:val="30"/>
              </w:rPr>
              <w:t>发布</w:t>
            </w:r>
            <w:r>
              <w:rPr>
                <w:b/>
                <w:sz w:val="30"/>
                <w:szCs w:val="30"/>
              </w:rPr>
              <w:t>时间</w:t>
            </w:r>
          </w:p>
        </w:tc>
        <w:tc>
          <w:tcPr>
            <w:tcW w:w="2268" w:type="dxa"/>
            <w:tcBorders>
              <w:top w:val="inset" w:color="auto" w:sz="6" w:space="0"/>
            </w:tcBorders>
            <w:vAlign w:val="center"/>
          </w:tcPr>
          <w:p>
            <w:pPr>
              <w:tabs>
                <w:tab w:val="left" w:pos="7088"/>
              </w:tabs>
              <w:jc w:val="center"/>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rPr>
              <w:t>202</w:t>
            </w:r>
            <w:r>
              <w:rPr>
                <w:rFonts w:hint="eastAsia" w:asciiTheme="minorEastAsia" w:hAnsiTheme="minorEastAsia" w:eastAsiaTheme="minorEastAsia"/>
                <w:sz w:val="28"/>
                <w:szCs w:val="28"/>
                <w:lang w:val="en-US" w:eastAsia="zh-CN"/>
              </w:rPr>
              <w:t>2</w:t>
            </w: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lang w:val="en-US" w:eastAsia="zh-CN"/>
              </w:rPr>
              <w:t>7</w:t>
            </w: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lang w:val="en-US" w:eastAsia="zh-CN"/>
              </w:rPr>
              <w:t>23</w:t>
            </w:r>
          </w:p>
        </w:tc>
        <w:tc>
          <w:tcPr>
            <w:tcW w:w="1985" w:type="dxa"/>
            <w:gridSpan w:val="2"/>
            <w:tcBorders>
              <w:top w:val="inset" w:color="auto" w:sz="6" w:space="0"/>
            </w:tcBorders>
            <w:vAlign w:val="center"/>
          </w:tcPr>
          <w:p>
            <w:pPr>
              <w:tabs>
                <w:tab w:val="left" w:pos="7088"/>
              </w:tabs>
              <w:jc w:val="center"/>
              <w:rPr>
                <w:b/>
                <w:sz w:val="30"/>
                <w:szCs w:val="30"/>
              </w:rPr>
            </w:pPr>
            <w:r>
              <w:rPr>
                <w:rFonts w:hint="eastAsia"/>
                <w:b/>
                <w:sz w:val="30"/>
                <w:szCs w:val="30"/>
              </w:rPr>
              <w:t>信息来源</w:t>
            </w:r>
          </w:p>
        </w:tc>
        <w:tc>
          <w:tcPr>
            <w:tcW w:w="2409" w:type="dxa"/>
            <w:tcBorders>
              <w:top w:val="inset" w:color="auto" w:sz="6" w:space="0"/>
            </w:tcBorders>
            <w:vAlign w:val="center"/>
          </w:tcPr>
          <w:p>
            <w:pPr>
              <w:tabs>
                <w:tab w:val="left" w:pos="7088"/>
              </w:tabs>
              <w:jc w:val="center"/>
              <w:rPr>
                <w:rFonts w:asciiTheme="minorEastAsia" w:hAnsiTheme="minorEastAsia" w:eastAsiaTheme="minorEastAsia"/>
                <w:sz w:val="28"/>
                <w:szCs w:val="28"/>
              </w:rPr>
            </w:pPr>
            <w:r>
              <w:rPr>
                <w:rFonts w:hint="eastAsia" w:eastAsiaTheme="minorEastAsia"/>
                <w:sz w:val="28"/>
                <w:szCs w:val="28"/>
                <w:lang w:val="en-US" w:eastAsia="zh-CN"/>
              </w:rPr>
              <w:t>第一药店财智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856" w:hRule="atLeast"/>
        </w:trPr>
        <w:tc>
          <w:tcPr>
            <w:tcW w:w="2127" w:type="dxa"/>
            <w:vAlign w:val="center"/>
          </w:tcPr>
          <w:p>
            <w:pPr>
              <w:tabs>
                <w:tab w:val="left" w:pos="7088"/>
              </w:tabs>
              <w:jc w:val="center"/>
              <w:rPr>
                <w:b/>
                <w:sz w:val="30"/>
                <w:szCs w:val="30"/>
              </w:rPr>
            </w:pPr>
            <w:r>
              <w:rPr>
                <w:rFonts w:hint="eastAsia"/>
                <w:b/>
                <w:sz w:val="30"/>
                <w:szCs w:val="30"/>
              </w:rPr>
              <w:t>信息</w:t>
            </w:r>
            <w:r>
              <w:rPr>
                <w:b/>
                <w:sz w:val="30"/>
                <w:szCs w:val="30"/>
              </w:rPr>
              <w:t>提供</w:t>
            </w:r>
          </w:p>
        </w:tc>
        <w:tc>
          <w:tcPr>
            <w:tcW w:w="2268" w:type="dxa"/>
            <w:vAlign w:val="center"/>
          </w:tcPr>
          <w:p>
            <w:pPr>
              <w:tabs>
                <w:tab w:val="left" w:pos="7088"/>
              </w:tabs>
              <w:jc w:val="center"/>
              <w:rPr>
                <w:sz w:val="28"/>
                <w:szCs w:val="28"/>
              </w:rPr>
            </w:pPr>
            <w:r>
              <w:rPr>
                <w:rFonts w:hint="eastAsia"/>
                <w:sz w:val="28"/>
                <w:szCs w:val="28"/>
              </w:rPr>
              <w:t>运营管理部</w:t>
            </w:r>
          </w:p>
        </w:tc>
        <w:tc>
          <w:tcPr>
            <w:tcW w:w="1985" w:type="dxa"/>
            <w:gridSpan w:val="2"/>
            <w:vAlign w:val="center"/>
          </w:tcPr>
          <w:p>
            <w:pPr>
              <w:tabs>
                <w:tab w:val="left" w:pos="7088"/>
              </w:tabs>
              <w:jc w:val="center"/>
              <w:rPr>
                <w:b/>
                <w:sz w:val="30"/>
                <w:szCs w:val="30"/>
              </w:rPr>
            </w:pPr>
            <w:r>
              <w:rPr>
                <w:rFonts w:hint="eastAsia"/>
                <w:b/>
                <w:sz w:val="30"/>
                <w:szCs w:val="30"/>
              </w:rPr>
              <w:t>信息确认</w:t>
            </w:r>
          </w:p>
        </w:tc>
        <w:tc>
          <w:tcPr>
            <w:tcW w:w="2409" w:type="dxa"/>
            <w:vAlign w:val="center"/>
          </w:tcPr>
          <w:p>
            <w:pPr>
              <w:tabs>
                <w:tab w:val="left" w:pos="7088"/>
              </w:tabs>
              <w:jc w:val="center"/>
              <w:rPr>
                <w:sz w:val="28"/>
                <w:szCs w:val="28"/>
              </w:rPr>
            </w:pPr>
            <w:r>
              <w:rPr>
                <w:rFonts w:hint="eastAsia"/>
                <w:sz w:val="28"/>
                <w:szCs w:val="28"/>
              </w:rPr>
              <w:t>车成刚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878" w:hRule="atLeast"/>
        </w:trPr>
        <w:tc>
          <w:tcPr>
            <w:tcW w:w="2127" w:type="dxa"/>
            <w:tcBorders>
              <w:bottom w:val="single" w:color="auto" w:sz="4" w:space="0"/>
            </w:tcBorders>
            <w:vAlign w:val="center"/>
          </w:tcPr>
          <w:p>
            <w:pPr>
              <w:tabs>
                <w:tab w:val="left" w:pos="7088"/>
              </w:tabs>
              <w:jc w:val="center"/>
              <w:rPr>
                <w:b/>
                <w:sz w:val="30"/>
                <w:szCs w:val="30"/>
              </w:rPr>
            </w:pPr>
            <w:r>
              <w:rPr>
                <w:rFonts w:hint="eastAsia"/>
                <w:b/>
                <w:sz w:val="30"/>
                <w:szCs w:val="30"/>
              </w:rPr>
              <w:t>确认</w:t>
            </w:r>
            <w:r>
              <w:rPr>
                <w:b/>
                <w:sz w:val="30"/>
                <w:szCs w:val="30"/>
              </w:rPr>
              <w:t>结果</w:t>
            </w:r>
          </w:p>
        </w:tc>
        <w:tc>
          <w:tcPr>
            <w:tcW w:w="6662" w:type="dxa"/>
            <w:gridSpan w:val="4"/>
            <w:tcBorders>
              <w:bottom w:val="single" w:color="auto" w:sz="4" w:space="0"/>
            </w:tcBorders>
            <w:vAlign w:val="center"/>
          </w:tcPr>
          <w:p>
            <w:pPr>
              <w:tabs>
                <w:tab w:val="left" w:pos="7088"/>
              </w:tabs>
              <w:jc w:val="left"/>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rPr>
              <w:t>来源：</w:t>
            </w:r>
            <w:r>
              <w:rPr>
                <w:rFonts w:hint="eastAsia" w:asciiTheme="minorEastAsia" w:hAnsiTheme="minorEastAsia" w:eastAsiaTheme="minorEastAsia"/>
                <w:sz w:val="28"/>
                <w:szCs w:val="28"/>
                <w:lang w:val="en-US" w:eastAsia="zh-CN"/>
              </w:rPr>
              <w:t>第一药店财智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958" w:hRule="atLeast"/>
        </w:trPr>
        <w:tc>
          <w:tcPr>
            <w:tcW w:w="2127" w:type="dxa"/>
            <w:tcBorders>
              <w:top w:val="single" w:color="auto" w:sz="4" w:space="0"/>
            </w:tcBorders>
            <w:vAlign w:val="center"/>
          </w:tcPr>
          <w:p>
            <w:pPr>
              <w:tabs>
                <w:tab w:val="left" w:pos="7088"/>
              </w:tabs>
              <w:jc w:val="center"/>
              <w:rPr>
                <w:b/>
                <w:sz w:val="30"/>
                <w:szCs w:val="30"/>
              </w:rPr>
            </w:pPr>
            <w:r>
              <w:rPr>
                <w:rFonts w:hint="eastAsia"/>
                <w:b/>
                <w:sz w:val="30"/>
                <w:szCs w:val="30"/>
              </w:rPr>
              <w:t xml:space="preserve">   关键词</w:t>
            </w:r>
            <w:r>
              <w:rPr>
                <w:rFonts w:hint="eastAsia"/>
                <w:b/>
                <w:sz w:val="30"/>
                <w:szCs w:val="30"/>
              </w:rPr>
              <w:tab/>
            </w:r>
            <w:r>
              <w:rPr>
                <w:rFonts w:hint="eastAsia"/>
                <w:b/>
                <w:sz w:val="30"/>
                <w:szCs w:val="30"/>
              </w:rPr>
              <w:t>药政重点 二票制</w:t>
            </w:r>
          </w:p>
        </w:tc>
        <w:tc>
          <w:tcPr>
            <w:tcW w:w="6662" w:type="dxa"/>
            <w:gridSpan w:val="4"/>
            <w:tcBorders>
              <w:top w:val="single" w:color="auto" w:sz="4" w:space="0"/>
            </w:tcBorders>
            <w:vAlign w:val="center"/>
          </w:tcPr>
          <w:p>
            <w:pPr>
              <w:tabs>
                <w:tab w:val="left" w:pos="7088"/>
              </w:tabs>
              <w:jc w:val="left"/>
              <w:rPr>
                <w:rFonts w:asciiTheme="minorEastAsia" w:hAnsiTheme="minorEastAsia" w:eastAsiaTheme="minorEastAsia"/>
                <w:sz w:val="28"/>
                <w:szCs w:val="28"/>
              </w:rPr>
            </w:pPr>
            <w:r>
              <w:rPr>
                <w:rFonts w:hint="eastAsia" w:asciiTheme="minorEastAsia" w:hAnsiTheme="minorEastAsia" w:eastAsiaTheme="minorEastAsia"/>
                <w:sz w:val="28"/>
                <w:szCs w:val="28"/>
                <w:lang w:eastAsia="zh-CN"/>
              </w:rPr>
              <w:t>中国零售药店、销售额、规模</w:t>
            </w:r>
            <w:r>
              <w:rPr>
                <w:rFonts w:hint="eastAsia" w:asciiTheme="minorEastAsia" w:hAnsiTheme="minorEastAsia" w:eastAsiaTheme="minorEastAsia"/>
                <w:sz w:val="28"/>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879" w:hRule="atLeast"/>
        </w:trPr>
        <w:tc>
          <w:tcPr>
            <w:tcW w:w="2127" w:type="dxa"/>
            <w:vAlign w:val="center"/>
          </w:tcPr>
          <w:p>
            <w:pPr>
              <w:tabs>
                <w:tab w:val="left" w:pos="7088"/>
              </w:tabs>
              <w:jc w:val="center"/>
              <w:rPr>
                <w:b/>
                <w:color w:val="000000" w:themeColor="text1"/>
                <w:sz w:val="30"/>
                <w:szCs w:val="30"/>
              </w:rPr>
            </w:pPr>
            <w:r>
              <w:rPr>
                <w:b/>
                <w:color w:val="000000" w:themeColor="text1"/>
                <w:sz w:val="30"/>
                <w:szCs w:val="30"/>
              </w:rPr>
              <w:t>内容概要</w:t>
            </w:r>
          </w:p>
        </w:tc>
        <w:tc>
          <w:tcPr>
            <w:tcW w:w="6662" w:type="dxa"/>
            <w:gridSpan w:val="4"/>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0"/>
              <w:jc w:val="both"/>
              <w:rPr>
                <w:rFonts w:hint="eastAsia"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 xml:space="preserve"> </w:t>
            </w:r>
            <w:r>
              <w:rPr>
                <w:rFonts w:hint="eastAsia" w:cs="宋体" w:asciiTheme="minorEastAsia" w:hAnsiTheme="minorEastAsia" w:eastAsiaTheme="minorEastAsia"/>
                <w:kern w:val="0"/>
                <w:sz w:val="28"/>
                <w:szCs w:val="28"/>
                <w:lang w:val="en-US" w:eastAsia="zh-CN"/>
              </w:rPr>
              <w:t xml:space="preserve">   </w:t>
            </w:r>
            <w:r>
              <w:rPr>
                <w:rFonts w:hint="eastAsia" w:eastAsia="宋体" w:cs="Times New Roman" w:asciiTheme="minorEastAsia" w:hAnsiTheme="minorEastAsia"/>
                <w:color w:val="auto"/>
                <w:kern w:val="2"/>
                <w:sz w:val="28"/>
                <w:szCs w:val="28"/>
                <w:lang w:val="en-US" w:eastAsia="zh-CN" w:bidi="ar-SA"/>
              </w:rPr>
              <w:t>YTD2205中国零售药店销售额为2,062亿元，同比增长2.8%；聚焦到今年5月份，全国零售药店规模同比增长3.2%，以化学药为主要增长贡献。</w:t>
            </w:r>
          </w:p>
          <w:p>
            <w:pPr>
              <w:numPr>
                <w:ilvl w:val="0"/>
                <w:numId w:val="0"/>
              </w:numPr>
              <w:ind w:firstLine="560" w:firstLineChars="200"/>
              <w:rPr>
                <w:rFonts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1、中国零售药店市场发展概况；</w:t>
            </w:r>
          </w:p>
          <w:p>
            <w:pPr>
              <w:ind w:firstLine="560" w:firstLineChars="200"/>
              <w:rPr>
                <w:rFonts w:hint="eastAsia" w:cs="宋体" w:asciiTheme="minorEastAsia" w:hAnsiTheme="minorEastAsia" w:eastAsiaTheme="minorEastAsia"/>
                <w:kern w:val="0"/>
                <w:sz w:val="28"/>
                <w:szCs w:val="28"/>
                <w:lang w:val="en-US" w:eastAsia="zh-CN"/>
              </w:rPr>
            </w:pPr>
            <w:r>
              <w:rPr>
                <w:rFonts w:hint="eastAsia" w:cs="宋体" w:asciiTheme="minorEastAsia" w:hAnsiTheme="minorEastAsia" w:eastAsiaTheme="minorEastAsia"/>
                <w:kern w:val="0"/>
                <w:sz w:val="28"/>
                <w:szCs w:val="28"/>
              </w:rPr>
              <w:t>2、集团及产品表现</w:t>
            </w:r>
            <w:r>
              <w:rPr>
                <w:rFonts w:hint="eastAsia" w:cs="宋体" w:asciiTheme="minorEastAsia" w:hAnsiTheme="minorEastAsia" w:eastAsiaTheme="minorEastAsia"/>
                <w:kern w:val="0"/>
                <w:sz w:val="28"/>
                <w:szCs w:val="28"/>
                <w:lang w:eastAsia="zh-CN"/>
              </w:rPr>
              <w:t>。</w:t>
            </w:r>
          </w:p>
          <w:p>
            <w:pPr>
              <w:ind w:firstLine="560" w:firstLineChars="200"/>
              <w:rPr>
                <w:rFonts w:hint="default" w:cs="宋体" w:asciiTheme="minorEastAsia" w:hAnsiTheme="minorEastAsia" w:eastAsiaTheme="minorEastAsia"/>
                <w:kern w:val="0"/>
                <w:sz w:val="28"/>
                <w:szCs w:val="28"/>
                <w:lang w:val="en-US" w:eastAsia="zh-CN"/>
              </w:rPr>
            </w:pPr>
          </w:p>
          <w:p>
            <w:pPr>
              <w:rPr>
                <w:rFonts w:ascii="宋体" w:hAnsi="宋体" w:cs="宋体"/>
                <w:kern w:val="0"/>
                <w:szCs w:val="21"/>
              </w:rPr>
            </w:pPr>
          </w:p>
          <w:p>
            <w:pPr>
              <w:ind w:firstLine="420" w:firstLineChars="200"/>
              <w:rPr>
                <w:rFonts w:ascii="宋体" w:hAnsi="宋体" w:cs="宋体"/>
                <w:kern w:val="0"/>
                <w:szCs w:val="21"/>
              </w:rPr>
            </w:pPr>
          </w:p>
          <w:p>
            <w:pPr>
              <w:ind w:firstLine="420" w:firstLineChars="200"/>
              <w:rPr>
                <w:rFonts w:ascii="宋体" w:hAnsi="宋体" w:cs="宋体"/>
                <w:kern w:val="0"/>
                <w:szCs w:val="21"/>
              </w:rPr>
            </w:pPr>
          </w:p>
          <w:p>
            <w:pPr>
              <w:ind w:firstLine="420" w:firstLineChars="200"/>
              <w:rPr>
                <w:rFonts w:ascii="宋体" w:hAnsi="宋体" w:cs="宋体"/>
                <w:kern w:val="0"/>
                <w:szCs w:val="21"/>
              </w:rPr>
            </w:pPr>
          </w:p>
          <w:p>
            <w:pPr>
              <w:ind w:firstLine="420" w:firstLineChars="200"/>
              <w:rPr>
                <w:rFonts w:ascii="宋体" w:hAnsi="宋体" w:cs="宋体"/>
                <w:kern w:val="0"/>
                <w:szCs w:val="21"/>
              </w:rPr>
            </w:pPr>
          </w:p>
          <w:p>
            <w:pPr>
              <w:ind w:firstLine="420" w:firstLineChars="200"/>
              <w:rPr>
                <w:rFonts w:ascii="宋体" w:hAnsi="宋体" w:cs="宋体"/>
                <w:kern w:val="0"/>
                <w:szCs w:val="21"/>
              </w:rPr>
            </w:pPr>
          </w:p>
          <w:p>
            <w:pPr>
              <w:ind w:firstLine="420" w:firstLineChars="200"/>
              <w:rPr>
                <w:rFonts w:ascii="宋体" w:hAnsi="宋体" w:cs="宋体"/>
                <w:kern w:val="0"/>
                <w:szCs w:val="21"/>
              </w:rPr>
            </w:pPr>
          </w:p>
          <w:p>
            <w:pPr>
              <w:ind w:firstLine="420" w:firstLineChars="200"/>
              <w:rPr>
                <w:rFonts w:ascii="宋体" w:hAnsi="宋体" w:cs="宋体"/>
                <w:kern w:val="0"/>
                <w:szCs w:val="21"/>
              </w:rPr>
            </w:pPr>
          </w:p>
          <w:p>
            <w:pPr>
              <w:ind w:firstLine="420" w:firstLineChars="200"/>
              <w:rPr>
                <w:rFonts w:ascii="宋体" w:hAnsi="宋体" w:cs="宋体"/>
                <w:kern w:val="0"/>
                <w:szCs w:val="21"/>
              </w:rPr>
            </w:pPr>
          </w:p>
          <w:p>
            <w:pPr>
              <w:ind w:firstLine="420" w:firstLineChars="200"/>
              <w:rPr>
                <w:rFonts w:ascii="宋体" w:hAnsi="宋体" w:cs="宋体"/>
                <w:kern w:val="0"/>
                <w:szCs w:val="21"/>
              </w:rPr>
            </w:pPr>
          </w:p>
          <w:p>
            <w:pPr>
              <w:ind w:firstLine="420" w:firstLineChars="200"/>
              <w:rPr>
                <w:rFonts w:ascii="宋体" w:hAnsi="宋体" w:cs="宋体"/>
                <w:kern w:val="0"/>
                <w:szCs w:val="21"/>
              </w:rPr>
            </w:pPr>
          </w:p>
          <w:p>
            <w:pPr>
              <w:ind w:firstLine="420" w:firstLineChars="200"/>
              <w:rPr>
                <w:rFonts w:ascii="宋体" w:hAnsi="宋体" w:cs="宋体"/>
                <w:kern w:val="0"/>
                <w:szCs w:val="21"/>
              </w:rPr>
            </w:pPr>
          </w:p>
          <w:p>
            <w:pPr>
              <w:ind w:firstLine="420" w:firstLineChars="200"/>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hint="eastAsia" w:ascii="宋体" w:hAnsi="宋体" w:cs="宋体"/>
                <w:kern w:val="0"/>
                <w:szCs w:val="21"/>
              </w:rPr>
            </w:pPr>
            <w:r>
              <w:rPr>
                <w:rFonts w:hint="eastAsia" w:ascii="宋体" w:hAnsi="宋体" w:cs="宋体"/>
                <w:kern w:val="0"/>
                <w:szCs w:val="21"/>
              </w:rPr>
              <w:t>附件4：5月零售药店市场分析</w:t>
            </w:r>
          </w:p>
          <w:p>
            <w:pPr>
              <w:rPr>
                <w:szCs w:val="21"/>
              </w:rPr>
            </w:pPr>
          </w:p>
        </w:tc>
      </w:tr>
    </w:tbl>
    <w:tbl>
      <w:tblPr>
        <w:tblStyle w:val="12"/>
        <w:tblpPr w:leftFromText="180" w:rightFromText="180" w:vertAnchor="text" w:horzAnchor="margin" w:tblpXSpec="center" w:tblpY="347"/>
        <w:tblW w:w="907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96"/>
        <w:gridCol w:w="2341"/>
        <w:gridCol w:w="2341"/>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2" w:hRule="atLeast"/>
        </w:trPr>
        <w:tc>
          <w:tcPr>
            <w:tcW w:w="2196" w:type="dxa"/>
            <w:vAlign w:val="center"/>
          </w:tcPr>
          <w:p>
            <w:pPr>
              <w:tabs>
                <w:tab w:val="left" w:pos="7088"/>
              </w:tabs>
              <w:jc w:val="center"/>
              <w:rPr>
                <w:b/>
                <w:sz w:val="30"/>
                <w:szCs w:val="30"/>
              </w:rPr>
            </w:pPr>
            <w:r>
              <w:rPr>
                <w:rFonts w:hint="eastAsia"/>
                <w:b/>
                <w:sz w:val="30"/>
                <w:szCs w:val="30"/>
              </w:rPr>
              <w:t>信息05</w:t>
            </w:r>
          </w:p>
        </w:tc>
        <w:tc>
          <w:tcPr>
            <w:tcW w:w="6877" w:type="dxa"/>
            <w:gridSpan w:val="3"/>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asciiTheme="minorEastAsia" w:hAnsiTheme="minorEastAsia" w:eastAsiaTheme="minorEastAsia"/>
                <w:b/>
                <w:sz w:val="32"/>
                <w:szCs w:val="32"/>
              </w:rPr>
            </w:pPr>
            <w:r>
              <w:rPr>
                <w:rFonts w:hint="eastAsia"/>
                <w:b/>
                <w:bCs/>
                <w:sz w:val="33"/>
                <w:szCs w:val="33"/>
              </w:rPr>
              <w:t>连锁O2O“腰部崛起”，处方药同比增长131%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trPr>
        <w:tc>
          <w:tcPr>
            <w:tcW w:w="2196" w:type="dxa"/>
            <w:vAlign w:val="center"/>
          </w:tcPr>
          <w:p>
            <w:pPr>
              <w:tabs>
                <w:tab w:val="left" w:pos="7088"/>
              </w:tabs>
              <w:jc w:val="center"/>
            </w:pPr>
            <w:r>
              <w:rPr>
                <w:rFonts w:hint="eastAsia"/>
                <w:b/>
                <w:sz w:val="30"/>
                <w:szCs w:val="30"/>
              </w:rPr>
              <w:t>发布</w:t>
            </w:r>
            <w:r>
              <w:rPr>
                <w:b/>
                <w:sz w:val="30"/>
                <w:szCs w:val="30"/>
              </w:rPr>
              <w:t>时间</w:t>
            </w:r>
          </w:p>
        </w:tc>
        <w:tc>
          <w:tcPr>
            <w:tcW w:w="2341" w:type="dxa"/>
            <w:vAlign w:val="center"/>
          </w:tcPr>
          <w:p>
            <w:pPr>
              <w:tabs>
                <w:tab w:val="left" w:pos="7088"/>
              </w:tabs>
              <w:jc w:val="center"/>
              <w:rPr>
                <w:rFonts w:hint="default" w:asciiTheme="minorEastAsia" w:hAnsiTheme="minorEastAsia" w:eastAsiaTheme="minorEastAsia"/>
                <w:sz w:val="30"/>
                <w:szCs w:val="30"/>
                <w:lang w:val="en-US" w:eastAsia="zh-CN"/>
              </w:rPr>
            </w:pPr>
            <w:r>
              <w:rPr>
                <w:rFonts w:hint="eastAsia" w:asciiTheme="minorEastAsia" w:hAnsiTheme="minorEastAsia" w:eastAsiaTheme="minorEastAsia"/>
                <w:sz w:val="30"/>
                <w:szCs w:val="30"/>
              </w:rPr>
              <w:t>202</w:t>
            </w:r>
            <w:r>
              <w:rPr>
                <w:rFonts w:hint="eastAsia" w:asciiTheme="minorEastAsia" w:hAnsiTheme="minorEastAsia" w:eastAsiaTheme="minorEastAsia"/>
                <w:sz w:val="30"/>
                <w:szCs w:val="30"/>
                <w:lang w:val="en-US" w:eastAsia="zh-CN"/>
              </w:rPr>
              <w:t>2</w:t>
            </w:r>
            <w:r>
              <w:rPr>
                <w:rFonts w:hint="eastAsia" w:asciiTheme="minorEastAsia" w:hAnsiTheme="minorEastAsia" w:eastAsiaTheme="minorEastAsia"/>
                <w:sz w:val="30"/>
                <w:szCs w:val="30"/>
              </w:rPr>
              <w:t>-</w:t>
            </w:r>
            <w:r>
              <w:rPr>
                <w:rFonts w:hint="eastAsia" w:asciiTheme="minorEastAsia" w:hAnsiTheme="minorEastAsia" w:eastAsiaTheme="minorEastAsia"/>
                <w:sz w:val="30"/>
                <w:szCs w:val="30"/>
                <w:lang w:val="en-US" w:eastAsia="zh-CN"/>
              </w:rPr>
              <w:t>7</w:t>
            </w:r>
            <w:r>
              <w:rPr>
                <w:rFonts w:hint="eastAsia" w:asciiTheme="minorEastAsia" w:hAnsiTheme="minorEastAsia" w:eastAsiaTheme="minorEastAsia"/>
                <w:sz w:val="30"/>
                <w:szCs w:val="30"/>
              </w:rPr>
              <w:t>-</w:t>
            </w:r>
            <w:r>
              <w:rPr>
                <w:rFonts w:hint="eastAsia" w:asciiTheme="minorEastAsia" w:hAnsiTheme="minorEastAsia" w:eastAsiaTheme="minorEastAsia"/>
                <w:sz w:val="30"/>
                <w:szCs w:val="30"/>
                <w:lang w:val="en-US" w:eastAsia="zh-CN"/>
              </w:rPr>
              <w:t>19</w:t>
            </w:r>
          </w:p>
        </w:tc>
        <w:tc>
          <w:tcPr>
            <w:tcW w:w="2341" w:type="dxa"/>
            <w:vAlign w:val="center"/>
          </w:tcPr>
          <w:p>
            <w:pPr>
              <w:tabs>
                <w:tab w:val="left" w:pos="7088"/>
              </w:tabs>
              <w:jc w:val="center"/>
              <w:rPr>
                <w:b/>
                <w:sz w:val="28"/>
                <w:szCs w:val="28"/>
              </w:rPr>
            </w:pPr>
            <w:r>
              <w:rPr>
                <w:rFonts w:hint="eastAsia"/>
                <w:b/>
                <w:sz w:val="30"/>
                <w:szCs w:val="30"/>
              </w:rPr>
              <w:t>信息来源</w:t>
            </w:r>
          </w:p>
        </w:tc>
        <w:tc>
          <w:tcPr>
            <w:tcW w:w="2195" w:type="dxa"/>
            <w:vAlign w:val="center"/>
          </w:tcPr>
          <w:p>
            <w:pPr>
              <w:tabs>
                <w:tab w:val="left" w:pos="7088"/>
              </w:tabs>
              <w:jc w:val="center"/>
              <w:rPr>
                <w:rFonts w:hint="eastAsia" w:eastAsia="宋体"/>
                <w:sz w:val="28"/>
                <w:szCs w:val="28"/>
                <w:lang w:eastAsia="zh-CN"/>
              </w:rPr>
            </w:pPr>
            <w:r>
              <w:rPr>
                <w:rFonts w:hint="eastAsia"/>
                <w:sz w:val="30"/>
                <w:szCs w:val="30"/>
                <w:lang w:eastAsia="zh-CN"/>
              </w:rPr>
              <w:t>第一药店财智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2196" w:type="dxa"/>
            <w:vAlign w:val="center"/>
          </w:tcPr>
          <w:p>
            <w:pPr>
              <w:tabs>
                <w:tab w:val="left" w:pos="7088"/>
              </w:tabs>
              <w:jc w:val="center"/>
              <w:rPr>
                <w:b/>
                <w:sz w:val="30"/>
                <w:szCs w:val="30"/>
              </w:rPr>
            </w:pPr>
            <w:r>
              <w:rPr>
                <w:rFonts w:hint="eastAsia"/>
                <w:b/>
                <w:sz w:val="30"/>
                <w:szCs w:val="30"/>
              </w:rPr>
              <w:t>信息</w:t>
            </w:r>
            <w:r>
              <w:rPr>
                <w:b/>
                <w:sz w:val="30"/>
                <w:szCs w:val="30"/>
              </w:rPr>
              <w:t>提供</w:t>
            </w:r>
          </w:p>
        </w:tc>
        <w:tc>
          <w:tcPr>
            <w:tcW w:w="2341" w:type="dxa"/>
            <w:vAlign w:val="center"/>
          </w:tcPr>
          <w:p>
            <w:pPr>
              <w:tabs>
                <w:tab w:val="left" w:pos="7088"/>
              </w:tabs>
              <w:jc w:val="center"/>
              <w:rPr>
                <w:sz w:val="30"/>
                <w:szCs w:val="30"/>
              </w:rPr>
            </w:pPr>
            <w:r>
              <w:rPr>
                <w:rFonts w:hint="eastAsia"/>
                <w:sz w:val="28"/>
                <w:szCs w:val="28"/>
              </w:rPr>
              <w:t>运营管理部</w:t>
            </w:r>
          </w:p>
        </w:tc>
        <w:tc>
          <w:tcPr>
            <w:tcW w:w="2341" w:type="dxa"/>
            <w:vAlign w:val="center"/>
          </w:tcPr>
          <w:p>
            <w:pPr>
              <w:tabs>
                <w:tab w:val="left" w:pos="7088"/>
              </w:tabs>
              <w:jc w:val="center"/>
              <w:rPr>
                <w:b/>
                <w:sz w:val="28"/>
                <w:szCs w:val="28"/>
              </w:rPr>
            </w:pPr>
            <w:r>
              <w:rPr>
                <w:rFonts w:hint="eastAsia"/>
                <w:b/>
                <w:sz w:val="30"/>
                <w:szCs w:val="30"/>
              </w:rPr>
              <w:t>信息确认</w:t>
            </w:r>
          </w:p>
        </w:tc>
        <w:tc>
          <w:tcPr>
            <w:tcW w:w="2195" w:type="dxa"/>
            <w:vAlign w:val="center"/>
          </w:tcPr>
          <w:p>
            <w:pPr>
              <w:tabs>
                <w:tab w:val="left" w:pos="7088"/>
              </w:tabs>
              <w:jc w:val="center"/>
              <w:rPr>
                <w:sz w:val="30"/>
                <w:szCs w:val="30"/>
              </w:rPr>
            </w:pPr>
            <w:r>
              <w:rPr>
                <w:rFonts w:hint="eastAsia"/>
                <w:sz w:val="30"/>
                <w:szCs w:val="30"/>
              </w:rPr>
              <w:t>车成刚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2" w:hRule="atLeast"/>
        </w:trPr>
        <w:tc>
          <w:tcPr>
            <w:tcW w:w="2196" w:type="dxa"/>
            <w:tcBorders>
              <w:bottom w:val="single" w:color="auto" w:sz="4" w:space="0"/>
            </w:tcBorders>
            <w:vAlign w:val="center"/>
          </w:tcPr>
          <w:p>
            <w:pPr>
              <w:tabs>
                <w:tab w:val="left" w:pos="7088"/>
              </w:tabs>
              <w:ind w:firstLine="452" w:firstLineChars="150"/>
              <w:rPr>
                <w:b/>
                <w:sz w:val="30"/>
                <w:szCs w:val="30"/>
              </w:rPr>
            </w:pPr>
            <w:r>
              <w:rPr>
                <w:rFonts w:hint="eastAsia"/>
                <w:b/>
                <w:sz w:val="30"/>
                <w:szCs w:val="30"/>
              </w:rPr>
              <w:t>确认</w:t>
            </w:r>
            <w:r>
              <w:rPr>
                <w:b/>
                <w:sz w:val="30"/>
                <w:szCs w:val="30"/>
              </w:rPr>
              <w:t>结果</w:t>
            </w:r>
          </w:p>
        </w:tc>
        <w:tc>
          <w:tcPr>
            <w:tcW w:w="6877" w:type="dxa"/>
            <w:gridSpan w:val="3"/>
            <w:tcBorders>
              <w:bottom w:val="single" w:color="auto" w:sz="4" w:space="0"/>
            </w:tcBorders>
            <w:vAlign w:val="center"/>
          </w:tcPr>
          <w:p>
            <w:pPr>
              <w:tabs>
                <w:tab w:val="left" w:pos="7088"/>
              </w:tabs>
              <w:jc w:val="left"/>
              <w:rPr>
                <w:sz w:val="30"/>
                <w:szCs w:val="30"/>
              </w:rPr>
            </w:pPr>
            <w:r>
              <w:rPr>
                <w:rFonts w:hint="eastAsia"/>
                <w:sz w:val="30"/>
                <w:szCs w:val="30"/>
              </w:rPr>
              <w:t>来源：</w:t>
            </w:r>
            <w:r>
              <w:rPr>
                <w:rFonts w:hint="eastAsia"/>
                <w:sz w:val="30"/>
                <w:szCs w:val="30"/>
                <w:lang w:eastAsia="zh-CN"/>
              </w:rPr>
              <w:t>第一药店财智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5" w:hRule="atLeast"/>
        </w:trPr>
        <w:tc>
          <w:tcPr>
            <w:tcW w:w="2196" w:type="dxa"/>
            <w:tcBorders>
              <w:top w:val="single" w:color="auto" w:sz="4" w:space="0"/>
            </w:tcBorders>
            <w:vAlign w:val="center"/>
          </w:tcPr>
          <w:p>
            <w:pPr>
              <w:tabs>
                <w:tab w:val="left" w:pos="7088"/>
              </w:tabs>
              <w:jc w:val="center"/>
              <w:rPr>
                <w:b/>
                <w:sz w:val="30"/>
                <w:szCs w:val="30"/>
              </w:rPr>
            </w:pPr>
            <w:r>
              <w:rPr>
                <w:rFonts w:hint="eastAsia"/>
                <w:b/>
                <w:sz w:val="30"/>
                <w:szCs w:val="30"/>
              </w:rPr>
              <w:t>关键词</w:t>
            </w:r>
          </w:p>
        </w:tc>
        <w:tc>
          <w:tcPr>
            <w:tcW w:w="6877" w:type="dxa"/>
            <w:gridSpan w:val="3"/>
            <w:tcBorders>
              <w:top w:val="single" w:color="auto" w:sz="4" w:space="0"/>
            </w:tcBorders>
            <w:vAlign w:val="center"/>
          </w:tcPr>
          <w:p>
            <w:pPr>
              <w:tabs>
                <w:tab w:val="left" w:pos="7088"/>
              </w:tabs>
              <w:jc w:val="left"/>
              <w:rPr>
                <w:rFonts w:cs="宋体" w:asciiTheme="majorEastAsia" w:hAnsiTheme="majorEastAsia" w:eastAsiaTheme="majorEastAsia"/>
                <w:kern w:val="0"/>
                <w:sz w:val="30"/>
                <w:szCs w:val="30"/>
              </w:rPr>
            </w:pPr>
            <w:r>
              <w:rPr>
                <w:rFonts w:hint="eastAsia" w:cs="宋体" w:asciiTheme="minorEastAsia" w:hAnsiTheme="minorEastAsia" w:eastAsiaTheme="minorEastAsia"/>
                <w:kern w:val="0"/>
                <w:sz w:val="28"/>
                <w:szCs w:val="28"/>
                <w:lang w:eastAsia="zh-CN"/>
              </w:rPr>
              <w:t>医药电商、</w:t>
            </w:r>
            <w:r>
              <w:rPr>
                <w:rFonts w:hint="eastAsia" w:cs="宋体" w:asciiTheme="minorEastAsia" w:hAnsiTheme="minorEastAsia" w:eastAsiaTheme="minorEastAsia"/>
                <w:kern w:val="0"/>
                <w:sz w:val="28"/>
                <w:szCs w:val="28"/>
                <w:lang w:val="en-US" w:eastAsia="zh-CN"/>
              </w:rPr>
              <w:t>O2O</w:t>
            </w:r>
            <w:r>
              <w:rPr>
                <w:rFonts w:hint="eastAsia" w:cs="宋体" w:asciiTheme="minorEastAsia" w:hAnsiTheme="minorEastAsia" w:eastAsiaTheme="minorEastAsia"/>
                <w:kern w:val="0"/>
                <w:sz w:val="28"/>
                <w:szCs w:val="28"/>
                <w:lang w:eastAsia="zh-CN"/>
              </w:rPr>
              <w:t>、市场分布、产品表现</w:t>
            </w:r>
            <w:r>
              <w:rPr>
                <w:rFonts w:hint="eastAsia" w:asciiTheme="minorEastAsia" w:hAnsiTheme="minorEastAsia" w:eastAsiaTheme="minorEastAsia"/>
                <w:sz w:val="28"/>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6" w:hRule="atLeast"/>
        </w:trPr>
        <w:tc>
          <w:tcPr>
            <w:tcW w:w="2196" w:type="dxa"/>
            <w:vAlign w:val="center"/>
          </w:tcPr>
          <w:p>
            <w:pPr>
              <w:tabs>
                <w:tab w:val="left" w:pos="7088"/>
              </w:tabs>
              <w:jc w:val="center"/>
              <w:rPr>
                <w:b/>
                <w:sz w:val="30"/>
                <w:szCs w:val="30"/>
              </w:rPr>
            </w:pPr>
            <w:r>
              <w:rPr>
                <w:b/>
                <w:sz w:val="30"/>
                <w:szCs w:val="30"/>
              </w:rPr>
              <w:t>内容概要</w:t>
            </w:r>
          </w:p>
        </w:tc>
        <w:tc>
          <w:tcPr>
            <w:tcW w:w="6877" w:type="dxa"/>
            <w:gridSpan w:val="3"/>
            <w:vAlign w:val="center"/>
          </w:tcPr>
          <w:p>
            <w:pPr>
              <w:numPr>
                <w:ilvl w:val="0"/>
                <w:numId w:val="0"/>
              </w:numPr>
              <w:ind w:leftChars="0" w:firstLine="560" w:firstLineChars="200"/>
              <w:rPr>
                <w:rFonts w:hint="eastAsia" w:cs="宋体" w:asciiTheme="minorEastAsia" w:hAnsiTheme="minorEastAsia" w:eastAsiaTheme="minorEastAsia"/>
                <w:kern w:val="0"/>
                <w:sz w:val="28"/>
                <w:szCs w:val="28"/>
                <w:lang w:val="en-US" w:eastAsia="zh-CN"/>
              </w:rPr>
            </w:pPr>
            <w:r>
              <w:rPr>
                <w:rFonts w:hint="eastAsia" w:cs="宋体" w:asciiTheme="minorEastAsia" w:hAnsiTheme="minorEastAsia" w:eastAsiaTheme="minorEastAsia"/>
                <w:kern w:val="0"/>
                <w:sz w:val="28"/>
                <w:szCs w:val="28"/>
                <w:lang w:val="en-US" w:eastAsia="zh-CN"/>
              </w:rPr>
              <w:t xml:space="preserve">医药电商-O2O市场发展迅猛，为线下药店增长注入新的市场活力 。     </w:t>
            </w:r>
          </w:p>
          <w:p>
            <w:pPr>
              <w:numPr>
                <w:ilvl w:val="0"/>
                <w:numId w:val="0"/>
              </w:numPr>
              <w:ind w:leftChars="0" w:firstLine="560" w:firstLineChars="200"/>
              <w:rPr>
                <w:rFonts w:hint="eastAsia"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lang w:val="en-US" w:eastAsia="zh-CN"/>
              </w:rPr>
              <w:t>1、市场分布表现；</w:t>
            </w:r>
          </w:p>
          <w:p>
            <w:pPr>
              <w:numPr>
                <w:ilvl w:val="0"/>
                <w:numId w:val="3"/>
              </w:numPr>
              <w:ind w:firstLine="560" w:firstLineChars="200"/>
              <w:rPr>
                <w:rFonts w:hint="eastAsia" w:cs="宋体" w:asciiTheme="minorEastAsia" w:hAnsiTheme="minorEastAsia" w:eastAsiaTheme="minorEastAsia"/>
                <w:kern w:val="0"/>
                <w:sz w:val="28"/>
                <w:szCs w:val="28"/>
                <w:lang w:val="en-US" w:eastAsia="zh-CN"/>
              </w:rPr>
            </w:pPr>
            <w:r>
              <w:rPr>
                <w:rFonts w:hint="eastAsia" w:cs="宋体" w:asciiTheme="minorEastAsia" w:hAnsiTheme="minorEastAsia" w:eastAsiaTheme="minorEastAsia"/>
                <w:kern w:val="0"/>
                <w:sz w:val="28"/>
                <w:szCs w:val="28"/>
                <w:lang w:val="en-US" w:eastAsia="zh-CN"/>
              </w:rPr>
              <w:t>产品表现。</w:t>
            </w:r>
          </w:p>
          <w:p>
            <w:pPr>
              <w:numPr>
                <w:ilvl w:val="0"/>
                <w:numId w:val="0"/>
              </w:numPr>
              <w:rPr>
                <w:rFonts w:hint="eastAsia" w:cs="宋体" w:asciiTheme="minorEastAsia" w:hAnsiTheme="minorEastAsia" w:eastAsiaTheme="minorEastAsia"/>
                <w:kern w:val="0"/>
                <w:sz w:val="28"/>
                <w:szCs w:val="28"/>
                <w:lang w:val="en-US" w:eastAsia="zh-CN"/>
              </w:rPr>
            </w:pPr>
          </w:p>
          <w:p>
            <w:pPr>
              <w:numPr>
                <w:ilvl w:val="0"/>
                <w:numId w:val="0"/>
              </w:numPr>
              <w:rPr>
                <w:rFonts w:hint="eastAsia" w:cs="宋体" w:asciiTheme="minorEastAsia" w:hAnsiTheme="minorEastAsia" w:eastAsiaTheme="minorEastAsia"/>
                <w:kern w:val="0"/>
                <w:sz w:val="28"/>
                <w:szCs w:val="28"/>
                <w:lang w:val="en-US" w:eastAsia="zh-CN"/>
              </w:rPr>
            </w:pPr>
          </w:p>
          <w:p>
            <w:pPr>
              <w:numPr>
                <w:ilvl w:val="0"/>
                <w:numId w:val="0"/>
              </w:numPr>
              <w:ind w:leftChars="0"/>
              <w:rPr>
                <w:rFonts w:hint="eastAsia" w:cs="宋体" w:asciiTheme="minorEastAsia" w:hAnsiTheme="minorEastAsia" w:eastAsiaTheme="minorEastAsia"/>
                <w:kern w:val="0"/>
                <w:sz w:val="28"/>
                <w:szCs w:val="28"/>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b/>
                <w:sz w:val="32"/>
                <w:szCs w:val="32"/>
              </w:rPr>
            </w:pPr>
            <w:r>
              <w:rPr>
                <w:rFonts w:hint="eastAsia" w:ascii="宋体" w:hAnsi="宋体" w:cs="宋体"/>
                <w:kern w:val="0"/>
                <w:szCs w:val="21"/>
              </w:rPr>
              <w:t>附件5:</w:t>
            </w:r>
            <w:r>
              <w:rPr>
                <w:b/>
                <w:sz w:val="32"/>
                <w:szCs w:val="32"/>
              </w:rPr>
              <w:t xml:space="preserve"> </w:t>
            </w:r>
            <w:r>
              <w:rPr>
                <w:rFonts w:hint="eastAsia" w:ascii="宋体" w:hAnsi="宋体" w:cs="宋体"/>
                <w:kern w:val="0"/>
                <w:szCs w:val="21"/>
              </w:rPr>
              <w:t>连锁O2O“腰部崛起”，处方药同比增长131%</w:t>
            </w:r>
          </w:p>
        </w:tc>
      </w:tr>
    </w:tbl>
    <w:p>
      <w:pPr>
        <w:widowControl/>
        <w:shd w:val="clear" w:color="auto" w:fill="FFFFFF"/>
        <w:spacing w:after="210"/>
        <w:jc w:val="left"/>
        <w:outlineLvl w:val="1"/>
        <w:rPr>
          <w:rFonts w:hint="eastAsia" w:ascii="微软雅黑" w:hAnsi="微软雅黑" w:eastAsia="微软雅黑" w:cs="宋体"/>
          <w:b/>
          <w:color w:val="333333"/>
          <w:kern w:val="36"/>
          <w:sz w:val="24"/>
          <w:szCs w:val="24"/>
        </w:rPr>
      </w:pPr>
      <w:r>
        <w:rPr>
          <w:rFonts w:hint="eastAsia" w:ascii="微软雅黑" w:hAnsi="微软雅黑" w:eastAsia="微软雅黑" w:cs="宋体"/>
          <w:b/>
          <w:color w:val="333333"/>
          <w:kern w:val="36"/>
          <w:sz w:val="24"/>
          <w:szCs w:val="24"/>
        </w:rPr>
        <w:t xml:space="preserve">附件1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b/>
          <w:bCs/>
          <w:sz w:val="33"/>
          <w:szCs w:val="33"/>
        </w:rPr>
      </w:pPr>
      <w:r>
        <w:rPr>
          <w:rFonts w:hint="eastAsia"/>
          <w:b/>
          <w:bCs/>
          <w:sz w:val="33"/>
          <w:szCs w:val="33"/>
        </w:rPr>
        <w:t>重磅！国家医保局公布，2022医保重点工作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rPr>
          <w:rFonts w:hint="eastAsia" w:ascii="Microsoft YaHei UI" w:hAnsi="Microsoft YaHei UI" w:eastAsia="Microsoft YaHei UI" w:cs="Microsoft YaHei UI"/>
          <w:i w:val="0"/>
          <w:iCs w:val="0"/>
          <w:caps w:val="0"/>
          <w:color w:val="222222"/>
          <w:spacing w:val="8"/>
          <w:sz w:val="0"/>
          <w:szCs w:val="0"/>
        </w:rPr>
      </w:pP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begin"/>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instrText xml:space="preserve"> HYPERLINK "javascript:void(0);" </w:instrText>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separate"/>
      </w:r>
      <w:r>
        <w:rPr>
          <w:rStyle w:val="16"/>
          <w:rFonts w:hint="eastAsia" w:ascii="Microsoft YaHei UI" w:hAnsi="Microsoft YaHei UI" w:eastAsia="Microsoft YaHei UI" w:cs="Microsoft YaHei UI"/>
          <w:i w:val="0"/>
          <w:iCs w:val="0"/>
          <w:caps w:val="0"/>
          <w:color w:val="576B95"/>
          <w:spacing w:val="8"/>
          <w:sz w:val="22"/>
          <w:szCs w:val="22"/>
          <w:u w:val="none"/>
          <w:shd w:val="clear" w:fill="FFFFFF"/>
        </w:rPr>
        <w:t>赛柏蓝</w:t>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end"/>
      </w:r>
      <w:r>
        <w:rPr>
          <w:rFonts w:hint="eastAsia" w:ascii="Microsoft YaHei UI" w:hAnsi="Microsoft YaHei UI" w:eastAsia="Microsoft YaHei UI" w:cs="Microsoft YaHei UI"/>
          <w:i w:val="0"/>
          <w:iCs w:val="0"/>
          <w:caps w:val="0"/>
          <w:color w:val="222222"/>
          <w:spacing w:val="8"/>
          <w:kern w:val="0"/>
          <w:sz w:val="0"/>
          <w:szCs w:val="0"/>
          <w:shd w:val="clear" w:fill="FFFFFF"/>
          <w:lang w:val="en-US" w:eastAsia="zh-CN" w:bidi="ar"/>
        </w:rPr>
        <w:t> </w:t>
      </w:r>
      <w:r>
        <w:rPr>
          <w:rStyle w:val="15"/>
          <w:rFonts w:hint="eastAsia" w:ascii="Microsoft YaHei UI" w:hAnsi="Microsoft YaHei UI" w:eastAsia="Microsoft YaHei UI" w:cs="Microsoft YaHei UI"/>
          <w:i w:val="0"/>
          <w:iCs w:val="0"/>
          <w:caps w:val="0"/>
          <w:color w:val="222222"/>
          <w:spacing w:val="8"/>
          <w:kern w:val="0"/>
          <w:sz w:val="22"/>
          <w:szCs w:val="22"/>
          <w:shd w:val="clear" w:fill="FFFFFF"/>
          <w:lang w:val="en-US" w:eastAsia="zh-CN" w:bidi="ar"/>
        </w:rPr>
        <w:t>2022-07-08 19:48</w:t>
      </w:r>
      <w:r>
        <w:rPr>
          <w:rFonts w:hint="eastAsia" w:ascii="Microsoft YaHei UI" w:hAnsi="Microsoft YaHei UI" w:eastAsia="Microsoft YaHei UI" w:cs="Microsoft YaHei UI"/>
          <w:i w:val="0"/>
          <w:iCs w:val="0"/>
          <w:caps w:val="0"/>
          <w:color w:val="222222"/>
          <w:spacing w:val="8"/>
          <w:kern w:val="0"/>
          <w:sz w:val="0"/>
          <w:szCs w:val="0"/>
          <w:shd w:val="clear" w:fill="FFFFFF"/>
          <w:lang w:val="en-US" w:eastAsia="zh-CN" w:bidi="ar"/>
        </w:rPr>
        <w:t> </w:t>
      </w:r>
      <w:r>
        <w:rPr>
          <w:rStyle w:val="15"/>
          <w:rFonts w:hint="eastAsia" w:ascii="Microsoft YaHei UI" w:hAnsi="Microsoft YaHei UI" w:eastAsia="Microsoft YaHei UI" w:cs="Microsoft YaHei UI"/>
          <w:i w:val="0"/>
          <w:iCs w:val="0"/>
          <w:caps w:val="0"/>
          <w:color w:val="222222"/>
          <w:spacing w:val="8"/>
          <w:kern w:val="0"/>
          <w:sz w:val="22"/>
          <w:szCs w:val="22"/>
          <w:shd w:val="clear" w:fill="FFFFFF"/>
          <w:lang w:val="en-US" w:eastAsia="zh-CN" w:bidi="ar"/>
        </w:rPr>
        <w:t>发表于北京</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7月8日，国家医保局、财政部、国家税务总局联合发布《关于做好2022年城乡居民基本医疗保障工作的通知》（下称《</w:t>
      </w:r>
      <w:r>
        <w:rPr>
          <w:rFonts w:hint="eastAsia" w:ascii="Microsoft YaHei UI" w:hAnsi="Microsoft YaHei UI" w:eastAsia="Microsoft YaHei UI" w:cs="Microsoft YaHei UI"/>
          <w:i w:val="0"/>
          <w:iCs w:val="0"/>
          <w:caps w:val="0"/>
          <w:color w:val="222222"/>
          <w:spacing w:val="8"/>
          <w:sz w:val="22"/>
          <w:szCs w:val="22"/>
          <w:shd w:val="clear" w:fill="FFFFFF"/>
          <w:lang w:val="en-US" w:eastAsia="zh-CN"/>
        </w:rPr>
        <w:t>通知</w:t>
      </w:r>
      <w:r>
        <w:rPr>
          <w:rFonts w:hint="eastAsia" w:eastAsia="宋体" w:cs="Times New Roman" w:asciiTheme="minorEastAsia" w:hAnsiTheme="minorEastAsia"/>
          <w:color w:val="auto"/>
          <w:kern w:val="2"/>
          <w:sz w:val="28"/>
          <w:szCs w:val="28"/>
          <w:lang w:val="en-US" w:eastAsia="zh-CN" w:bidi="ar-SA"/>
        </w:rPr>
        <w:t>》），文件就做好2022年城乡居民基本医疗保障有关工作进行了相关通知，内容涉及医保统一、医保支付改革、带量采购等政策。</w:t>
      </w:r>
    </w:p>
    <w:p>
      <w:pPr>
        <w:keepNext w:val="0"/>
        <w:keepLines w:val="0"/>
        <w:widowControl/>
        <w:suppressLineNumbers w:val="0"/>
        <w:spacing w:before="0" w:beforeAutospacing="0" w:after="0" w:afterAutospacing="0"/>
        <w:ind w:left="0" w:right="0"/>
        <w:jc w:val="left"/>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240" w:right="240" w:firstLine="0"/>
        <w:jc w:val="center"/>
        <w:rPr>
          <w:rFonts w:hint="eastAsia" w:ascii="Microsoft YaHei UI" w:hAnsi="Microsoft YaHei UI" w:eastAsia="Microsoft YaHei UI" w:cs="Microsoft YaHei UI"/>
          <w:i w:val="0"/>
          <w:iCs w:val="0"/>
          <w:caps w:val="0"/>
          <w:color w:val="222222"/>
          <w:spacing w:val="8"/>
          <w:sz w:val="24"/>
          <w:szCs w:val="24"/>
          <w:u w:val="none"/>
        </w:rPr>
      </w:pPr>
      <w:r>
        <w:rPr>
          <w:rStyle w:val="14"/>
          <w:rFonts w:hint="eastAsia" w:ascii="Microsoft YaHei UI" w:hAnsi="Microsoft YaHei UI" w:eastAsia="Microsoft YaHei UI" w:cs="Microsoft YaHei UI"/>
          <w:i/>
          <w:iCs/>
          <w:caps w:val="0"/>
          <w:color w:val="000000"/>
          <w:spacing w:val="30"/>
          <w:sz w:val="30"/>
          <w:szCs w:val="30"/>
          <w:u w:val="single"/>
          <w:shd w:val="clear" w:fill="FFFFFF"/>
        </w:rPr>
        <w:t>01</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222222"/>
          <w:spacing w:val="8"/>
          <w:sz w:val="24"/>
          <w:szCs w:val="24"/>
        </w:rPr>
      </w:pPr>
      <w:r>
        <w:rPr>
          <w:rStyle w:val="14"/>
          <w:rFonts w:hint="eastAsia" w:ascii="Microsoft YaHei UI" w:hAnsi="Microsoft YaHei UI" w:eastAsia="Microsoft YaHei UI" w:cs="Microsoft YaHei UI"/>
          <w:i w:val="0"/>
          <w:iCs w:val="0"/>
          <w:caps w:val="0"/>
          <w:color w:val="1F4ABC"/>
          <w:spacing w:val="8"/>
          <w:sz w:val="30"/>
          <w:szCs w:val="30"/>
          <w:shd w:val="clear" w:fill="FFFFFF"/>
        </w:rPr>
        <w:t>全国医保统一，医药市场将洗牌</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240" w:right="240" w:firstLine="0"/>
        <w:jc w:val="center"/>
        <w:rPr>
          <w:rFonts w:hint="eastAsia" w:ascii="Microsoft YaHei UI" w:hAnsi="Microsoft YaHei UI" w:eastAsia="Microsoft YaHei UI" w:cs="Microsoft YaHei UI"/>
          <w:i w:val="0"/>
          <w:iCs w:val="0"/>
          <w:caps w:val="0"/>
          <w:color w:val="222222"/>
          <w:spacing w:val="8"/>
          <w:sz w:val="24"/>
          <w:szCs w:val="24"/>
          <w:u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文件指出，为促进制度规范统一，增强医保制度发展的平衡性、协调性，要严格按照《贯彻落实医疗保障待遇清单制度三年行动方案（2021-2023年）》要求，2022年底前实现所有统筹地区制度框架统一，40%统筹地区完成清单外政策的清理规范。</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根据《国家医保局 财政部关于建立医疗保障待遇清单制度的意见》，基本医保制度、基本医保政策、基金支付范围、基金不予支付的范围四项清单内容，全国要逐渐统一。</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国家医保局明确，此后各地原则上不得再出台超出清单授权范围的政策；对以往出台的与清单不相符的政策措施，原则上3年内完成清理规范。之后，对于超出清单授权范围的事项，全国医保信息系统不予支持。</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也就是说，未来全国将执行统一的医保药品目录、诊疗项目目录、医用耗材目录及相应医保支付标准，地方不得自行制定目录或用变通的方法增加目录支付范围，不得调整限定支付范围。据梳理，目前广东、湖南、宁夏、重庆、天津、青岛、新疆等地均发布相关公告，各地工作安排各有不同，但2023年底是统一的关键节点。</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其中，基金支付范围一项包含药品目录、耗材目录、医疗服务项目支付范围等。</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健康服务运营管理专家仲崇明指出，目前基本实现了医保药品目录全国统一，不过距离医保标准统一还有一定距离。</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全国医保目录统一，药企无法寄希望于通过地方医保目录增补来弥补未能进入国家医保目录的缺失，企业之间的竞争更加公开透明。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而对于医保支付标准，上述专家指出，这直接关系到企业能在医保中拿到多少钱。</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据统计，目前已经有20个省市公布了试点品种和医保支付标准。</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其中，北京医保局发布《关于开展医保药品支付标准试点工作的通知》规定，国家医保谈判药品，以国家谈判价格作为试点药品的医保支付标准；对纳入国家或省级集中带量采购范围的试点药品，以本市中选价格为基准确定医保支付标准；而对“两非”药品，则以采购数量（以最小计数单位计算）的规格作为代表规格，根据实际挂网价格和实际采购数量作量价加权平均，确定代表规格药品的医保支付标准。</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超出医保支付标准的部分需要患者自负，企业定价过高会降低患者购买意愿，定价低则是对自身成本把控和毛利率的压力。有业内人士指出，大型药企拥有品牌和口碑支持的定价底气和更好的成本控制，而规模较小的企业则不具备上述优势，可能面临淘汰。</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240" w:right="240" w:firstLine="0"/>
        <w:jc w:val="center"/>
        <w:rPr>
          <w:rFonts w:hint="eastAsia" w:ascii="Microsoft YaHei UI" w:hAnsi="Microsoft YaHei UI" w:eastAsia="Microsoft YaHei UI" w:cs="Microsoft YaHei UI"/>
          <w:i w:val="0"/>
          <w:iCs w:val="0"/>
          <w:caps w:val="0"/>
          <w:color w:val="222222"/>
          <w:spacing w:val="8"/>
          <w:sz w:val="24"/>
          <w:szCs w:val="24"/>
          <w:u w:val="none"/>
        </w:rPr>
      </w:pPr>
      <w:r>
        <w:rPr>
          <w:rStyle w:val="14"/>
          <w:rFonts w:hint="eastAsia" w:ascii="Microsoft YaHei UI" w:hAnsi="Microsoft YaHei UI" w:eastAsia="Microsoft YaHei UI" w:cs="Microsoft YaHei UI"/>
          <w:i/>
          <w:iCs/>
          <w:caps w:val="0"/>
          <w:color w:val="000000"/>
          <w:spacing w:val="30"/>
          <w:sz w:val="30"/>
          <w:szCs w:val="30"/>
          <w:u w:val="single"/>
          <w:shd w:val="clear" w:fill="FFFFFF"/>
        </w:rPr>
        <w:t>02</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222222"/>
          <w:spacing w:val="8"/>
          <w:sz w:val="24"/>
          <w:szCs w:val="24"/>
        </w:rPr>
      </w:pPr>
      <w:r>
        <w:rPr>
          <w:rStyle w:val="14"/>
          <w:rFonts w:hint="eastAsia" w:ascii="Microsoft YaHei UI" w:hAnsi="Microsoft YaHei UI" w:eastAsia="Microsoft YaHei UI" w:cs="Microsoft YaHei UI"/>
          <w:i w:val="0"/>
          <w:iCs w:val="0"/>
          <w:caps w:val="0"/>
          <w:color w:val="1F4ABC"/>
          <w:spacing w:val="8"/>
          <w:sz w:val="30"/>
          <w:szCs w:val="30"/>
          <w:shd w:val="clear" w:fill="FFFFFF"/>
        </w:rPr>
        <w:t>完善医保支付，助力产业发展</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《关于做好2022年城乡居民基本医疗保障工作的通知》政策解读指出，医保支付管理工作方面有四项要求：</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一、加强医保药品目录管理，做实做细谈判药品“双通道”管理；</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二、规范民族药、医疗机构制剂、中药饮片和中药配方颗粒医保准入管理；</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三、扎实落实《DRG/DIP支付方式改革三年行动计划》，探索推进门诊和中医医保支付方式改革；</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四、完善医疗机构和零售药店医疗保障定点管理。</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因医院配备药品数量有限、药品遴选流程成本高、时间长等原因，通过医保谈判的创新药仍面临入院困难的“最后一公里”问题。而谈判药品“双通道”管理机制，首次从国家层面将定点零售药店纳入医保药品的供应保障范围，并实行与医疗机构统一的支付政策。</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据央视报道，截至2022年1月底，新版国家医保药品目录中协议期内的谈判药品在全国15.47万家定点医药机构配备，其中定点医疗机构和定点零售药店分别为4.21万家和11.26万家。</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目前，“双通道”政策仍在持续推进中，拓宽了创新药企的销售渠道，预计将进一步推动我国创新药产业的发展。</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除创新药产品外，医保局对中医药产业相关产品的支持力度也很大。</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虽然各地不再保留医保增补目录，但根据《基本医疗保险用药管理暂行办法》，省级医保部门可以以国家《药品目录》为基础，按照国家规定的调整权限和程序将符合条件的民族药，医疗机构制剂和中药饮片纳入省级医保支付范围。</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国家医保局在一份回复中曾表示，以上规定主要是考虑到民族医药受民族医学理论的指导，在使用上具有较强的地域性和特殊性。</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中药配方颗粒在试点之前，其医保报销一般是按照对应中药饮片来处理，试点结束后，中药配方颗粒的医保报销也开始规范化。近段时间以来，内蒙古、湖南、广西、四川等地陆续发布将中药配方颗粒纳入医保的通知。</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院内制剂指的是中医医院院内制剂，是由中医医疗机构总结多代中医专家的经验累积、通过多年临床验证后，辅以科技创新手段研制而来，一直被认为是中医药资源富矿和推动中医药发展的原动力之一。</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国务院办公厅印发《“十四五”中医药发展规划》明确指出，医疗机构炮制使用的中药饮片、中药制剂实现自主定价，符合条件的按程序纳⼊基本医疗保险支付范围。</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近段时间以来，湖南、湖北、广东等省均有发布将制剂纳入本省医保支付范围的通知。推动相关产品进入医保，也有利于中医药产业的发展。</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持续推动落实DRG/DIP支付方式改革也是医保支付改革板块的重点任务之一，通过将医保支付方式从后付制改为预付制，将药品检查等费用由利润中心转变为医院的成本中心，能够规范医疗行为、有效控制医疗费用不合理增长。</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依据《DRG/DIP支付方式改革三年行动计划》，到2024年底，全国所有统筹地区全部开展DRG/DIP支付方式改革工作，到2025年底，DRG/DIP支付方式覆盖所有符合条件的开展住院服务的医疗机构。</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按照计划，在统筹地区方面，各地需在2019、2021年试点基础上，按2022年、2023年、2024年三年进度安排。以省（自治区、直辖市）为单位，分别启动不少于40%、30%、30%的统筹地区开展DRG/DIP支付方式改革并实际付费；</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医疗机构方面，统筹地区启动DRG/DIP付费改革工作后，按三年安排实现符合条件的开展住院服务的医疗机构全面覆盖，每年进度应分别不低于40%、30%、30%，2024年启动地区须于两年内完成。</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240" w:right="240" w:firstLine="0"/>
        <w:jc w:val="center"/>
        <w:rPr>
          <w:rFonts w:hint="eastAsia" w:ascii="Microsoft YaHei UI" w:hAnsi="Microsoft YaHei UI" w:eastAsia="Microsoft YaHei UI" w:cs="Microsoft YaHei UI"/>
          <w:i w:val="0"/>
          <w:iCs w:val="0"/>
          <w:caps w:val="0"/>
          <w:color w:val="222222"/>
          <w:spacing w:val="8"/>
          <w:sz w:val="24"/>
          <w:szCs w:val="24"/>
          <w:u w:val="none"/>
        </w:rPr>
      </w:pPr>
      <w:r>
        <w:rPr>
          <w:rStyle w:val="14"/>
          <w:rFonts w:hint="eastAsia" w:ascii="Microsoft YaHei UI" w:hAnsi="Microsoft YaHei UI" w:eastAsia="Microsoft YaHei UI" w:cs="Microsoft YaHei UI"/>
          <w:i/>
          <w:iCs/>
          <w:caps w:val="0"/>
          <w:color w:val="000000"/>
          <w:spacing w:val="30"/>
          <w:sz w:val="30"/>
          <w:szCs w:val="30"/>
          <w:u w:val="single"/>
          <w:shd w:val="clear" w:fill="FFFFFF"/>
        </w:rPr>
        <w:t>03</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222222"/>
          <w:spacing w:val="8"/>
          <w:sz w:val="24"/>
          <w:szCs w:val="24"/>
        </w:rPr>
      </w:pPr>
      <w:r>
        <w:rPr>
          <w:rStyle w:val="14"/>
          <w:rFonts w:hint="eastAsia" w:ascii="Microsoft YaHei UI" w:hAnsi="Microsoft YaHei UI" w:eastAsia="Microsoft YaHei UI" w:cs="Microsoft YaHei UI"/>
          <w:i w:val="0"/>
          <w:iCs w:val="0"/>
          <w:caps w:val="0"/>
          <w:color w:val="1F4ABC"/>
          <w:spacing w:val="8"/>
          <w:sz w:val="30"/>
          <w:szCs w:val="30"/>
          <w:shd w:val="clear" w:fill="FFFFFF"/>
        </w:rPr>
        <w:t>再次强调带量采购“350”目标</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222222"/>
          <w:spacing w:val="8"/>
          <w:sz w:val="24"/>
          <w:szCs w:val="24"/>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《通知》强调，2022年底国家和省级（或跨省联盟）集采药品品种数累计不少于350个，高值医用耗材品种累计达到5个以上。</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实际上，早在5月25日，国务院办公厅印发的《深化医药卫生体制改革2022年重点工作任务》就明确要求，要继续扩大药品和耗材集采范围，力争每个省份“国家和地方采购药品通用名数合计超过350个”。</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据统计，此前开展的六批七轮国家集采的中标药品数量为234个，且国内的药品集采省级联盟数量已达20个以上。</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虽然在这些省级联盟集采中，存在品种重复问题，很难确定具体有多少品种，但业内人士普遍认为，完成这一目标问题不大。</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依据中国医疗保险微信公众号消息，国家医保局党组成员、副局长施子海近日指出，2022年上半年，国家药品集采的工作重点主要包括两方面：第六批国家集采（胰岛素）专项的落地实施和第七批国家集采的启动。</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目前，第六批国采已经实现全国落地，第七批国采也将于7月12日开标。根据文件，本次国家药品集采品种共61个，涉及恶性肿瘤、心血管、糖尿病等多个治疗领域。</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国采外，国家医保局明确2022年拟重点推进的联盟集采包括：湖北牵头的中成药联盟采购、 四川牵头的口腔种植体联盟采购。并且， 这两个联盟预计绝大部分省份将参加。</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同时，山东牵头开展中药饮片采购联盟预计将有相当一部分省份参加； “八省二区”采购联盟、广东牵头的药品采购联盟等已有联盟还将继续扩大品种覆盖面，天津、浙江、江西、山东、河南、陕西等省份还将牵头对部分药品、耗材品种开展联盟采购，鼓励各省自主参与。</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带量采购政策中，具体的集采项目只是其中的一部分，为了保障带量采购政策的顺利推行，还有一系列的配套政策有待实施。</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例如，提升完善医药集采平台功能，强化绩效评价、启动医药价格监测工程，持续推进医药价格和招采信用评价制度实施，均有利于保障带量采购的落地。</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2022年，医保统一、医保支付改革、带量采购等多项对医药行业影响深远的政策都将持续推进，药企也将面临新的机遇和挑战。</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br w:type="textWrapp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微软雅黑" w:hAnsi="微软雅黑" w:eastAsia="微软雅黑" w:cs="宋体"/>
          <w:b/>
          <w:color w:val="333333"/>
          <w:kern w:val="36"/>
          <w:sz w:val="24"/>
          <w:szCs w:val="22"/>
          <w:lang w:val="en-US" w:eastAsia="zh-CN" w:bidi="ar-SA"/>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微软雅黑" w:hAnsi="微软雅黑" w:eastAsia="微软雅黑" w:cs="宋体"/>
          <w:b/>
          <w:color w:val="333333"/>
          <w:kern w:val="36"/>
          <w:sz w:val="24"/>
          <w:szCs w:val="22"/>
          <w:lang w:val="en-US" w:eastAsia="zh-CN" w:bidi="ar-SA"/>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微软雅黑" w:hAnsi="微软雅黑" w:eastAsia="微软雅黑" w:cs="宋体"/>
          <w:b/>
          <w:color w:val="333333"/>
          <w:kern w:val="36"/>
          <w:sz w:val="24"/>
          <w:szCs w:val="22"/>
          <w:lang w:val="en-US" w:eastAsia="zh-CN" w:bidi="ar-SA"/>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default" w:ascii="微软雅黑" w:hAnsi="微软雅黑" w:eastAsia="微软雅黑" w:cs="宋体"/>
          <w:b/>
          <w:color w:val="333333"/>
          <w:kern w:val="36"/>
          <w:sz w:val="24"/>
          <w:szCs w:val="22"/>
          <w:lang w:val="en-US" w:eastAsia="zh-CN" w:bidi="ar-SA"/>
        </w:rPr>
      </w:pPr>
      <w:r>
        <w:rPr>
          <w:rFonts w:hint="eastAsia" w:ascii="微软雅黑" w:hAnsi="微软雅黑" w:eastAsia="微软雅黑" w:cs="宋体"/>
          <w:b/>
          <w:color w:val="333333"/>
          <w:kern w:val="36"/>
          <w:sz w:val="24"/>
          <w:szCs w:val="22"/>
          <w:lang w:val="en-US" w:eastAsia="zh-CN" w:bidi="ar-SA"/>
        </w:rPr>
        <w:t>附件2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Microsoft YaHei UI" w:hAnsi="Microsoft YaHei UI" w:eastAsia="Microsoft YaHei UI" w:cs="Microsoft YaHei UI"/>
          <w:i w:val="0"/>
          <w:iCs w:val="0"/>
          <w:caps w:val="0"/>
          <w:color w:val="222222"/>
          <w:spacing w:val="8"/>
          <w:sz w:val="33"/>
          <w:szCs w:val="33"/>
        </w:rPr>
      </w:pPr>
      <w:r>
        <w:rPr>
          <w:rFonts w:hint="eastAsia"/>
          <w:b/>
          <w:bCs/>
          <w:sz w:val="33"/>
          <w:szCs w:val="33"/>
        </w:rPr>
        <w:t>刚刚！第七批国采，正式中选结果公布（附选省清单）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rPr>
          <w:rFonts w:hint="eastAsia" w:ascii="Microsoft YaHei UI" w:hAnsi="Microsoft YaHei UI" w:eastAsia="Microsoft YaHei UI" w:cs="Microsoft YaHei UI"/>
          <w:i w:val="0"/>
          <w:iCs w:val="0"/>
          <w:caps w:val="0"/>
          <w:color w:val="222222"/>
          <w:spacing w:val="8"/>
          <w:sz w:val="0"/>
          <w:szCs w:val="0"/>
        </w:rPr>
      </w:pPr>
      <w:r>
        <w:rPr>
          <w:rFonts w:hint="eastAsia" w:ascii="Microsoft YaHei UI" w:hAnsi="Microsoft YaHei UI" w:eastAsia="Microsoft YaHei UI" w:cs="Microsoft YaHei UI"/>
          <w:i w:val="0"/>
          <w:iCs w:val="0"/>
          <w:caps w:val="0"/>
          <w:color w:val="222222"/>
          <w:spacing w:val="0"/>
          <w:kern w:val="0"/>
          <w:sz w:val="18"/>
          <w:szCs w:val="18"/>
          <w:shd w:val="clear" w:fill="FFFFFF"/>
          <w:lang w:val="en-US" w:eastAsia="zh-CN" w:bidi="ar"/>
        </w:rPr>
        <w:t>原创</w:t>
      </w:r>
      <w:r>
        <w:rPr>
          <w:rFonts w:hint="eastAsia" w:ascii="Microsoft YaHei UI" w:hAnsi="Microsoft YaHei UI" w:eastAsia="Microsoft YaHei UI" w:cs="Microsoft YaHei UI"/>
          <w:i w:val="0"/>
          <w:iCs w:val="0"/>
          <w:caps w:val="0"/>
          <w:color w:val="222222"/>
          <w:spacing w:val="8"/>
          <w:kern w:val="0"/>
          <w:sz w:val="0"/>
          <w:szCs w:val="0"/>
          <w:shd w:val="clear" w:fill="FFFFFF"/>
          <w:lang w:val="en-US" w:eastAsia="zh-CN" w:bidi="ar"/>
        </w:rPr>
        <w:t> </w:t>
      </w:r>
      <w:r>
        <w:rPr>
          <w:rFonts w:hint="eastAsia" w:ascii="Microsoft YaHei UI" w:hAnsi="Microsoft YaHei UI" w:eastAsia="Microsoft YaHei UI" w:cs="Microsoft YaHei UI"/>
          <w:i w:val="0"/>
          <w:iCs w:val="0"/>
          <w:caps w:val="0"/>
          <w:color w:val="222222"/>
          <w:spacing w:val="8"/>
          <w:kern w:val="0"/>
          <w:sz w:val="22"/>
          <w:szCs w:val="22"/>
          <w:shd w:val="clear" w:fill="FFFFFF"/>
          <w:lang w:val="en-US" w:eastAsia="zh-CN" w:bidi="ar"/>
        </w:rPr>
        <w:t>颜色</w:t>
      </w:r>
      <w:r>
        <w:rPr>
          <w:rFonts w:hint="eastAsia" w:ascii="Microsoft YaHei UI" w:hAnsi="Microsoft YaHei UI" w:eastAsia="Microsoft YaHei UI" w:cs="Microsoft YaHei UI"/>
          <w:i w:val="0"/>
          <w:iCs w:val="0"/>
          <w:caps w:val="0"/>
          <w:color w:val="222222"/>
          <w:spacing w:val="8"/>
          <w:kern w:val="0"/>
          <w:sz w:val="0"/>
          <w:szCs w:val="0"/>
          <w:shd w:val="clear" w:fill="FFFFFF"/>
          <w:lang w:val="en-US" w:eastAsia="zh-CN" w:bidi="ar"/>
        </w:rPr>
        <w:t> </w:t>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begin"/>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instrText xml:space="preserve"> HYPERLINK "javascript:void(0);" </w:instrText>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separate"/>
      </w:r>
      <w:r>
        <w:rPr>
          <w:rStyle w:val="16"/>
          <w:rFonts w:hint="eastAsia" w:ascii="Microsoft YaHei UI" w:hAnsi="Microsoft YaHei UI" w:eastAsia="Microsoft YaHei UI" w:cs="Microsoft YaHei UI"/>
          <w:i w:val="0"/>
          <w:iCs w:val="0"/>
          <w:caps w:val="0"/>
          <w:color w:val="576B95"/>
          <w:spacing w:val="8"/>
          <w:sz w:val="22"/>
          <w:szCs w:val="22"/>
          <w:u w:val="none"/>
          <w:shd w:val="clear" w:fill="FFFFFF"/>
        </w:rPr>
        <w:t>赛柏蓝</w:t>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end"/>
      </w:r>
      <w:r>
        <w:rPr>
          <w:rFonts w:hint="eastAsia" w:ascii="Microsoft YaHei UI" w:hAnsi="Microsoft YaHei UI" w:eastAsia="Microsoft YaHei UI" w:cs="Microsoft YaHei UI"/>
          <w:i w:val="0"/>
          <w:iCs w:val="0"/>
          <w:caps w:val="0"/>
          <w:color w:val="222222"/>
          <w:spacing w:val="8"/>
          <w:kern w:val="0"/>
          <w:sz w:val="0"/>
          <w:szCs w:val="0"/>
          <w:shd w:val="clear" w:fill="FFFFFF"/>
          <w:lang w:val="en-US" w:eastAsia="zh-CN" w:bidi="ar"/>
        </w:rPr>
        <w:t> </w:t>
      </w:r>
      <w:r>
        <w:rPr>
          <w:rStyle w:val="15"/>
          <w:rFonts w:hint="eastAsia" w:ascii="Microsoft YaHei UI" w:hAnsi="Microsoft YaHei UI" w:eastAsia="Microsoft YaHei UI" w:cs="Microsoft YaHei UI"/>
          <w:i w:val="0"/>
          <w:iCs w:val="0"/>
          <w:caps w:val="0"/>
          <w:color w:val="222222"/>
          <w:spacing w:val="8"/>
          <w:kern w:val="0"/>
          <w:sz w:val="22"/>
          <w:szCs w:val="22"/>
          <w:shd w:val="clear" w:fill="FFFFFF"/>
          <w:lang w:val="en-US" w:eastAsia="zh-CN" w:bidi="ar"/>
        </w:rPr>
        <w:t>2022-07-18 18:39</w:t>
      </w:r>
      <w:r>
        <w:rPr>
          <w:rFonts w:hint="eastAsia" w:ascii="Microsoft YaHei UI" w:hAnsi="Microsoft YaHei UI" w:eastAsia="Microsoft YaHei UI" w:cs="Microsoft YaHei UI"/>
          <w:i w:val="0"/>
          <w:iCs w:val="0"/>
          <w:caps w:val="0"/>
          <w:color w:val="222222"/>
          <w:spacing w:val="8"/>
          <w:kern w:val="0"/>
          <w:sz w:val="0"/>
          <w:szCs w:val="0"/>
          <w:shd w:val="clear" w:fill="FFFFFF"/>
          <w:lang w:val="en-US" w:eastAsia="zh-CN" w:bidi="ar"/>
        </w:rPr>
        <w:t> </w:t>
      </w:r>
      <w:r>
        <w:rPr>
          <w:rStyle w:val="15"/>
          <w:rFonts w:hint="eastAsia" w:ascii="Microsoft YaHei UI" w:hAnsi="Microsoft YaHei UI" w:eastAsia="Microsoft YaHei UI" w:cs="Microsoft YaHei UI"/>
          <w:i w:val="0"/>
          <w:iCs w:val="0"/>
          <w:caps w:val="0"/>
          <w:color w:val="222222"/>
          <w:spacing w:val="8"/>
          <w:kern w:val="0"/>
          <w:sz w:val="22"/>
          <w:szCs w:val="22"/>
          <w:shd w:val="clear" w:fill="FFFFFF"/>
          <w:lang w:val="en-US" w:eastAsia="zh-CN" w:bidi="ar"/>
        </w:rPr>
        <w:t>发表于北京</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222222"/>
          <w:spacing w:val="8"/>
          <w:sz w:val="24"/>
          <w:szCs w:val="24"/>
          <w:u w:val="none"/>
        </w:rPr>
      </w:pPr>
      <w:r>
        <w:rPr>
          <w:rStyle w:val="14"/>
          <w:rFonts w:hint="eastAsia" w:ascii="Microsoft YaHei UI" w:hAnsi="Microsoft YaHei UI" w:eastAsia="Microsoft YaHei UI" w:cs="Microsoft YaHei UI"/>
          <w:i/>
          <w:iCs/>
          <w:caps w:val="0"/>
          <w:color w:val="000000"/>
          <w:spacing w:val="30"/>
          <w:sz w:val="30"/>
          <w:szCs w:val="30"/>
          <w:u w:val="single"/>
          <w:shd w:val="clear" w:fill="FFFFFF"/>
        </w:rPr>
        <w:t>01</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0"/>
        <w:jc w:val="center"/>
        <w:rPr>
          <w:rFonts w:hint="eastAsia" w:ascii="Microsoft YaHei UI" w:hAnsi="Microsoft YaHei UI" w:eastAsia="Microsoft YaHei UI" w:cs="Microsoft YaHei UI"/>
          <w:i w:val="0"/>
          <w:iCs w:val="0"/>
          <w:caps w:val="0"/>
          <w:color w:val="333333"/>
          <w:spacing w:val="8"/>
          <w:sz w:val="25"/>
          <w:szCs w:val="25"/>
          <w:u w:val="none"/>
        </w:rPr>
      </w:pPr>
      <w:r>
        <w:rPr>
          <w:rStyle w:val="14"/>
          <w:rFonts w:hint="eastAsia" w:ascii="Microsoft YaHei UI" w:hAnsi="Microsoft YaHei UI" w:eastAsia="Microsoft YaHei UI" w:cs="Microsoft YaHei UI"/>
          <w:i w:val="0"/>
          <w:iCs w:val="0"/>
          <w:caps w:val="0"/>
          <w:color w:val="1F4ABC"/>
          <w:spacing w:val="8"/>
          <w:sz w:val="30"/>
          <w:szCs w:val="30"/>
          <w:u w:val="none"/>
          <w:shd w:val="clear" w:fill="FFFFFF"/>
        </w:rPr>
        <w:t>第七批国采中选结果</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0"/>
        <w:jc w:val="center"/>
        <w:rPr>
          <w:rFonts w:hint="eastAsia" w:ascii="Microsoft YaHei UI" w:hAnsi="Microsoft YaHei UI" w:eastAsia="Microsoft YaHei UI" w:cs="Microsoft YaHei UI"/>
          <w:i w:val="0"/>
          <w:iCs w:val="0"/>
          <w:caps w:val="0"/>
          <w:color w:val="333333"/>
          <w:spacing w:val="8"/>
          <w:sz w:val="25"/>
          <w:szCs w:val="25"/>
          <w:u w:val="none"/>
        </w:rPr>
      </w:pPr>
      <w:r>
        <w:rPr>
          <w:rStyle w:val="14"/>
          <w:rFonts w:hint="eastAsia" w:ascii="Microsoft YaHei UI" w:hAnsi="Microsoft YaHei UI" w:eastAsia="Microsoft YaHei UI" w:cs="Microsoft YaHei UI"/>
          <w:i w:val="0"/>
          <w:iCs w:val="0"/>
          <w:caps w:val="0"/>
          <w:color w:val="1F4ABC"/>
          <w:spacing w:val="8"/>
          <w:sz w:val="30"/>
          <w:szCs w:val="30"/>
          <w:u w:val="none"/>
          <w:shd w:val="clear" w:fill="FFFFFF"/>
        </w:rPr>
        <w:t>供应与备供地区均确定</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刚刚，国家组织药品联合采购办公室发布《关于公布全国药品集中采购中选结果的通知》（以下简称“《通知》”）。</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0"/>
        <w:jc w:val="both"/>
        <w:rPr>
          <w:rFonts w:hint="eastAsia" w:ascii="Microsoft YaHei UI" w:hAnsi="Microsoft YaHei UI" w:eastAsia="Microsoft YaHei UI" w:cs="Microsoft YaHei UI"/>
          <w:i w:val="0"/>
          <w:iCs w:val="0"/>
          <w:caps w:val="0"/>
          <w:color w:val="333333"/>
          <w:spacing w:val="8"/>
          <w:sz w:val="25"/>
          <w:szCs w:val="25"/>
          <w:u w:val="no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333333"/>
          <w:spacing w:val="8"/>
          <w:sz w:val="25"/>
          <w:szCs w:val="25"/>
          <w:u w:val="none"/>
        </w:rPr>
      </w:pPr>
      <w:r>
        <w:rPr>
          <w:rFonts w:hint="eastAsia" w:ascii="Microsoft YaHei UI" w:hAnsi="Microsoft YaHei UI" w:eastAsia="Microsoft YaHei UI" w:cs="Microsoft YaHei UI"/>
          <w:i w:val="0"/>
          <w:iCs w:val="0"/>
          <w:caps w:val="0"/>
          <w:color w:val="222222"/>
          <w:spacing w:val="8"/>
          <w:sz w:val="24"/>
          <w:szCs w:val="24"/>
          <w:shd w:val="clear" w:fill="FFFFFF"/>
        </w:rPr>
        <w:drawing>
          <wp:inline distT="0" distB="0" distL="114300" distR="114300">
            <wp:extent cx="5305425" cy="1879600"/>
            <wp:effectExtent l="0" t="0" r="9525" b="6350"/>
            <wp:docPr id="46" name="图片 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descr="IMG_257"/>
                    <pic:cNvPicPr>
                      <a:picLocks noChangeAspect="1"/>
                    </pic:cNvPicPr>
                  </pic:nvPicPr>
                  <pic:blipFill>
                    <a:blip r:embed="rId9"/>
                    <a:stretch>
                      <a:fillRect/>
                    </a:stretch>
                  </pic:blipFill>
                  <pic:spPr>
                    <a:xfrm>
                      <a:off x="0" y="0"/>
                      <a:ext cx="5305425" cy="187960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ascii="Microsoft YaHei UI" w:hAnsi="Microsoft YaHei UI" w:eastAsia="Microsoft YaHei UI" w:cs="Microsoft YaHei UI"/>
          <w:i w:val="0"/>
          <w:iCs w:val="0"/>
          <w:caps w:val="0"/>
          <w:color w:val="333333"/>
          <w:spacing w:val="8"/>
          <w:sz w:val="25"/>
          <w:szCs w:val="25"/>
          <w:u w:val="none"/>
        </w:rPr>
      </w:pPr>
      <w:r>
        <w:rPr>
          <w:rFonts w:hint="eastAsia" w:eastAsia="宋体" w:cs="Times New Roman" w:asciiTheme="minorEastAsia" w:hAnsiTheme="minorEastAsia"/>
          <w:color w:val="auto"/>
          <w:kern w:val="2"/>
          <w:sz w:val="28"/>
          <w:szCs w:val="28"/>
          <w:lang w:val="en-US" w:eastAsia="zh-CN" w:bidi="ar-SA"/>
        </w:rPr>
        <w:t>中选结果和之前的拟中选结果一样，第七批国采共有295家企业的488个产品参与投标，最终217家企业的327个产品获得拟中选资格，60种药品采购成功</w:t>
      </w:r>
      <w:r>
        <w:rPr>
          <w:rStyle w:val="14"/>
          <w:rFonts w:hint="eastAsia" w:ascii="Microsoft YaHei UI" w:hAnsi="Microsoft YaHei UI" w:eastAsia="Microsoft YaHei UI" w:cs="Microsoft YaHei UI"/>
          <w:i w:val="0"/>
          <w:iCs w:val="0"/>
          <w:caps w:val="0"/>
          <w:color w:val="1F4ABC"/>
          <w:spacing w:val="0"/>
          <w:sz w:val="22"/>
          <w:szCs w:val="22"/>
          <w:u w:val="none"/>
          <w:shd w:val="clear" w:fill="FFFFFF"/>
          <w:lang w:eastAsia="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ascii="Microsoft YaHei UI" w:hAnsi="Microsoft YaHei UI" w:eastAsia="Microsoft YaHei UI" w:cs="Microsoft YaHei UI"/>
          <w:i w:val="0"/>
          <w:iCs w:val="0"/>
          <w:caps w:val="0"/>
          <w:color w:val="333333"/>
          <w:spacing w:val="8"/>
          <w:sz w:val="25"/>
          <w:szCs w:val="25"/>
          <w:u w:val="none"/>
        </w:rPr>
      </w:pPr>
      <w:r>
        <w:rPr>
          <w:rFonts w:hint="eastAsia" w:eastAsia="宋体" w:cs="Times New Roman" w:asciiTheme="minorEastAsia" w:hAnsiTheme="minorEastAsia"/>
          <w:color w:val="auto"/>
          <w:kern w:val="2"/>
          <w:sz w:val="28"/>
          <w:szCs w:val="28"/>
          <w:lang w:val="en-US" w:eastAsia="zh-CN" w:bidi="ar-SA"/>
        </w:rPr>
        <w:t>其中，6家跨国药企的6个产品中选，211家国内药企的321个产品中选，投标品种中选比例约67%。与中选结果同时公布的，还有全国药品集中采购备供情况表以及中选品种供应清单。</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以马来酸阿法替尼片（40mg*10片/板*3板/袋/盒）为例，江苏豪森中选，中选价格262.30元，供应省份天津市、吉林省、江苏省、广东省、重庆市、云南省、新疆（含兵团），备供省份为北京市、黑龙江省、上海市、山东省、湖北省、广西壮族自治区、四川省；</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阿立哌唑口崩片（5mg*60片/盒），中选企业为浙江华海药业，中选价格为22.47元，供应省份为山西省、内蒙古自治区、江苏省、浙江省、江西省、湖南省、广东省、青海省、新疆（含兵团），备供省份为上海市、河南省、海南省、重庆市、四川省、贵州省、云南省、西藏自治区、甘肃省等。</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根据《全国药品集中采购文件（采购文件编号：GY-YD2022-1）》，供应地区确认需要由拟中选企业统一进行主供地区和备供地区确认，并按顺位方式依次确认。</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本次国采品种涉及治疗领域广泛，包括高血压、糖尿病、抗感染、消化道疾病、肝癌、肺癌等疾病，受益面广，药品平均降幅在48%左右。</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值得一提的是，作为肝癌一线靶向药，仑伐替尼胶囊每粒平均价格从108元下降到18元；降血压领域，硝苯地平控释片降价58%、美托洛尔缓释片降价53%等。</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ascii="Microsoft YaHei UI" w:hAnsi="Microsoft YaHei UI" w:eastAsia="Microsoft YaHei UI" w:cs="Microsoft YaHei UI"/>
          <w:i w:val="0"/>
          <w:iCs w:val="0"/>
          <w:caps w:val="0"/>
          <w:color w:val="333333"/>
          <w:spacing w:val="8"/>
          <w:sz w:val="25"/>
          <w:szCs w:val="25"/>
          <w:u w:val="none"/>
        </w:rPr>
      </w:pPr>
      <w:r>
        <w:rPr>
          <w:rFonts w:hint="eastAsia" w:eastAsia="宋体" w:cs="Times New Roman" w:asciiTheme="minorEastAsia" w:hAnsiTheme="minorEastAsia"/>
          <w:color w:val="auto"/>
          <w:kern w:val="2"/>
          <w:sz w:val="28"/>
          <w:szCs w:val="28"/>
          <w:lang w:val="en-US" w:eastAsia="zh-CN" w:bidi="ar-SA"/>
        </w:rPr>
        <w:t>至此第七批国采到达又一新节点。接下来，就是后续的落地等工作。</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根据《通知》，本次集采中选结果将于2022年11月实施，具体执行日期以各地发布通知为准。</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那么，企业如何选择合适的供应地区？后续又该如何做好市场推广？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国内某药企市场总监董泽成对赛柏蓝表示，企业对于供应地区的选择往往是多方面的，首先是报量的大小，量大的要首选；第二是本企业销售量的大小；第三是离本企业的远近，这主要是考虑物流成本，比如西北的企业，可能会优选西北地区。</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对于本次参加国采的企业而言，首先应该尽可能准确确认选中地区的带量，可以通过测算选中地区标外市场增量的方式，这样就能大概知晓选中地区的销售量；第二是选择合适的合作伙伴，只要价格没有打穿，通过代理销售的方式还是更划算；第三是选商业公司；第四是开展落地的学术推广活动。对于备选地区，一定要做好销售准备。”上述人士说。</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0"/>
        <w:jc w:val="both"/>
        <w:rPr>
          <w:rFonts w:hint="eastAsia" w:eastAsia="宋体" w:cs="Times New Roman" w:asciiTheme="minorEastAsia" w:hAnsiTheme="minorEastAsia"/>
          <w:color w:val="auto"/>
          <w:kern w:val="2"/>
          <w:sz w:val="28"/>
          <w:szCs w:val="28"/>
          <w:lang w:val="en-US" w:eastAsia="zh-CN" w:bidi="ar-SA"/>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222222"/>
          <w:spacing w:val="8"/>
          <w:sz w:val="24"/>
          <w:szCs w:val="24"/>
          <w:u w:val="none"/>
        </w:rPr>
      </w:pPr>
      <w:r>
        <w:rPr>
          <w:rStyle w:val="14"/>
          <w:rFonts w:hint="eastAsia" w:ascii="Microsoft YaHei UI" w:hAnsi="Microsoft YaHei UI" w:eastAsia="Microsoft YaHei UI" w:cs="Microsoft YaHei UI"/>
          <w:i/>
          <w:iCs/>
          <w:caps w:val="0"/>
          <w:color w:val="000000"/>
          <w:spacing w:val="30"/>
          <w:sz w:val="30"/>
          <w:szCs w:val="30"/>
          <w:u w:val="single"/>
          <w:shd w:val="clear" w:fill="FFFFFF"/>
        </w:rPr>
        <w:t>02</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0"/>
        <w:jc w:val="center"/>
        <w:rPr>
          <w:rFonts w:hint="eastAsia" w:ascii="Microsoft YaHei UI" w:hAnsi="Microsoft YaHei UI" w:eastAsia="Microsoft YaHei UI" w:cs="Microsoft YaHei UI"/>
          <w:i w:val="0"/>
          <w:iCs w:val="0"/>
          <w:caps w:val="0"/>
          <w:color w:val="333333"/>
          <w:spacing w:val="8"/>
          <w:sz w:val="25"/>
          <w:szCs w:val="25"/>
        </w:rPr>
      </w:pPr>
      <w:r>
        <w:rPr>
          <w:rStyle w:val="14"/>
          <w:rFonts w:hint="eastAsia" w:ascii="Microsoft YaHei UI" w:hAnsi="Microsoft YaHei UI" w:eastAsia="Microsoft YaHei UI" w:cs="Microsoft YaHei UI"/>
          <w:i w:val="0"/>
          <w:iCs w:val="0"/>
          <w:caps w:val="0"/>
          <w:color w:val="1F4ABC"/>
          <w:spacing w:val="8"/>
          <w:sz w:val="30"/>
          <w:szCs w:val="30"/>
          <w:shd w:val="clear" w:fill="FFFFFF"/>
        </w:rPr>
        <w:t>第八批国采要来了？</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0"/>
        <w:jc w:val="center"/>
        <w:rPr>
          <w:rFonts w:hint="eastAsia" w:ascii="Microsoft YaHei UI" w:hAnsi="Microsoft YaHei UI" w:eastAsia="Microsoft YaHei UI" w:cs="Microsoft YaHei UI"/>
          <w:i w:val="0"/>
          <w:iCs w:val="0"/>
          <w:caps w:val="0"/>
          <w:color w:val="333333"/>
          <w:spacing w:val="8"/>
          <w:sz w:val="25"/>
          <w:szCs w:val="25"/>
        </w:rPr>
      </w:pPr>
      <w:r>
        <w:rPr>
          <w:rStyle w:val="14"/>
          <w:rFonts w:hint="eastAsia" w:ascii="Microsoft YaHei UI" w:hAnsi="Microsoft YaHei UI" w:eastAsia="Microsoft YaHei UI" w:cs="Microsoft YaHei UI"/>
          <w:i w:val="0"/>
          <w:iCs w:val="0"/>
          <w:caps w:val="0"/>
          <w:color w:val="1F4ABC"/>
          <w:spacing w:val="8"/>
          <w:sz w:val="30"/>
          <w:szCs w:val="30"/>
          <w:shd w:val="clear" w:fill="FFFFFF"/>
        </w:rPr>
        <w:t>大批品种，已满足国采条件</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0"/>
        <w:jc w:val="center"/>
        <w:rPr>
          <w:rFonts w:hint="eastAsia" w:ascii="Microsoft YaHei UI" w:hAnsi="Microsoft YaHei UI" w:eastAsia="Microsoft YaHei UI" w:cs="Microsoft YaHei UI"/>
          <w:i w:val="0"/>
          <w:iCs w:val="0"/>
          <w:caps w:val="0"/>
          <w:color w:val="333333"/>
          <w:spacing w:val="8"/>
          <w:sz w:val="25"/>
          <w:szCs w:val="25"/>
        </w:rPr>
      </w:pPr>
      <w:r>
        <w:rPr>
          <w:rStyle w:val="14"/>
          <w:rFonts w:hint="eastAsia" w:ascii="Microsoft YaHei UI" w:hAnsi="Microsoft YaHei UI" w:eastAsia="Microsoft YaHei UI" w:cs="Microsoft YaHei UI"/>
          <w:i w:val="0"/>
          <w:iCs w:val="0"/>
          <w:caps w:val="0"/>
          <w:color w:val="1F4ABC"/>
          <w:spacing w:val="8"/>
          <w:sz w:val="30"/>
          <w:szCs w:val="30"/>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第七批国采走到了新的节点，业内又传出第八批国采的消息。</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7月14日，国务院总理在全国医改工作电视电话会议中作出重要批示，持续实施药品和高值医用耗材集中带量采购工作。</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7月8日，国家医保局、财政部、国家税务局联合发布《关于做好2022年城乡居民基本医疗保障工作的通知》强调，2022年底国家和省级（或跨省联盟）集采药品品种数累计不少于350个。</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除此之外，国家医保局副局长陈金甫在吹风会上回答记者提问时表示，在原有集采领域化学药、胰岛素、人工关节的基础上，今年进一步在其他领域进行探索，包括中成药等。</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0"/>
        <w:jc w:val="both"/>
        <w:rPr>
          <w:rFonts w:hint="eastAsia" w:ascii="Microsoft YaHei UI" w:hAnsi="Microsoft YaHei UI" w:eastAsia="Microsoft YaHei UI" w:cs="Microsoft YaHei UI"/>
          <w:i w:val="0"/>
          <w:iCs w:val="0"/>
          <w:caps w:val="0"/>
          <w:color w:val="333333"/>
          <w:spacing w:val="8"/>
          <w:sz w:val="25"/>
          <w:szCs w:val="25"/>
          <w:u w:val="none"/>
        </w:rPr>
      </w:pPr>
      <w:r>
        <w:rPr>
          <w:rStyle w:val="14"/>
          <w:rFonts w:hint="eastAsia" w:ascii="Microsoft YaHei UI" w:hAnsi="Microsoft YaHei UI" w:eastAsia="Microsoft YaHei UI" w:cs="Microsoft YaHei UI"/>
          <w:i w:val="0"/>
          <w:iCs w:val="0"/>
          <w:caps w:val="0"/>
          <w:color w:val="1F4ABC"/>
          <w:spacing w:val="0"/>
          <w:sz w:val="22"/>
          <w:szCs w:val="22"/>
          <w:u w:val="none"/>
          <w:shd w:val="clear" w:fill="FFFFFF"/>
        </w:rPr>
        <w:t>第八批国采是否会开展？主要集采的品种仍是化学药还是生物制剂？</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0"/>
        <w:jc w:val="both"/>
        <w:rPr>
          <w:rFonts w:hint="eastAsia" w:ascii="Microsoft YaHei UI" w:hAnsi="Microsoft YaHei UI" w:eastAsia="Microsoft YaHei UI" w:cs="Microsoft YaHei UI"/>
          <w:i w:val="0"/>
          <w:iCs w:val="0"/>
          <w:caps w:val="0"/>
          <w:color w:val="333333"/>
          <w:spacing w:val="8"/>
          <w:sz w:val="25"/>
          <w:szCs w:val="25"/>
          <w:u w:val="none"/>
        </w:rPr>
      </w:pPr>
      <w:r>
        <w:rPr>
          <w:rFonts w:hint="eastAsia" w:ascii="Microsoft YaHei UI" w:hAnsi="Microsoft YaHei UI" w:eastAsia="Microsoft YaHei UI" w:cs="Microsoft YaHei UI"/>
          <w:i w:val="0"/>
          <w:iCs w:val="0"/>
          <w:caps w:val="0"/>
          <w:color w:val="000000"/>
          <w:spacing w:val="0"/>
          <w:sz w:val="22"/>
          <w:szCs w:val="22"/>
          <w:u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赛柏蓝梳理发现，首轮4+7集采2018年12月出结果，次年2-3月陆续落地；6个月后首批25个品种的采购扩围至全国；</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第二轮国采，2020年1月结果出炉，4月已经进入采购阶段；</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第三轮国采，2020年7月29日发布集采文件，8月24日官宣正式中选结果，11月全国多地陆续落地集采结果；</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第四轮国采，2020年12月25日正式官宣，2021年2月8日中选结果公布；</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第五批国采2021年5月开始药品申报，6月正式结果公布；</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第六批国采2021年9月官宣，11月26日拟中选结果公布；</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第七批国采1月份开始官宣，由于疫情影响，7月13日公布拟中选结果。</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综合来看，每一批国采的报量发布时间间隔基本在半年左右，一年两批。</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董泽成认为，根据前几批国采的情况来看，第八批国采可能还是化药为主。化药集采近400个之后就是生物药和中成药，目前化药未集采已过一致性评价的较多，所以先以化药为主。集采已经常态化，后面可能还会有生物药和中成药专项集采。</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“按照以往几批国采的时间推算，下一批国采如果开始预计最早在十月底。”</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据“风云药谈”消息，目前化药综合满4家企业过评的有将近70个产品，包括磷酸西格列汀片、磷酸奥司他韦干混悬剂等（部分产品涉及专利问题）。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rPr>
      </w:pPr>
      <w:bookmarkStart w:id="0" w:name="_GoBack"/>
      <w:bookmarkEnd w:id="0"/>
      <w:r>
        <w:rPr>
          <w:rFonts w:hint="eastAsia" w:ascii="微软雅黑" w:hAnsi="微软雅黑" w:eastAsia="微软雅黑" w:cs="宋体"/>
          <w:b/>
          <w:color w:val="333333"/>
          <w:kern w:val="36"/>
          <w:sz w:val="24"/>
          <w:szCs w:val="24"/>
        </w:rPr>
        <w:t>附件</w:t>
      </w:r>
      <w:r>
        <w:rPr>
          <w:rFonts w:hint="eastAsia" w:ascii="微软雅黑" w:hAnsi="微软雅黑" w:eastAsia="微软雅黑" w:cs="宋体"/>
          <w:b/>
          <w:color w:val="333333"/>
          <w:kern w:val="36"/>
          <w:sz w:val="24"/>
          <w:szCs w:val="24"/>
          <w:lang w:val="en-US" w:eastAsia="zh-CN"/>
        </w:rPr>
        <w:t>3</w:t>
      </w:r>
      <w:r>
        <w:rPr>
          <w:rFonts w:hint="eastAsia" w:ascii="微软雅黑" w:hAnsi="微软雅黑" w:eastAsia="微软雅黑" w:cs="宋体"/>
          <w:b/>
          <w:color w:val="333333"/>
          <w:kern w:val="36"/>
          <w:sz w:val="24"/>
          <w:szCs w:val="24"/>
        </w:rPr>
        <w:t xml:space="preserve">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b/>
          <w:bCs/>
          <w:sz w:val="33"/>
          <w:szCs w:val="33"/>
        </w:rPr>
      </w:pPr>
      <w:r>
        <w:rPr>
          <w:rFonts w:hint="eastAsia"/>
          <w:b/>
          <w:bCs/>
          <w:sz w:val="33"/>
          <w:szCs w:val="33"/>
        </w:rPr>
        <w:t>医保局正式发文！大批药店参与集采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rPr>
          <w:rFonts w:hint="eastAsia" w:ascii="Microsoft YaHei UI" w:hAnsi="Microsoft YaHei UI" w:eastAsia="Microsoft YaHei UI" w:cs="Microsoft YaHei UI"/>
          <w:i w:val="0"/>
          <w:iCs w:val="0"/>
          <w:caps w:val="0"/>
          <w:color w:val="222222"/>
          <w:spacing w:val="8"/>
          <w:sz w:val="0"/>
          <w:szCs w:val="0"/>
        </w:rPr>
      </w:pPr>
      <w:r>
        <w:rPr>
          <w:rFonts w:hint="eastAsia" w:ascii="Microsoft YaHei UI" w:hAnsi="Microsoft YaHei UI" w:eastAsia="Microsoft YaHei UI" w:cs="Microsoft YaHei UI"/>
          <w:i w:val="0"/>
          <w:iCs w:val="0"/>
          <w:caps w:val="0"/>
          <w:color w:val="222222"/>
          <w:spacing w:val="0"/>
          <w:kern w:val="0"/>
          <w:sz w:val="18"/>
          <w:szCs w:val="18"/>
          <w:shd w:val="clear" w:fill="FFFFFF"/>
          <w:lang w:val="en-US" w:eastAsia="zh-CN" w:bidi="ar"/>
        </w:rPr>
        <w:t>原创</w:t>
      </w:r>
      <w:r>
        <w:rPr>
          <w:rFonts w:hint="eastAsia" w:ascii="Microsoft YaHei UI" w:hAnsi="Microsoft YaHei UI" w:eastAsia="Microsoft YaHei UI" w:cs="Microsoft YaHei UI"/>
          <w:i w:val="0"/>
          <w:iCs w:val="0"/>
          <w:caps w:val="0"/>
          <w:color w:val="222222"/>
          <w:spacing w:val="8"/>
          <w:kern w:val="0"/>
          <w:sz w:val="0"/>
          <w:szCs w:val="0"/>
          <w:shd w:val="clear" w:fill="FFFFFF"/>
          <w:lang w:val="en-US" w:eastAsia="zh-CN" w:bidi="ar"/>
        </w:rPr>
        <w:t> </w:t>
      </w:r>
      <w:r>
        <w:rPr>
          <w:rFonts w:hint="eastAsia" w:ascii="Microsoft YaHei UI" w:hAnsi="Microsoft YaHei UI" w:eastAsia="Microsoft YaHei UI" w:cs="Microsoft YaHei UI"/>
          <w:i w:val="0"/>
          <w:iCs w:val="0"/>
          <w:caps w:val="0"/>
          <w:color w:val="222222"/>
          <w:spacing w:val="8"/>
          <w:kern w:val="0"/>
          <w:sz w:val="22"/>
          <w:szCs w:val="22"/>
          <w:shd w:val="clear" w:fill="FFFFFF"/>
          <w:lang w:val="en-US" w:eastAsia="zh-CN" w:bidi="ar"/>
        </w:rPr>
        <w:t>淘淘</w:t>
      </w:r>
      <w:r>
        <w:rPr>
          <w:rFonts w:hint="eastAsia" w:ascii="Microsoft YaHei UI" w:hAnsi="Microsoft YaHei UI" w:eastAsia="Microsoft YaHei UI" w:cs="Microsoft YaHei UI"/>
          <w:i w:val="0"/>
          <w:iCs w:val="0"/>
          <w:caps w:val="0"/>
          <w:color w:val="222222"/>
          <w:spacing w:val="8"/>
          <w:kern w:val="0"/>
          <w:sz w:val="0"/>
          <w:szCs w:val="0"/>
          <w:shd w:val="clear" w:fill="FFFFFF"/>
          <w:lang w:val="en-US" w:eastAsia="zh-CN" w:bidi="ar"/>
        </w:rPr>
        <w:t> </w:t>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begin"/>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instrText xml:space="preserve"> HYPERLINK "javascript:void(0);" </w:instrText>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separate"/>
      </w:r>
      <w:r>
        <w:rPr>
          <w:rStyle w:val="16"/>
          <w:rFonts w:hint="eastAsia" w:ascii="Microsoft YaHei UI" w:hAnsi="Microsoft YaHei UI" w:eastAsia="Microsoft YaHei UI" w:cs="Microsoft YaHei UI"/>
          <w:i w:val="0"/>
          <w:iCs w:val="0"/>
          <w:caps w:val="0"/>
          <w:color w:val="576B95"/>
          <w:spacing w:val="8"/>
          <w:sz w:val="22"/>
          <w:szCs w:val="22"/>
          <w:u w:val="none"/>
          <w:shd w:val="clear" w:fill="FFFFFF"/>
        </w:rPr>
        <w:t>赛柏蓝</w:t>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end"/>
      </w:r>
      <w:r>
        <w:rPr>
          <w:rFonts w:hint="eastAsia" w:ascii="Microsoft YaHei UI" w:hAnsi="Microsoft YaHei UI" w:eastAsia="Microsoft YaHei UI" w:cs="Microsoft YaHei UI"/>
          <w:i w:val="0"/>
          <w:iCs w:val="0"/>
          <w:caps w:val="0"/>
          <w:color w:val="222222"/>
          <w:spacing w:val="8"/>
          <w:kern w:val="0"/>
          <w:sz w:val="0"/>
          <w:szCs w:val="0"/>
          <w:shd w:val="clear" w:fill="FFFFFF"/>
          <w:lang w:val="en-US" w:eastAsia="zh-CN" w:bidi="ar"/>
        </w:rPr>
        <w:t> </w:t>
      </w:r>
      <w:r>
        <w:rPr>
          <w:rStyle w:val="15"/>
          <w:rFonts w:hint="eastAsia" w:ascii="Microsoft YaHei UI" w:hAnsi="Microsoft YaHei UI" w:eastAsia="Microsoft YaHei UI" w:cs="Microsoft YaHei UI"/>
          <w:i w:val="0"/>
          <w:iCs w:val="0"/>
          <w:caps w:val="0"/>
          <w:color w:val="222222"/>
          <w:spacing w:val="8"/>
          <w:kern w:val="0"/>
          <w:sz w:val="22"/>
          <w:szCs w:val="22"/>
          <w:shd w:val="clear" w:fill="FFFFFF"/>
          <w:lang w:val="en-US" w:eastAsia="zh-CN" w:bidi="ar"/>
        </w:rPr>
        <w:t>2022-07-22 18:44</w:t>
      </w:r>
      <w:r>
        <w:rPr>
          <w:rFonts w:hint="eastAsia" w:ascii="Microsoft YaHei UI" w:hAnsi="Microsoft YaHei UI" w:eastAsia="Microsoft YaHei UI" w:cs="Microsoft YaHei UI"/>
          <w:i w:val="0"/>
          <w:iCs w:val="0"/>
          <w:caps w:val="0"/>
          <w:color w:val="222222"/>
          <w:spacing w:val="8"/>
          <w:kern w:val="0"/>
          <w:sz w:val="0"/>
          <w:szCs w:val="0"/>
          <w:shd w:val="clear" w:fill="FFFFFF"/>
          <w:lang w:val="en-US" w:eastAsia="zh-CN" w:bidi="ar"/>
        </w:rPr>
        <w:t> </w:t>
      </w:r>
      <w:r>
        <w:rPr>
          <w:rStyle w:val="15"/>
          <w:rFonts w:hint="eastAsia" w:ascii="Microsoft YaHei UI" w:hAnsi="Microsoft YaHei UI" w:eastAsia="Microsoft YaHei UI" w:cs="Microsoft YaHei UI"/>
          <w:i w:val="0"/>
          <w:iCs w:val="0"/>
          <w:caps w:val="0"/>
          <w:color w:val="222222"/>
          <w:spacing w:val="8"/>
          <w:kern w:val="0"/>
          <w:sz w:val="22"/>
          <w:szCs w:val="22"/>
          <w:shd w:val="clear" w:fill="FFFFFF"/>
          <w:lang w:val="en-US" w:eastAsia="zh-CN" w:bidi="ar"/>
        </w:rPr>
        <w:t>发表于北京</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222222"/>
          <w:spacing w:val="8"/>
          <w:sz w:val="24"/>
          <w:szCs w:val="24"/>
          <w:u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240" w:right="240" w:firstLine="0"/>
        <w:jc w:val="center"/>
        <w:rPr>
          <w:rFonts w:hint="eastAsia" w:ascii="Microsoft YaHei UI" w:hAnsi="Microsoft YaHei UI" w:eastAsia="Microsoft YaHei UI" w:cs="Microsoft YaHei UI"/>
          <w:i w:val="0"/>
          <w:iCs w:val="0"/>
          <w:caps w:val="0"/>
          <w:color w:val="222222"/>
          <w:spacing w:val="8"/>
          <w:sz w:val="24"/>
          <w:szCs w:val="24"/>
          <w:u w:val="none"/>
        </w:rPr>
      </w:pPr>
      <w:r>
        <w:rPr>
          <w:rStyle w:val="14"/>
          <w:rFonts w:hint="eastAsia" w:ascii="Microsoft YaHei UI" w:hAnsi="Microsoft YaHei UI" w:eastAsia="Microsoft YaHei UI" w:cs="Microsoft YaHei UI"/>
          <w:i/>
          <w:iCs/>
          <w:caps w:val="0"/>
          <w:color w:val="000000"/>
          <w:spacing w:val="30"/>
          <w:sz w:val="30"/>
          <w:szCs w:val="30"/>
          <w:u w:val="single"/>
          <w:shd w:val="clear" w:fill="FFFFFF"/>
        </w:rPr>
        <w:t>01</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6" w:beforeAutospacing="0" w:after="0" w:afterAutospacing="0" w:line="336" w:lineRule="atLeast"/>
        <w:ind w:left="240" w:right="240" w:firstLine="2249" w:firstLineChars="800"/>
        <w:jc w:val="both"/>
        <w:rPr>
          <w:rFonts w:hint="eastAsia" w:eastAsia="宋体" w:cs="Times New Roman" w:asciiTheme="minorEastAsia" w:hAnsiTheme="minorEastAsia"/>
          <w:b/>
          <w:bCs/>
          <w:color w:val="0070C0"/>
          <w:kern w:val="2"/>
          <w:sz w:val="28"/>
          <w:szCs w:val="28"/>
          <w:lang w:val="en-US" w:eastAsia="zh-CN" w:bidi="ar-SA"/>
        </w:rPr>
      </w:pPr>
      <w:r>
        <w:rPr>
          <w:rFonts w:hint="eastAsia" w:eastAsia="宋体" w:cs="Times New Roman" w:asciiTheme="minorEastAsia" w:hAnsiTheme="minorEastAsia"/>
          <w:b/>
          <w:bCs/>
          <w:color w:val="0070C0"/>
          <w:kern w:val="2"/>
          <w:sz w:val="28"/>
          <w:szCs w:val="28"/>
          <w:lang w:val="en-US" w:eastAsia="zh-CN" w:bidi="ar-SA"/>
        </w:rPr>
        <w:t>集采药进药店 正式落地</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0"/>
        <w:jc w:val="both"/>
        <w:rPr>
          <w:rFonts w:hint="eastAsia" w:ascii="Microsoft YaHei UI" w:hAnsi="Microsoft YaHei UI" w:eastAsia="Microsoft YaHei UI" w:cs="Microsoft YaHei UI"/>
          <w:i w:val="0"/>
          <w:iCs w:val="0"/>
          <w:caps w:val="0"/>
          <w:color w:val="333333"/>
          <w:spacing w:val="8"/>
          <w:sz w:val="25"/>
          <w:szCs w:val="25"/>
          <w:u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第七批国采刚结束不久，预计今年11月执行，一批集采低价药也有望在零售药店上架。</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ascii="Microsoft YaHei UI" w:hAnsi="Microsoft YaHei UI" w:eastAsia="Microsoft YaHei UI" w:cs="Microsoft YaHei UI"/>
          <w:i w:val="0"/>
          <w:iCs w:val="0"/>
          <w:caps w:val="0"/>
          <w:color w:val="333333"/>
          <w:spacing w:val="8"/>
          <w:sz w:val="25"/>
          <w:szCs w:val="25"/>
          <w:u w:val="none"/>
        </w:rPr>
      </w:pPr>
      <w:r>
        <w:rPr>
          <w:rFonts w:hint="eastAsia" w:eastAsia="宋体" w:cs="Times New Roman" w:asciiTheme="minorEastAsia" w:hAnsiTheme="minorEastAsia"/>
          <w:color w:val="auto"/>
          <w:kern w:val="2"/>
          <w:sz w:val="28"/>
          <w:szCs w:val="28"/>
          <w:lang w:val="en-US" w:eastAsia="zh-CN" w:bidi="ar-SA"/>
        </w:rPr>
        <w:t>昨天（7月21日），江苏省医保局发布《 关于开展医保定点零售药店参与带量采购和阳光采购工作的通知（征求意见稿）》（下称《意见稿》），为定点药店如何参与带量采购做出流程指引。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333333"/>
          <w:spacing w:val="8"/>
          <w:sz w:val="25"/>
          <w:szCs w:val="25"/>
          <w:u w:val="none"/>
        </w:rPr>
      </w:pPr>
      <w:r>
        <w:rPr>
          <w:rFonts w:hint="eastAsia" w:ascii="Microsoft YaHei UI" w:hAnsi="Microsoft YaHei UI" w:eastAsia="Microsoft YaHei UI" w:cs="Microsoft YaHei UI"/>
          <w:i w:val="0"/>
          <w:iCs w:val="0"/>
          <w:caps w:val="0"/>
          <w:color w:val="222222"/>
          <w:spacing w:val="8"/>
          <w:sz w:val="24"/>
          <w:szCs w:val="24"/>
          <w:shd w:val="clear" w:fill="FFFFFF"/>
        </w:rPr>
        <w:drawing>
          <wp:inline distT="0" distB="0" distL="114300" distR="114300">
            <wp:extent cx="5278755" cy="2558415"/>
            <wp:effectExtent l="0" t="0" r="17145" b="13335"/>
            <wp:docPr id="76" name="图片 5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4" descr="IMG_257"/>
                    <pic:cNvPicPr>
                      <a:picLocks noChangeAspect="1"/>
                    </pic:cNvPicPr>
                  </pic:nvPicPr>
                  <pic:blipFill>
                    <a:blip r:embed="rId10"/>
                    <a:stretch>
                      <a:fillRect/>
                    </a:stretch>
                  </pic:blipFill>
                  <pic:spPr>
                    <a:xfrm>
                      <a:off x="0" y="0"/>
                      <a:ext cx="5278755" cy="255841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《通知》明确了省药品（医用耗材）阳光采购和综合监管平台向省内医保定点零售药店开放，定点药店参与报量、按约定采购量执行， 省平台所有挂网药品，定点药店均可采购。</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除浙江外，已有广东、山东、河南、河北、湖南、云南等多个省市发文，在执行国采中选结果时将执行机构覆盖到定点零售药店。</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不过，河南省只对部分零售连锁药店纳入河南省药品集中带量采购试点范围，惹得单体药店眼红。</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相比于其他省份，江苏省的政策有一定的“独特性”，首先是并没有对药店的类型进行限制，只规定了“不良”的药店不得参与外 ，对是否是连锁型药店没有要求，换言之单体药店也能参与，这让单体药店有了公平参与的机会。</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0"/>
        <w:jc w:val="both"/>
        <w:rPr>
          <w:rFonts w:hint="eastAsia" w:eastAsia="宋体" w:cs="Times New Roman" w:asciiTheme="minorEastAsia" w:hAnsiTheme="minorEastAsia"/>
          <w:color w:val="auto"/>
          <w:kern w:val="2"/>
          <w:sz w:val="28"/>
          <w:szCs w:val="28"/>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0"/>
        <w:jc w:val="both"/>
        <w:rPr>
          <w:rFonts w:hint="eastAsia" w:ascii="Microsoft YaHei UI" w:hAnsi="Microsoft YaHei UI" w:eastAsia="Microsoft YaHei UI" w:cs="Microsoft YaHei UI"/>
          <w:i w:val="0"/>
          <w:iCs w:val="0"/>
          <w:caps w:val="0"/>
          <w:color w:val="333333"/>
          <w:spacing w:val="8"/>
          <w:sz w:val="25"/>
          <w:szCs w:val="25"/>
          <w:u w:val="none"/>
        </w:rPr>
      </w:pPr>
      <w:r>
        <w:rPr>
          <w:rFonts w:hint="eastAsia" w:ascii="Microsoft YaHei UI" w:hAnsi="Microsoft YaHei UI" w:eastAsia="Microsoft YaHei UI" w:cs="Microsoft YaHei UI"/>
          <w:i w:val="0"/>
          <w:iCs w:val="0"/>
          <w:caps w:val="0"/>
          <w:color w:val="333333"/>
          <w:spacing w:val="8"/>
          <w:sz w:val="25"/>
          <w:szCs w:val="25"/>
          <w:u w:val="none"/>
          <w:shd w:val="clear" w:fill="FFFFFF"/>
        </w:rPr>
        <w:drawing>
          <wp:inline distT="0" distB="0" distL="114300" distR="114300">
            <wp:extent cx="5139055" cy="1640840"/>
            <wp:effectExtent l="0" t="0" r="4445" b="16510"/>
            <wp:docPr id="74" name="图片 5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6" descr="IMG_259"/>
                    <pic:cNvPicPr>
                      <a:picLocks noChangeAspect="1"/>
                    </pic:cNvPicPr>
                  </pic:nvPicPr>
                  <pic:blipFill>
                    <a:blip r:embed="rId11"/>
                    <a:stretch>
                      <a:fillRect/>
                    </a:stretch>
                  </pic:blipFill>
                  <pic:spPr>
                    <a:xfrm>
                      <a:off x="0" y="0"/>
                      <a:ext cx="5139055" cy="164084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与河南省允许定点药店加成15%内销售不同，江苏省要求实行“零差率”销售。同时，《通知》向定点药店开放了省平台的所有药品，除带量采购中选药品、国家谈判药品、省级储备药品外的其他阳光挂网药品，定点药店应主动在省平台开展议价，按议价结果采购，并在不高于挂网价前提下合理确定销售价格。</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0"/>
        <w:jc w:val="both"/>
        <w:rPr>
          <w:rFonts w:hint="eastAsia" w:ascii="Microsoft YaHei UI" w:hAnsi="Microsoft YaHei UI" w:eastAsia="Microsoft YaHei UI" w:cs="Microsoft YaHei UI"/>
          <w:i w:val="0"/>
          <w:iCs w:val="0"/>
          <w:caps w:val="0"/>
          <w:color w:val="333333"/>
          <w:spacing w:val="8"/>
          <w:sz w:val="25"/>
          <w:szCs w:val="25"/>
          <w:u w:val="none"/>
        </w:rPr>
      </w:pPr>
      <w:r>
        <w:rPr>
          <w:rFonts w:hint="eastAsia" w:ascii="Microsoft YaHei UI" w:hAnsi="Microsoft YaHei UI" w:eastAsia="Microsoft YaHei UI" w:cs="Microsoft YaHei UI"/>
          <w:i w:val="0"/>
          <w:iCs w:val="0"/>
          <w:caps w:val="0"/>
          <w:color w:val="333333"/>
          <w:spacing w:val="8"/>
          <w:sz w:val="25"/>
          <w:szCs w:val="25"/>
          <w:u w:val="none"/>
          <w:shd w:val="clear" w:fill="FFFFFF"/>
        </w:rPr>
        <w:drawing>
          <wp:inline distT="0" distB="0" distL="114300" distR="114300">
            <wp:extent cx="5151755" cy="2809875"/>
            <wp:effectExtent l="0" t="0" r="10795" b="9525"/>
            <wp:docPr id="77" name="图片 5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7" descr="IMG_260"/>
                    <pic:cNvPicPr>
                      <a:picLocks noChangeAspect="1"/>
                    </pic:cNvPicPr>
                  </pic:nvPicPr>
                  <pic:blipFill>
                    <a:blip r:embed="rId12"/>
                    <a:stretch>
                      <a:fillRect/>
                    </a:stretch>
                  </pic:blipFill>
                  <pic:spPr>
                    <a:xfrm>
                      <a:off x="0" y="0"/>
                      <a:ext cx="5151755" cy="280987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需要注意的是，政策目前还处于征求意见阶段，具体的规定还要等之后正式文件的发布，预计很快就能实行。</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240" w:right="240" w:firstLine="0"/>
        <w:jc w:val="center"/>
        <w:rPr>
          <w:rFonts w:hint="eastAsia" w:ascii="Microsoft YaHei UI" w:hAnsi="Microsoft YaHei UI" w:eastAsia="Microsoft YaHei UI" w:cs="Microsoft YaHei UI"/>
          <w:i w:val="0"/>
          <w:iCs w:val="0"/>
          <w:caps w:val="0"/>
          <w:color w:val="222222"/>
          <w:spacing w:val="8"/>
          <w:sz w:val="24"/>
          <w:szCs w:val="24"/>
          <w:u w:val="none"/>
        </w:rPr>
      </w:pPr>
      <w:r>
        <w:rPr>
          <w:rStyle w:val="14"/>
          <w:rFonts w:hint="eastAsia" w:ascii="Microsoft YaHei UI" w:hAnsi="Microsoft YaHei UI" w:eastAsia="Microsoft YaHei UI" w:cs="Microsoft YaHei UI"/>
          <w:i/>
          <w:iCs/>
          <w:caps w:val="0"/>
          <w:color w:val="000000"/>
          <w:spacing w:val="30"/>
          <w:sz w:val="30"/>
          <w:szCs w:val="30"/>
          <w:u w:val="single"/>
          <w:shd w:val="clear" w:fill="FFFFFF"/>
        </w:rPr>
        <w:t>02</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6" w:beforeAutospacing="0" w:after="0" w:afterAutospacing="0" w:line="336" w:lineRule="atLeast"/>
        <w:ind w:left="240" w:right="240" w:firstLine="2249" w:firstLineChars="800"/>
        <w:jc w:val="both"/>
        <w:rPr>
          <w:rFonts w:hint="eastAsia" w:eastAsia="宋体" w:cs="Times New Roman" w:asciiTheme="minorEastAsia" w:hAnsiTheme="minorEastAsia"/>
          <w:b/>
          <w:bCs/>
          <w:color w:val="0070C0"/>
          <w:kern w:val="2"/>
          <w:sz w:val="28"/>
          <w:szCs w:val="28"/>
          <w:lang w:val="en-US" w:eastAsia="zh-CN" w:bidi="ar-SA"/>
        </w:rPr>
      </w:pPr>
      <w:r>
        <w:rPr>
          <w:rFonts w:hint="eastAsia" w:eastAsia="宋体" w:cs="Times New Roman" w:asciiTheme="minorEastAsia" w:hAnsiTheme="minorEastAsia"/>
          <w:b/>
          <w:bCs/>
          <w:color w:val="0070C0"/>
          <w:kern w:val="2"/>
          <w:sz w:val="28"/>
          <w:szCs w:val="28"/>
          <w:lang w:val="en-US" w:eastAsia="zh-CN" w:bidi="ar-SA"/>
        </w:rPr>
        <w:t>药店期盼政策落地执行</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0" w:lineRule="atLeast"/>
        <w:ind w:left="0" w:right="0"/>
        <w:jc w:val="center"/>
        <w:rPr>
          <w:color w:val="494949"/>
          <w:sz w:val="22"/>
          <w:szCs w:val="22"/>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其实，早在2020年4月13日，江苏省医保局就发布《关于落实第二批国家组织药品集中采购和使用工作的通知》，明确医保定点社会办医疗机构和医保定点零售药店可自愿参加，在落实各项政策要求后，采购使用相关中选药品，为全国首个开放零售药店销售集采药的省份。</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药店想进集采药的态度是明确的，只是去年发文的时候并没有激起多少水花，政策也没有下达到执行层面。</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江苏徐州一家单体药店的经营者告诉赛柏蓝，之前他考虑过申报，但由于没有具体指引，他没有太当回事。“我周围的药店老板很少有人申报，可能大型连锁药店操作起来会容易一些，单体药店操作很麻烦，实际可操作的空间很小。”</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该名药店老板表示，去年只是发布了一个通知，但离最终执行还有一段距离，政策能不能执行，如何执行在当时都是未知的。曾有单体药店的老板去询问如何采购集采中选产品，最后也不了了之。</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今年5月11日，江苏省医保民生实事工作推进会暨新闻通气会上，医保局表示通过在乡镇(街道)遴选定点零售药店，建设“医保便民药店”，设置集采药品和国家谈判药品专柜，被列入江苏省医保部门重点实施的医保民生实事之一，并计划在年内实现医保便民药店首先在省、市“15分钟服务圈示范点”全覆盖。</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“5月省医保局说找几家本地的药店做零差价柜台，我们也联系了医保局，但后面也没了动静。”上述药店老板说。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此前关于集采药进药店的政策，从政策端的角度来说，更多是释放了一个市场信号，看在零售药店的反响如何；而对零售药店来说，则是在观望，看政策能否最终执行。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这一次，在零售药店看来，政策真的要落地了。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“这次给的操作空间就比较明确了，有了具体的申报平台，申报需要准备什么材料，什么药店不能申报都有指引，在线上就可以直接采购。”</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0"/>
        <w:jc w:val="both"/>
        <w:rPr>
          <w:rFonts w:hint="eastAsia" w:eastAsia="宋体" w:cs="Times New Roman" w:asciiTheme="minorEastAsia" w:hAnsiTheme="minorEastAsia"/>
          <w:color w:val="auto"/>
          <w:kern w:val="2"/>
          <w:sz w:val="28"/>
          <w:szCs w:val="28"/>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240" w:right="240" w:firstLine="0"/>
        <w:jc w:val="center"/>
        <w:rPr>
          <w:rFonts w:hint="eastAsia" w:ascii="Microsoft YaHei UI" w:hAnsi="Microsoft YaHei UI" w:eastAsia="Microsoft YaHei UI" w:cs="Microsoft YaHei UI"/>
          <w:i w:val="0"/>
          <w:iCs w:val="0"/>
          <w:caps w:val="0"/>
          <w:color w:val="222222"/>
          <w:spacing w:val="8"/>
          <w:sz w:val="24"/>
          <w:szCs w:val="24"/>
          <w:u w:val="none"/>
        </w:rPr>
      </w:pPr>
      <w:r>
        <w:rPr>
          <w:rStyle w:val="14"/>
          <w:rFonts w:hint="eastAsia" w:ascii="Microsoft YaHei UI" w:hAnsi="Microsoft YaHei UI" w:eastAsia="Microsoft YaHei UI" w:cs="Microsoft YaHei UI"/>
          <w:i/>
          <w:iCs/>
          <w:caps w:val="0"/>
          <w:color w:val="000000"/>
          <w:spacing w:val="30"/>
          <w:sz w:val="30"/>
          <w:szCs w:val="30"/>
          <w:u w:val="single"/>
          <w:shd w:val="clear" w:fill="FFFFFF"/>
        </w:rPr>
        <w:t>03</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6" w:beforeAutospacing="0" w:after="0" w:afterAutospacing="0" w:line="336" w:lineRule="atLeast"/>
        <w:ind w:right="240" w:firstLine="3373" w:firstLineChars="1200"/>
        <w:jc w:val="both"/>
        <w:rPr>
          <w:rFonts w:hint="eastAsia" w:ascii="Microsoft YaHei UI" w:hAnsi="Microsoft YaHei UI" w:eastAsia="Microsoft YaHei UI" w:cs="Microsoft YaHei UI"/>
          <w:i w:val="0"/>
          <w:iCs w:val="0"/>
          <w:caps w:val="0"/>
          <w:color w:val="333333"/>
          <w:spacing w:val="8"/>
          <w:sz w:val="25"/>
          <w:szCs w:val="25"/>
          <w:u w:val="none"/>
        </w:rPr>
      </w:pPr>
      <w:r>
        <w:rPr>
          <w:rFonts w:hint="eastAsia" w:eastAsia="宋体" w:cs="Times New Roman" w:asciiTheme="minorEastAsia" w:hAnsiTheme="minorEastAsia"/>
          <w:b/>
          <w:bCs/>
          <w:color w:val="0070C0"/>
          <w:kern w:val="2"/>
          <w:sz w:val="28"/>
          <w:szCs w:val="28"/>
          <w:lang w:val="en-US" w:eastAsia="zh-CN" w:bidi="ar-SA"/>
        </w:rPr>
        <w:t>亏本也要做</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对于“零差率”，有部分人士认为，药店进集采药的积极性不大，因为算上药店的人工、房租、水电等成本，“零差率”销售对零售药店来说是亏本买卖。</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但即使亏本，药店也在摩拳擦掌准备迎接集采药。“这属于人有，你必须有的东西，你没有，别人卖得比你便宜，顾客就不光顾你了 。”上述药店老板说。</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自集采启动后，由于集采药品在院内院外倒挂严重，导致不少患者从药店回流到医院。除了来自同行间的竞争，零售药店也希望借助集采药缩短与医院的差距，留住顾客。同时，集采药作为引流的产品，还能提高药店总体的单量。</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当然，药店也会控制店内集采药的比例，以保证足够的盈利。该药店老板举例，如果一家药店有3000个品种，进300到500个集采品种已经算比较多的，剩下2500多个非集采品种，仍有一定的盈利空间。</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不过，一些具有地理优势的零售药店，可能会更有底气地选择是否进集采药。“那种开在小区周边，顾客以老年人为主的店，顾客群体相对固定的药店，如果进集采药，反而会损失掉原先的利润。”</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从药店经营者的角度，集采药进药店，不能说完全利好，毕竟药店是亏钱在做，短期来看，药价大幅下降，而量又跟不上时，可以预见的是药店的销售额会下滑。等一两年后，当药店的集采药开始放量，顾客重新回流时，才能尝到当中的甜。</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值得注意的是，根据《通知》，药店在报量后，要与供应企业补签带量购销合同，并按要求完成约定采购量，无正当理由不完成合同约定采购量或不按约定结算货款等行为的， 暂停或取消参与带量采购资格。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这意味着，药店报多少，无论卖不卖得出去，都得自行消化掉，因此，在初期，药店选择集采药品种类和数量时，会相当谨慎，尤其对抗风险能力低的单体药店来说。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药店要根据周围人群来确定进哪些药，一些店内本来就有销售的常用药会进一些，但一些慢病药、特药还需要一段时间进行摸索和筛选，因为这些药过去患者去医院开比较多，前期他们不知道药店也是零差价，可能还会倾向去医院开。而药店之前没卖过这些药，也不知道顾客需要什么”上述药店老板说。</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然而，集采药品在进药店的同时，也加大了监管的难度。</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《通知》提到， 各地医保部门应加强对定点药店销售带量采购中选药品的监管，对存在未按“零差率”销售带量采购中选药品、借销售带量采购中选药品搭售或捆绑销售其他药品、倒卖带量采购中选药品，暂停或取消参与带量采购资格，情节严重的，暂停或取消医保定点资格。</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零差率”相对要好监管，医保部门只要调取药店的数据，就一目了然。捆绑销售对顾客的消费体验并不好。监管难度大的是倒卖带量采购中选药品，由于集采药价格低，不排除定点药店与药贩子合谋，将低价的集采药向其他省份倒卖，或倒卖给本省不满足进集采药的药店，挣取差价。或者是约定的采购量卖不完，将剩余的量转给其他药店。</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事实上，倒卖药品的行为一直屡禁不止，在医保局公布的骗保案例里也经常看到，某些医保定点药店会合谋倒卖医保药品。只要有挣钱的地方，就一定会有人铤而走险。</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随着越来越多地区被纳入试点，可以预测的是集采药进药店将会是未来的趋势。</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国内某药企市场总监董泽成曾对赛柏蓝表示，总体上看企业还是不希望零售药店进集采的，因为低价的集采药会冲击原有OTC市场的销售。最难的还是药企的销售人员，药店与企业直接联系，就不需要他们，生存空间进一步压缩。</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改革，总是有人欢喜有人愁。</w:t>
      </w:r>
    </w:p>
    <w:p>
      <w:pPr>
        <w:rPr>
          <w:rFonts w:hint="eastAsi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lang w:val="en-US" w:eastAsia="zh-CN"/>
        </w:rPr>
      </w:pPr>
      <w:r>
        <w:rPr>
          <w:rFonts w:hint="eastAsia" w:ascii="微软雅黑" w:hAnsi="微软雅黑" w:eastAsia="微软雅黑" w:cs="宋体"/>
          <w:b/>
          <w:color w:val="333333"/>
          <w:kern w:val="36"/>
          <w:sz w:val="24"/>
          <w:szCs w:val="24"/>
        </w:rPr>
        <w:t>附件</w:t>
      </w:r>
      <w:r>
        <w:rPr>
          <w:rFonts w:hint="eastAsia" w:ascii="微软雅黑" w:hAnsi="微软雅黑" w:eastAsia="微软雅黑" w:cs="宋体"/>
          <w:b/>
          <w:color w:val="333333"/>
          <w:kern w:val="36"/>
          <w:sz w:val="24"/>
          <w:szCs w:val="24"/>
          <w:lang w:val="en-US" w:eastAsia="zh-CN"/>
        </w:rPr>
        <w:t xml:space="preserve">4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b/>
          <w:bCs/>
          <w:sz w:val="33"/>
          <w:szCs w:val="33"/>
        </w:rPr>
      </w:pPr>
      <w:r>
        <w:rPr>
          <w:rFonts w:hint="eastAsia"/>
          <w:b/>
          <w:bCs/>
          <w:sz w:val="33"/>
          <w:szCs w:val="33"/>
        </w:rPr>
        <w:t>5月零售药店市场分析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rPr>
          <w:rFonts w:hint="eastAsia" w:ascii="Microsoft YaHei UI" w:hAnsi="Microsoft YaHei UI" w:eastAsia="Microsoft YaHei UI" w:cs="Microsoft YaHei UI"/>
          <w:i w:val="0"/>
          <w:iCs w:val="0"/>
          <w:caps w:val="0"/>
          <w:color w:val="222222"/>
          <w:spacing w:val="8"/>
          <w:sz w:val="21"/>
          <w:szCs w:val="21"/>
          <w:u w:val="none"/>
        </w:rPr>
      </w:pPr>
      <w:r>
        <w:rPr>
          <w:rFonts w:hint="eastAsia" w:ascii="Microsoft YaHei UI" w:hAnsi="Microsoft YaHei UI" w:eastAsia="Microsoft YaHei UI" w:cs="Microsoft YaHei UI"/>
          <w:i w:val="0"/>
          <w:iCs w:val="0"/>
          <w:caps w:val="0"/>
          <w:color w:val="222222"/>
          <w:spacing w:val="8"/>
          <w:kern w:val="0"/>
          <w:sz w:val="22"/>
          <w:szCs w:val="22"/>
          <w:shd w:val="clear" w:fill="FFFFFF"/>
          <w:lang w:val="en-US" w:eastAsia="zh-CN" w:bidi="ar"/>
        </w:rPr>
        <w:t>想被你关注的</w:t>
      </w:r>
      <w:r>
        <w:rPr>
          <w:rFonts w:hint="eastAsia" w:ascii="Microsoft YaHei UI" w:hAnsi="Microsoft YaHei UI" w:eastAsia="Microsoft YaHei UI" w:cs="Microsoft YaHei UI"/>
          <w:i w:val="0"/>
          <w:iCs w:val="0"/>
          <w:caps w:val="0"/>
          <w:color w:val="222222"/>
          <w:spacing w:val="8"/>
          <w:kern w:val="0"/>
          <w:sz w:val="0"/>
          <w:szCs w:val="0"/>
          <w:shd w:val="clear" w:fill="FFFFFF"/>
          <w:lang w:val="en-US" w:eastAsia="zh-CN" w:bidi="ar"/>
        </w:rPr>
        <w:t> </w:t>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begin"/>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instrText xml:space="preserve"> HYPERLINK "javascript:void(0);" </w:instrText>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separate"/>
      </w:r>
      <w:r>
        <w:rPr>
          <w:rStyle w:val="16"/>
          <w:rFonts w:hint="eastAsia" w:ascii="Microsoft YaHei UI" w:hAnsi="Microsoft YaHei UI" w:eastAsia="Microsoft YaHei UI" w:cs="Microsoft YaHei UI"/>
          <w:i w:val="0"/>
          <w:iCs w:val="0"/>
          <w:caps w:val="0"/>
          <w:color w:val="576B95"/>
          <w:spacing w:val="8"/>
          <w:sz w:val="22"/>
          <w:szCs w:val="22"/>
          <w:u w:val="none"/>
          <w:shd w:val="clear" w:fill="FFFFFF"/>
        </w:rPr>
        <w:t>第一药店财智</w:t>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end"/>
      </w:r>
      <w:r>
        <w:rPr>
          <w:rFonts w:hint="eastAsia" w:ascii="Microsoft YaHei UI" w:hAnsi="Microsoft YaHei UI" w:eastAsia="Microsoft YaHei UI" w:cs="Microsoft YaHei UI"/>
          <w:i w:val="0"/>
          <w:iCs w:val="0"/>
          <w:caps w:val="0"/>
          <w:color w:val="222222"/>
          <w:spacing w:val="8"/>
          <w:kern w:val="0"/>
          <w:sz w:val="0"/>
          <w:szCs w:val="0"/>
          <w:shd w:val="clear" w:fill="FFFFFF"/>
          <w:lang w:val="en-US" w:eastAsia="zh-CN" w:bidi="ar"/>
        </w:rPr>
        <w:t> </w:t>
      </w:r>
      <w:r>
        <w:rPr>
          <w:rStyle w:val="15"/>
          <w:rFonts w:hint="eastAsia" w:ascii="Microsoft YaHei UI" w:hAnsi="Microsoft YaHei UI" w:eastAsia="Microsoft YaHei UI" w:cs="Microsoft YaHei UI"/>
          <w:i w:val="0"/>
          <w:iCs w:val="0"/>
          <w:caps w:val="0"/>
          <w:color w:val="222222"/>
          <w:spacing w:val="8"/>
          <w:kern w:val="0"/>
          <w:sz w:val="22"/>
          <w:szCs w:val="22"/>
          <w:shd w:val="clear" w:fill="FFFFFF"/>
          <w:lang w:val="en-US" w:eastAsia="zh-CN" w:bidi="ar"/>
        </w:rPr>
        <w:t>2022-07-23 19:29</w:t>
      </w:r>
      <w:r>
        <w:rPr>
          <w:rFonts w:hint="eastAsia" w:ascii="Microsoft YaHei UI" w:hAnsi="Microsoft YaHei UI" w:eastAsia="Microsoft YaHei UI" w:cs="Microsoft YaHei UI"/>
          <w:i w:val="0"/>
          <w:iCs w:val="0"/>
          <w:caps w:val="0"/>
          <w:color w:val="222222"/>
          <w:spacing w:val="8"/>
          <w:kern w:val="0"/>
          <w:sz w:val="0"/>
          <w:szCs w:val="0"/>
          <w:shd w:val="clear" w:fill="FFFFFF"/>
          <w:lang w:val="en-US" w:eastAsia="zh-CN" w:bidi="ar"/>
        </w:rPr>
        <w:t> </w:t>
      </w:r>
      <w:r>
        <w:rPr>
          <w:rStyle w:val="15"/>
          <w:rFonts w:hint="eastAsia" w:ascii="Microsoft YaHei UI" w:hAnsi="Microsoft YaHei UI" w:eastAsia="Microsoft YaHei UI" w:cs="Microsoft YaHei UI"/>
          <w:i w:val="0"/>
          <w:iCs w:val="0"/>
          <w:caps w:val="0"/>
          <w:color w:val="222222"/>
          <w:spacing w:val="8"/>
          <w:kern w:val="0"/>
          <w:sz w:val="22"/>
          <w:szCs w:val="22"/>
          <w:shd w:val="clear" w:fill="FFFFFF"/>
          <w:lang w:val="en-US" w:eastAsia="zh-CN" w:bidi="ar"/>
        </w:rPr>
        <w:t>发表于广东</w:t>
      </w:r>
      <w:r>
        <w:rPr>
          <w:rFonts w:hint="eastAsia" w:ascii="Microsoft YaHei UI" w:hAnsi="Microsoft YaHei UI" w:eastAsia="Microsoft YaHei UI" w:cs="Microsoft YaHei UI"/>
          <w:i w:val="0"/>
          <w:iCs w:val="0"/>
          <w:caps w:val="0"/>
          <w:color w:val="222222"/>
          <w:spacing w:val="8"/>
          <w:sz w:val="25"/>
          <w:szCs w:val="25"/>
          <w:shd w:val="clear" w:fill="FFFFFF"/>
        </w:rPr>
        <w:drawing>
          <wp:inline distT="0" distB="0" distL="114300" distR="114300">
            <wp:extent cx="304800" cy="304800"/>
            <wp:effectExtent l="0" t="0" r="0" b="0"/>
            <wp:docPr id="87" name="图片 5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58" descr="IMG_256"/>
                    <pic:cNvPicPr>
                      <a:picLocks noChangeAspect="1"/>
                    </pic:cNvPicPr>
                  </pic:nvPicPr>
                  <pic:blipFill>
                    <a:blip r:embed="rId13"/>
                    <a:stretch>
                      <a:fillRect/>
                    </a:stretch>
                  </pic:blipFill>
                  <pic:spPr>
                    <a:xfrm>
                      <a:off x="0" y="0"/>
                      <a:ext cx="304800" cy="30480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b/>
          <w:bCs/>
          <w:i w:val="0"/>
          <w:iCs w:val="0"/>
          <w:caps w:val="0"/>
          <w:color w:val="CD0202"/>
          <w:spacing w:val="8"/>
          <w:sz w:val="60"/>
          <w:szCs w:val="60"/>
          <w:shd w:val="clear" w:fill="FFFFFF"/>
        </w:rPr>
        <w:t>01</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both"/>
      </w:pPr>
      <w:r>
        <w:rPr>
          <w:rStyle w:val="14"/>
          <w:rFonts w:hint="eastAsia" w:ascii="Microsoft YaHei UI" w:hAnsi="Microsoft YaHei UI" w:eastAsia="Microsoft YaHei UI" w:cs="Microsoft YaHei UI"/>
          <w:i w:val="0"/>
          <w:iCs w:val="0"/>
          <w:caps w:val="0"/>
          <w:color w:val="222222"/>
          <w:spacing w:val="30"/>
          <w:sz w:val="22"/>
          <w:szCs w:val="22"/>
          <w:shd w:val="clear" w:fill="FFFFFF"/>
        </w:rPr>
        <w:t>中国零售药店市场发展概况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both"/>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222222"/>
          <w:spacing w:val="8"/>
          <w:sz w:val="21"/>
          <w:szCs w:val="21"/>
        </w:rPr>
      </w:pPr>
      <w:r>
        <w:rPr>
          <w:rStyle w:val="14"/>
          <w:rFonts w:hint="eastAsia" w:ascii="Microsoft YaHei UI" w:hAnsi="Microsoft YaHei UI" w:eastAsia="Microsoft YaHei UI" w:cs="Microsoft YaHei UI"/>
          <w:i w:val="0"/>
          <w:iCs w:val="0"/>
          <w:caps w:val="0"/>
          <w:color w:val="222222"/>
          <w:spacing w:val="8"/>
          <w:sz w:val="22"/>
          <w:szCs w:val="22"/>
          <w:shd w:val="clear" w:fill="FFFFFF"/>
        </w:rPr>
        <w:t>1.中国零售药店市场发展趋势</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YTD2205中国零售药店销售额为2,062亿元，同比增长2.8%；聚焦到今年5月份，全国零售药店规模同比增长3.2%，以化学药为主要增长贡献。</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YTD（Year to day）：表示年至今，目标年份的1月至当月指标的总和。</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0"/>
        <w:jc w:val="both"/>
        <w:rPr>
          <w:rFonts w:hint="eastAsia" w:eastAsia="宋体" w:cs="Times New Roman" w:asciiTheme="minorEastAsia" w:hAnsiTheme="minorEastAsia"/>
          <w:color w:val="auto"/>
          <w:kern w:val="2"/>
          <w:sz w:val="28"/>
          <w:szCs w:val="28"/>
          <w:lang w:val="en-US" w:eastAsia="zh-CN" w:bidi="ar-SA"/>
        </w:rPr>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269865" cy="2869565"/>
            <wp:effectExtent l="0" t="0" r="6985" b="6985"/>
            <wp:docPr id="91" name="图片 6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0" descr="IMG_258"/>
                    <pic:cNvPicPr>
                      <a:picLocks noChangeAspect="1"/>
                    </pic:cNvPicPr>
                  </pic:nvPicPr>
                  <pic:blipFill>
                    <a:blip r:embed="rId14"/>
                    <a:stretch>
                      <a:fillRect/>
                    </a:stretch>
                  </pic:blipFill>
                  <pic:spPr>
                    <a:xfrm>
                      <a:off x="0" y="0"/>
                      <a:ext cx="5269865" cy="286956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222222"/>
          <w:spacing w:val="8"/>
          <w:sz w:val="18"/>
          <w:szCs w:val="18"/>
          <w:shd w:val="clear" w:fill="FFFFFF"/>
        </w:rPr>
        <w:t>数据来源：中康CMH</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222222"/>
          <w:spacing w:val="8"/>
          <w:sz w:val="21"/>
          <w:szCs w:val="21"/>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222222"/>
          <w:spacing w:val="8"/>
          <w:sz w:val="21"/>
          <w:szCs w:val="21"/>
        </w:rPr>
      </w:pPr>
      <w:r>
        <w:rPr>
          <w:rStyle w:val="14"/>
          <w:rFonts w:hint="eastAsia" w:ascii="Microsoft YaHei UI" w:hAnsi="Microsoft YaHei UI" w:eastAsia="Microsoft YaHei UI" w:cs="Microsoft YaHei UI"/>
          <w:i w:val="0"/>
          <w:iCs w:val="0"/>
          <w:caps w:val="0"/>
          <w:color w:val="222222"/>
          <w:spacing w:val="8"/>
          <w:sz w:val="22"/>
          <w:szCs w:val="22"/>
          <w:shd w:val="clear" w:fill="FFFFFF"/>
        </w:rPr>
        <w:t>2.药品 vs 非药品：5月份中药饮片、保健品及健康食品整体恢复正向增长</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药品市场中，化学药保持稳健增长，生物制品规模增长放缓，中成药因个别地区疫情反复四药限售影响，销售额仍略有下滑。</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非药市场中，医疗器械产品需求伴随疫情持续旺盛，销售额双位数增长；5月份中药饮片、保健品及健康食品恢复正向增长。</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285740" cy="3150235"/>
            <wp:effectExtent l="0" t="0" r="10160" b="12065"/>
            <wp:docPr id="88" name="图片 61"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61" descr="IMG_259"/>
                    <pic:cNvPicPr>
                      <a:picLocks noChangeAspect="1"/>
                    </pic:cNvPicPr>
                  </pic:nvPicPr>
                  <pic:blipFill>
                    <a:blip r:embed="rId15"/>
                    <a:stretch>
                      <a:fillRect/>
                    </a:stretch>
                  </pic:blipFill>
                  <pic:spPr>
                    <a:xfrm>
                      <a:off x="0" y="0"/>
                      <a:ext cx="5285740" cy="315023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Microsoft YaHei UI" w:hAnsi="Microsoft YaHei UI" w:eastAsia="Microsoft YaHei UI" w:cs="Microsoft YaHei UI"/>
          <w:i w:val="0"/>
          <w:iCs w:val="0"/>
          <w:caps w:val="0"/>
          <w:color w:val="222222"/>
          <w:spacing w:val="8"/>
          <w:sz w:val="21"/>
          <w:szCs w:val="21"/>
        </w:rPr>
      </w:pPr>
      <w:r>
        <w:rPr>
          <w:rFonts w:hint="eastAsia" w:ascii="Microsoft YaHei UI" w:hAnsi="Microsoft YaHei UI" w:eastAsia="Microsoft YaHei UI" w:cs="Microsoft YaHei UI"/>
          <w:i w:val="0"/>
          <w:iCs w:val="0"/>
          <w:caps w:val="0"/>
          <w:color w:val="222222"/>
          <w:spacing w:val="8"/>
          <w:sz w:val="18"/>
          <w:szCs w:val="18"/>
          <w:shd w:val="clear" w:fill="FFFFFF"/>
        </w:rPr>
        <w:t>数据来源：中康CMH</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290185" cy="2595245"/>
            <wp:effectExtent l="0" t="0" r="5715" b="14605"/>
            <wp:docPr id="90" name="图片 62"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2" descr="IMG_260"/>
                    <pic:cNvPicPr>
                      <a:picLocks noChangeAspect="1"/>
                    </pic:cNvPicPr>
                  </pic:nvPicPr>
                  <pic:blipFill>
                    <a:blip r:embed="rId16"/>
                    <a:stretch>
                      <a:fillRect/>
                    </a:stretch>
                  </pic:blipFill>
                  <pic:spPr>
                    <a:xfrm>
                      <a:off x="0" y="0"/>
                      <a:ext cx="5290185" cy="259524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Microsoft YaHei UI" w:hAnsi="Microsoft YaHei UI" w:eastAsia="Microsoft YaHei UI" w:cs="Microsoft YaHei UI"/>
          <w:i w:val="0"/>
          <w:iCs w:val="0"/>
          <w:caps w:val="0"/>
          <w:color w:val="222222"/>
          <w:spacing w:val="8"/>
          <w:sz w:val="21"/>
          <w:szCs w:val="21"/>
        </w:rPr>
      </w:pPr>
      <w:r>
        <w:rPr>
          <w:rFonts w:hint="eastAsia" w:ascii="Microsoft YaHei UI" w:hAnsi="Microsoft YaHei UI" w:eastAsia="Microsoft YaHei UI" w:cs="Microsoft YaHei UI"/>
          <w:i w:val="0"/>
          <w:iCs w:val="0"/>
          <w:caps w:val="0"/>
          <w:color w:val="222222"/>
          <w:spacing w:val="8"/>
          <w:sz w:val="18"/>
          <w:szCs w:val="18"/>
          <w:shd w:val="clear" w:fill="FFFFFF"/>
        </w:rPr>
        <w:t>数据来源：中康CMH</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222222"/>
          <w:spacing w:val="8"/>
          <w:sz w:val="21"/>
          <w:szCs w:val="21"/>
        </w:rPr>
      </w:pPr>
      <w:r>
        <w:rPr>
          <w:rStyle w:val="14"/>
          <w:rFonts w:hint="eastAsia" w:ascii="Microsoft YaHei UI" w:hAnsi="Microsoft YaHei UI" w:eastAsia="Microsoft YaHei UI" w:cs="Microsoft YaHei UI"/>
          <w:i w:val="0"/>
          <w:iCs w:val="0"/>
          <w:caps w:val="0"/>
          <w:color w:val="222222"/>
          <w:spacing w:val="8"/>
          <w:sz w:val="22"/>
          <w:szCs w:val="22"/>
          <w:shd w:val="clear" w:fill="FFFFFF"/>
        </w:rPr>
        <w:t>3.Rx vs OTC：YTD2205处方药与OTC增速放缓，不及疫情前水平</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ascii="Microsoft YaHei UI" w:hAnsi="Microsoft YaHei UI" w:eastAsia="Microsoft YaHei UI" w:cs="Microsoft YaHei UI"/>
          <w:i w:val="0"/>
          <w:iCs w:val="0"/>
          <w:caps w:val="0"/>
          <w:color w:val="222222"/>
          <w:spacing w:val="8"/>
          <w:sz w:val="21"/>
          <w:szCs w:val="21"/>
        </w:rPr>
      </w:pPr>
      <w:r>
        <w:rPr>
          <w:rFonts w:hint="eastAsia" w:eastAsia="宋体" w:cs="Times New Roman" w:asciiTheme="minorEastAsia" w:hAnsiTheme="minorEastAsia"/>
          <w:color w:val="auto"/>
          <w:kern w:val="2"/>
          <w:sz w:val="28"/>
          <w:szCs w:val="28"/>
          <w:lang w:val="en-US" w:eastAsia="zh-CN" w:bidi="ar-SA"/>
        </w:rPr>
        <w:t>聚焦药品市场，2022年1月-5月期间，处方药与OTC均保持低速增长，增速不及疫情前水平。YTD2205，处方药销售规模同比增长4%，市场份额占比持续提升，达57.9%；OTC销售增速仅1%。</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281295" cy="3250565"/>
            <wp:effectExtent l="0" t="0" r="14605" b="6985"/>
            <wp:docPr id="86" name="图片 63"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63" descr="IMG_261"/>
                    <pic:cNvPicPr>
                      <a:picLocks noChangeAspect="1"/>
                    </pic:cNvPicPr>
                  </pic:nvPicPr>
                  <pic:blipFill>
                    <a:blip r:embed="rId17"/>
                    <a:stretch>
                      <a:fillRect/>
                    </a:stretch>
                  </pic:blipFill>
                  <pic:spPr>
                    <a:xfrm>
                      <a:off x="0" y="0"/>
                      <a:ext cx="5281295" cy="325056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222222"/>
          <w:spacing w:val="8"/>
          <w:sz w:val="18"/>
          <w:szCs w:val="18"/>
          <w:shd w:val="clear" w:fill="FFFFFF"/>
        </w:rPr>
        <w:t>数据来源：中康CMH</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222222"/>
          <w:spacing w:val="8"/>
          <w:sz w:val="21"/>
          <w:szCs w:val="21"/>
        </w:rPr>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288280" cy="2596515"/>
            <wp:effectExtent l="0" t="0" r="7620" b="13335"/>
            <wp:docPr id="85" name="图片 64"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4" descr="IMG_262"/>
                    <pic:cNvPicPr>
                      <a:picLocks noChangeAspect="1"/>
                    </pic:cNvPicPr>
                  </pic:nvPicPr>
                  <pic:blipFill>
                    <a:blip r:embed="rId18"/>
                    <a:stretch>
                      <a:fillRect/>
                    </a:stretch>
                  </pic:blipFill>
                  <pic:spPr>
                    <a:xfrm>
                      <a:off x="0" y="0"/>
                      <a:ext cx="5288280" cy="259651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Microsoft YaHei UI" w:hAnsi="Microsoft YaHei UI" w:eastAsia="Microsoft YaHei UI" w:cs="Microsoft YaHei UI"/>
          <w:i w:val="0"/>
          <w:iCs w:val="0"/>
          <w:caps w:val="0"/>
          <w:color w:val="222222"/>
          <w:spacing w:val="8"/>
          <w:sz w:val="21"/>
          <w:szCs w:val="21"/>
        </w:rPr>
      </w:pPr>
      <w:r>
        <w:rPr>
          <w:rFonts w:hint="eastAsia" w:ascii="Microsoft YaHei UI" w:hAnsi="Microsoft YaHei UI" w:eastAsia="Microsoft YaHei UI" w:cs="Microsoft YaHei UI"/>
          <w:i w:val="0"/>
          <w:iCs w:val="0"/>
          <w:caps w:val="0"/>
          <w:color w:val="222222"/>
          <w:spacing w:val="8"/>
          <w:sz w:val="18"/>
          <w:szCs w:val="18"/>
          <w:shd w:val="clear" w:fill="FFFFFF"/>
        </w:rPr>
        <w:t>数据来源：中康CMH</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222222"/>
          <w:spacing w:val="8"/>
          <w:sz w:val="21"/>
          <w:szCs w:val="21"/>
        </w:rPr>
      </w:pPr>
      <w:r>
        <w:rPr>
          <w:rStyle w:val="14"/>
          <w:rFonts w:hint="eastAsia" w:ascii="Microsoft YaHei UI" w:hAnsi="Microsoft YaHei UI" w:eastAsia="Microsoft YaHei UI" w:cs="Microsoft YaHei UI"/>
          <w:i w:val="0"/>
          <w:iCs w:val="0"/>
          <w:caps w:val="0"/>
          <w:color w:val="222222"/>
          <w:spacing w:val="8"/>
          <w:sz w:val="22"/>
          <w:szCs w:val="22"/>
          <w:shd w:val="clear" w:fill="FFFFFF"/>
        </w:rPr>
        <w:t>4.品类表现：维矿类位列零售市场规模第一名，且销售额增长贡献最大</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ascii="Microsoft YaHei UI" w:hAnsi="Microsoft YaHei UI" w:eastAsia="Microsoft YaHei UI" w:cs="Microsoft YaHei UI"/>
          <w:i w:val="0"/>
          <w:iCs w:val="0"/>
          <w:caps w:val="0"/>
          <w:color w:val="222222"/>
          <w:spacing w:val="8"/>
          <w:sz w:val="21"/>
          <w:szCs w:val="21"/>
        </w:rPr>
      </w:pPr>
      <w:r>
        <w:rPr>
          <w:rFonts w:hint="eastAsia" w:eastAsia="宋体" w:cs="Times New Roman" w:asciiTheme="minorEastAsia" w:hAnsiTheme="minorEastAsia"/>
          <w:color w:val="auto"/>
          <w:kern w:val="2"/>
          <w:sz w:val="28"/>
          <w:szCs w:val="28"/>
          <w:lang w:val="en-US" w:eastAsia="zh-CN" w:bidi="ar-SA"/>
        </w:rPr>
        <w:t>YTD2205维生素矿物质补充剂销售规模位列零售市场第一名，且保持稳健增长；心脑血管疾病用药、肿瘤药及胃肠道疾病用药份额排名紧随其后。从销售额增速及贡献看，维矿类及慢病用药如心脑血管疾病用药、肿瘤药、糖尿病用药增长良好，销售额增量贡献超10%。</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309870" cy="4228465"/>
            <wp:effectExtent l="0" t="0" r="5080" b="635"/>
            <wp:docPr id="84" name="图片 65"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65" descr="IMG_263"/>
                    <pic:cNvPicPr>
                      <a:picLocks noChangeAspect="1"/>
                    </pic:cNvPicPr>
                  </pic:nvPicPr>
                  <pic:blipFill>
                    <a:blip r:embed="rId19"/>
                    <a:stretch>
                      <a:fillRect/>
                    </a:stretch>
                  </pic:blipFill>
                  <pic:spPr>
                    <a:xfrm>
                      <a:off x="0" y="0"/>
                      <a:ext cx="5309870" cy="422846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Microsoft YaHei UI" w:hAnsi="Microsoft YaHei UI" w:eastAsia="Microsoft YaHei UI" w:cs="Microsoft YaHei UI"/>
          <w:i w:val="0"/>
          <w:iCs w:val="0"/>
          <w:caps w:val="0"/>
          <w:color w:val="222222"/>
          <w:spacing w:val="8"/>
          <w:sz w:val="21"/>
          <w:szCs w:val="21"/>
        </w:rPr>
      </w:pPr>
      <w:r>
        <w:rPr>
          <w:rFonts w:hint="eastAsia" w:ascii="Microsoft YaHei UI" w:hAnsi="Microsoft YaHei UI" w:eastAsia="Microsoft YaHei UI" w:cs="Microsoft YaHei UI"/>
          <w:i w:val="0"/>
          <w:iCs w:val="0"/>
          <w:caps w:val="0"/>
          <w:color w:val="222222"/>
          <w:spacing w:val="8"/>
          <w:sz w:val="18"/>
          <w:szCs w:val="18"/>
          <w:shd w:val="clear" w:fill="FFFFFF"/>
        </w:rPr>
        <w:t>数据来源：中康CMH</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222222"/>
          <w:spacing w:val="8"/>
          <w:sz w:val="21"/>
          <w:szCs w:val="21"/>
        </w:rPr>
      </w:pPr>
      <w:r>
        <w:rPr>
          <w:rStyle w:val="14"/>
          <w:rFonts w:hint="eastAsia" w:ascii="Microsoft YaHei UI" w:hAnsi="Microsoft YaHei UI" w:eastAsia="Microsoft YaHei UI" w:cs="Microsoft YaHei UI"/>
          <w:i w:val="0"/>
          <w:iCs w:val="0"/>
          <w:caps w:val="0"/>
          <w:color w:val="222222"/>
          <w:spacing w:val="8"/>
          <w:sz w:val="22"/>
          <w:szCs w:val="22"/>
          <w:shd w:val="clear" w:fill="FFFFFF"/>
        </w:rPr>
        <w:t>5.跨国企业 vs 本土企业：YTD2205本土企业销售额增长仅2%，跨国企业增长6%</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从近5年的数据表现来看，本土企业在零售市场依然占据主体地位，但增速始终不敌跨国企业。随着集采常态化、跨国企业院外布局抢夺市场，本土企业份额占比将继续缩小。</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聚焦到今年5个月份零售市场的销售表现，本土企业销售额同比增长仅有2%，跨国企业增长6%。</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303520" cy="3538220"/>
            <wp:effectExtent l="0" t="0" r="11430" b="5080"/>
            <wp:docPr id="79" name="图片 66"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6" descr="IMG_264"/>
                    <pic:cNvPicPr>
                      <a:picLocks noChangeAspect="1"/>
                    </pic:cNvPicPr>
                  </pic:nvPicPr>
                  <pic:blipFill>
                    <a:blip r:embed="rId20"/>
                    <a:stretch>
                      <a:fillRect/>
                    </a:stretch>
                  </pic:blipFill>
                  <pic:spPr>
                    <a:xfrm>
                      <a:off x="0" y="0"/>
                      <a:ext cx="5303520" cy="353822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Microsoft YaHei UI" w:hAnsi="Microsoft YaHei UI" w:eastAsia="Microsoft YaHei UI" w:cs="Microsoft YaHei UI"/>
          <w:i w:val="0"/>
          <w:iCs w:val="0"/>
          <w:caps w:val="0"/>
          <w:color w:val="222222"/>
          <w:spacing w:val="8"/>
          <w:sz w:val="21"/>
          <w:szCs w:val="21"/>
        </w:rPr>
      </w:pPr>
      <w:r>
        <w:rPr>
          <w:rFonts w:hint="eastAsia" w:ascii="Microsoft YaHei UI" w:hAnsi="Microsoft YaHei UI" w:eastAsia="Microsoft YaHei UI" w:cs="Microsoft YaHei UI"/>
          <w:i w:val="0"/>
          <w:iCs w:val="0"/>
          <w:caps w:val="0"/>
          <w:color w:val="222222"/>
          <w:spacing w:val="8"/>
          <w:sz w:val="18"/>
          <w:szCs w:val="18"/>
          <w:shd w:val="clear" w:fill="FFFFFF"/>
        </w:rPr>
        <w:t>数据来源：中康CMH</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274945" cy="3556635"/>
            <wp:effectExtent l="0" t="0" r="1905" b="5715"/>
            <wp:docPr id="82" name="图片 67"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7" descr="IMG_265"/>
                    <pic:cNvPicPr>
                      <a:picLocks noChangeAspect="1"/>
                    </pic:cNvPicPr>
                  </pic:nvPicPr>
                  <pic:blipFill>
                    <a:blip r:embed="rId21"/>
                    <a:stretch>
                      <a:fillRect/>
                    </a:stretch>
                  </pic:blipFill>
                  <pic:spPr>
                    <a:xfrm>
                      <a:off x="0" y="0"/>
                      <a:ext cx="5274945" cy="355663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Microsoft YaHei UI" w:hAnsi="Microsoft YaHei UI" w:eastAsia="Microsoft YaHei UI" w:cs="Microsoft YaHei UI"/>
          <w:i w:val="0"/>
          <w:iCs w:val="0"/>
          <w:caps w:val="0"/>
          <w:color w:val="222222"/>
          <w:spacing w:val="8"/>
          <w:sz w:val="21"/>
          <w:szCs w:val="21"/>
        </w:rPr>
      </w:pPr>
      <w:r>
        <w:rPr>
          <w:rFonts w:hint="eastAsia" w:ascii="Microsoft YaHei UI" w:hAnsi="Microsoft YaHei UI" w:eastAsia="Microsoft YaHei UI" w:cs="Microsoft YaHei UI"/>
          <w:i w:val="0"/>
          <w:iCs w:val="0"/>
          <w:caps w:val="0"/>
          <w:color w:val="222222"/>
          <w:spacing w:val="8"/>
          <w:sz w:val="18"/>
          <w:szCs w:val="18"/>
          <w:shd w:val="clear" w:fill="FFFFFF"/>
        </w:rPr>
        <w:t>数据来源：中康CMH</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333333"/>
          <w:spacing w:val="0"/>
          <w:sz w:val="25"/>
          <w:szCs w:val="25"/>
        </w:rPr>
      </w:pPr>
      <w:r>
        <w:rPr>
          <w:rFonts w:hint="eastAsia" w:ascii="Microsoft YaHei UI" w:hAnsi="Microsoft YaHei UI" w:eastAsia="Microsoft YaHei UI" w:cs="Microsoft YaHei UI"/>
          <w:b/>
          <w:bCs/>
          <w:i w:val="0"/>
          <w:iCs w:val="0"/>
          <w:caps w:val="0"/>
          <w:color w:val="CD0202"/>
          <w:spacing w:val="8"/>
          <w:sz w:val="60"/>
          <w:szCs w:val="60"/>
          <w:shd w:val="clear" w:fill="FFFFFF"/>
        </w:rPr>
        <w:t>02</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0"/>
        <w:jc w:val="both"/>
        <w:rPr>
          <w:rFonts w:hint="eastAsia" w:ascii="Microsoft YaHei UI" w:hAnsi="Microsoft YaHei UI" w:eastAsia="Microsoft YaHei UI" w:cs="Microsoft YaHei UI"/>
          <w:i w:val="0"/>
          <w:iCs w:val="0"/>
          <w:caps w:val="0"/>
          <w:color w:val="222222"/>
          <w:spacing w:val="8"/>
          <w:sz w:val="21"/>
          <w:szCs w:val="21"/>
        </w:rPr>
      </w:pPr>
      <w:r>
        <w:rPr>
          <w:rStyle w:val="14"/>
          <w:rFonts w:hint="eastAsia" w:ascii="Microsoft YaHei UI" w:hAnsi="Microsoft YaHei UI" w:eastAsia="Microsoft YaHei UI" w:cs="Microsoft YaHei UI"/>
          <w:i w:val="0"/>
          <w:iCs w:val="0"/>
          <w:caps w:val="0"/>
          <w:color w:val="333333"/>
          <w:spacing w:val="30"/>
          <w:sz w:val="22"/>
          <w:szCs w:val="22"/>
          <w:shd w:val="clear" w:fill="FFFFFF"/>
        </w:rPr>
        <w:t>集团及产品表现</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eastAsia="宋体" w:cs="Times New Roman" w:asciiTheme="minorEastAsia" w:hAnsiTheme="minorEastAsia"/>
          <w:color w:val="auto"/>
          <w:kern w:val="2"/>
          <w:sz w:val="28"/>
          <w:szCs w:val="28"/>
          <w:lang w:val="en-US" w:eastAsia="zh-CN" w:bidi="ar-SA"/>
        </w:rPr>
      </w:pPr>
      <w:r>
        <w:rPr>
          <w:rStyle w:val="14"/>
          <w:rFonts w:hint="eastAsia" w:ascii="Microsoft YaHei UI" w:hAnsi="Microsoft YaHei UI" w:eastAsia="Microsoft YaHei UI" w:cs="Microsoft YaHei UI"/>
          <w:i w:val="0"/>
          <w:iCs w:val="0"/>
          <w:caps w:val="0"/>
          <w:color w:val="222222"/>
          <w:spacing w:val="8"/>
          <w:sz w:val="22"/>
          <w:szCs w:val="22"/>
          <w:shd w:val="clear" w:fill="FFFFFF"/>
        </w:rPr>
        <w:t>1.处方药市场表现</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（1）TOP10集团</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阿斯利康稳居集团首位，YTD2205销售额增长13%，引领处方药市场继续扩容；石药集团增长33%，排名提升两名；诺和诺德也保持20%的增速快速增长。TOP10集团中罗氏、广药规模呈负增长。</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增长表现较好的集团中，阿斯利康创新研发的降糖药安达唐持续为集团带来巨大的销量贡献；石药集团抗感染药物及肿瘤药持续保持高增长；诺和诺德降糖新药诺和泰2022年通过国谈降价进入医保目录，且被多个省份纳入双通道名单，为其在零售端快速放量做出巨大贡献，销售额增长迅猛。</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292090" cy="2734310"/>
            <wp:effectExtent l="0" t="0" r="3810" b="8890"/>
            <wp:docPr id="81" name="图片 68"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8" descr="IMG_266"/>
                    <pic:cNvPicPr>
                      <a:picLocks noChangeAspect="1"/>
                    </pic:cNvPicPr>
                  </pic:nvPicPr>
                  <pic:blipFill>
                    <a:blip r:embed="rId22"/>
                    <a:stretch>
                      <a:fillRect/>
                    </a:stretch>
                  </pic:blipFill>
                  <pic:spPr>
                    <a:xfrm>
                      <a:off x="0" y="0"/>
                      <a:ext cx="5292090" cy="273431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Microsoft YaHei UI" w:hAnsi="Microsoft YaHei UI" w:eastAsia="Microsoft YaHei UI" w:cs="Microsoft YaHei UI"/>
          <w:i w:val="0"/>
          <w:iCs w:val="0"/>
          <w:caps w:val="0"/>
          <w:color w:val="222222"/>
          <w:spacing w:val="8"/>
          <w:sz w:val="21"/>
          <w:szCs w:val="21"/>
        </w:rPr>
      </w:pPr>
      <w:r>
        <w:rPr>
          <w:rFonts w:hint="eastAsia" w:ascii="Microsoft YaHei UI" w:hAnsi="Microsoft YaHei UI" w:eastAsia="Microsoft YaHei UI" w:cs="Microsoft YaHei UI"/>
          <w:i w:val="0"/>
          <w:iCs w:val="0"/>
          <w:caps w:val="0"/>
          <w:color w:val="222222"/>
          <w:spacing w:val="8"/>
          <w:sz w:val="18"/>
          <w:szCs w:val="18"/>
          <w:shd w:val="clear" w:fill="FFFFFF"/>
        </w:rPr>
        <w:t>数据来源：中康CMH</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（2）TOP10品牌</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ascii="Microsoft YaHei UI" w:hAnsi="Microsoft YaHei UI" w:eastAsia="Microsoft YaHei UI" w:cs="Microsoft YaHei UI"/>
          <w:i w:val="0"/>
          <w:iCs w:val="0"/>
          <w:caps w:val="0"/>
          <w:color w:val="222222"/>
          <w:spacing w:val="8"/>
          <w:sz w:val="21"/>
          <w:szCs w:val="21"/>
        </w:rPr>
      </w:pPr>
      <w:r>
        <w:rPr>
          <w:rFonts w:hint="eastAsia" w:eastAsia="宋体" w:cs="Times New Roman" w:asciiTheme="minorEastAsia" w:hAnsiTheme="minorEastAsia"/>
          <w:color w:val="auto"/>
          <w:kern w:val="2"/>
          <w:sz w:val="28"/>
          <w:szCs w:val="28"/>
          <w:lang w:val="en-US" w:eastAsia="zh-CN" w:bidi="ar-SA"/>
        </w:rPr>
        <w:t>从产品维度看，晖致的立普妥稳居处方药市场第一名，且保持双位数增长；万艾可、倍他乐克、泰瑞沙销售额快速增长。TOP10品牌中，广药集团的金戈及晖致的络活喜销售额同比下跌。</w:t>
      </w:r>
    </w:p>
    <w:p>
      <w:pPr>
        <w:keepNext w:val="0"/>
        <w:keepLines w:val="0"/>
        <w:widowControl/>
        <w:suppressLineNumbers w:val="0"/>
        <w:spacing w:before="0" w:beforeAutospacing="0" w:after="0" w:afterAutospacing="0"/>
        <w:ind w:left="0" w:right="0"/>
        <w:jc w:val="left"/>
        <w:rPr>
          <w:rFonts w:hint="eastAsia" w:ascii="Microsoft YaHei UI" w:hAnsi="Microsoft YaHei UI" w:eastAsia="Microsoft YaHei UI" w:cs="Microsoft YaHei UI"/>
          <w:i w:val="0"/>
          <w:iCs w:val="0"/>
          <w:caps w:val="0"/>
          <w:color w:val="222222"/>
          <w:spacing w:val="8"/>
          <w:sz w:val="21"/>
          <w:szCs w:val="21"/>
        </w:rPr>
      </w:pP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292725" cy="3927475"/>
            <wp:effectExtent l="0" t="0" r="3175" b="15875"/>
            <wp:docPr id="80" name="图片 69"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9" descr="IMG_267"/>
                    <pic:cNvPicPr>
                      <a:picLocks noChangeAspect="1"/>
                    </pic:cNvPicPr>
                  </pic:nvPicPr>
                  <pic:blipFill>
                    <a:blip r:embed="rId23"/>
                    <a:stretch>
                      <a:fillRect/>
                    </a:stretch>
                  </pic:blipFill>
                  <pic:spPr>
                    <a:xfrm>
                      <a:off x="0" y="0"/>
                      <a:ext cx="5292725" cy="392747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222222"/>
          <w:spacing w:val="8"/>
          <w:sz w:val="21"/>
          <w:szCs w:val="21"/>
        </w:rPr>
      </w:pPr>
      <w:r>
        <w:rPr>
          <w:rStyle w:val="14"/>
          <w:rFonts w:hint="eastAsia" w:ascii="Microsoft YaHei UI" w:hAnsi="Microsoft YaHei UI" w:eastAsia="Microsoft YaHei UI" w:cs="Microsoft YaHei UI"/>
          <w:i w:val="0"/>
          <w:iCs w:val="0"/>
          <w:caps w:val="0"/>
          <w:color w:val="222222"/>
          <w:spacing w:val="8"/>
          <w:sz w:val="22"/>
          <w:szCs w:val="22"/>
          <w:shd w:val="clear" w:fill="FFFFFF"/>
        </w:rPr>
        <w:t>2.消费者大健康市场表现</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（1）TOP10集团</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汤臣倍健规模不断提升，YTD2205跃居消费者大健康市场（包含OTC和保健品）集团第一名，旗下胃肠道用药益倍适(益生菌粉)、眼科用药健视佳(越橘叶黄素酯β胡萝卜素软胶囊)增长强劲。GSK CHC、拜耳、华润江中在本期销售额均有不同程度的增长。</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GSK CHC的善存系列、拜尔的维生素C泡腾片力度伸、华润江中的江中(多维元素片(21)) 等维生素产品在本期为集团带来较大的增量。</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281930" cy="3929380"/>
            <wp:effectExtent l="0" t="0" r="13970" b="13970"/>
            <wp:docPr id="78" name="图片 70"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0" descr="IMG_268"/>
                    <pic:cNvPicPr>
                      <a:picLocks noChangeAspect="1"/>
                    </pic:cNvPicPr>
                  </pic:nvPicPr>
                  <pic:blipFill>
                    <a:blip r:embed="rId24"/>
                    <a:stretch>
                      <a:fillRect/>
                    </a:stretch>
                  </pic:blipFill>
                  <pic:spPr>
                    <a:xfrm>
                      <a:off x="0" y="0"/>
                      <a:ext cx="5281930" cy="392938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222222"/>
          <w:spacing w:val="8"/>
          <w:sz w:val="18"/>
          <w:szCs w:val="18"/>
          <w:shd w:val="clear" w:fill="FFFFFF"/>
        </w:rPr>
        <w:t>数据来源：中康CMH</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222222"/>
          <w:spacing w:val="8"/>
          <w:sz w:val="21"/>
          <w:szCs w:val="21"/>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（2）TOP10品牌</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截至今年5月份，999感冒灵、阿胶销售额持续下跌，抗疫产品连花清瘟胶囊需求依然旺盛，销售额同比双位数增长。维矿类产品锌钙特、悦而销售额快速增长，排名均有所提升。</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222222"/>
          <w:spacing w:val="8"/>
          <w:sz w:val="21"/>
          <w:szCs w:val="21"/>
        </w:rPr>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281295" cy="4353560"/>
            <wp:effectExtent l="0" t="0" r="14605" b="8890"/>
            <wp:docPr id="83" name="图片 71"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1" descr="IMG_269"/>
                    <pic:cNvPicPr>
                      <a:picLocks noChangeAspect="1"/>
                    </pic:cNvPicPr>
                  </pic:nvPicPr>
                  <pic:blipFill>
                    <a:blip r:embed="rId25"/>
                    <a:stretch>
                      <a:fillRect/>
                    </a:stretch>
                  </pic:blipFill>
                  <pic:spPr>
                    <a:xfrm>
                      <a:off x="0" y="0"/>
                      <a:ext cx="5281295" cy="435356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222222"/>
          <w:spacing w:val="8"/>
          <w:sz w:val="18"/>
          <w:szCs w:val="18"/>
          <w:shd w:val="clear" w:fill="FFFFFF"/>
        </w:rPr>
        <w:t>数据来源：中康CMH</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both"/>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宋体"/>
          <w:b/>
          <w:color w:val="333333"/>
          <w:kern w:val="36"/>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宋体"/>
          <w:b/>
          <w:color w:val="333333"/>
          <w:kern w:val="36"/>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宋体"/>
          <w:b/>
          <w:color w:val="333333"/>
          <w:kern w:val="36"/>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宋体"/>
          <w:b/>
          <w:color w:val="333333"/>
          <w:kern w:val="36"/>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宋体"/>
          <w:b/>
          <w:color w:val="333333"/>
          <w:kern w:val="36"/>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宋体"/>
          <w:b/>
          <w:color w:val="333333"/>
          <w:kern w:val="36"/>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宋体"/>
          <w:b/>
          <w:color w:val="333333"/>
          <w:kern w:val="36"/>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宋体"/>
          <w:b/>
          <w:color w:val="333333"/>
          <w:kern w:val="36"/>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宋体"/>
          <w:b/>
          <w:color w:val="333333"/>
          <w:kern w:val="36"/>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宋体"/>
          <w:b/>
          <w:color w:val="333333"/>
          <w:kern w:val="36"/>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宋体" w:hAnsi="宋体" w:eastAsia="宋体" w:cs="宋体"/>
          <w:b/>
          <w:kern w:val="0"/>
          <w:sz w:val="33"/>
          <w:szCs w:val="33"/>
          <w:lang w:val="en-US" w:eastAsia="zh-CN" w:bidi="ar"/>
        </w:rPr>
      </w:pPr>
      <w:r>
        <w:rPr>
          <w:rFonts w:hint="eastAsia" w:ascii="微软雅黑" w:hAnsi="微软雅黑" w:eastAsia="微软雅黑" w:cs="宋体"/>
          <w:b/>
          <w:color w:val="333333"/>
          <w:kern w:val="36"/>
          <w:sz w:val="24"/>
          <w:szCs w:val="24"/>
        </w:rPr>
        <w:t>附件</w:t>
      </w:r>
      <w:r>
        <w:rPr>
          <w:rFonts w:hint="eastAsia" w:ascii="微软雅黑" w:hAnsi="微软雅黑" w:eastAsia="微软雅黑" w:cs="宋体"/>
          <w:b/>
          <w:color w:val="333333"/>
          <w:kern w:val="36"/>
          <w:sz w:val="24"/>
          <w:szCs w:val="24"/>
          <w:lang w:val="en-US" w:eastAsia="zh-CN"/>
        </w:rPr>
        <w:t>5</w:t>
      </w:r>
      <w:r>
        <w:rPr>
          <w:rFonts w:hint="eastAsia" w:ascii="宋体" w:hAnsi="宋体" w:eastAsia="宋体" w:cs="宋体"/>
          <w:b/>
          <w:kern w:val="0"/>
          <w:sz w:val="33"/>
          <w:szCs w:val="33"/>
          <w:lang w:val="en-US" w:eastAsia="zh-CN" w:bidi="ar"/>
        </w:rPr>
        <w:t xml:space="preserve">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b/>
          <w:bCs/>
          <w:sz w:val="33"/>
          <w:szCs w:val="33"/>
        </w:rPr>
      </w:pPr>
      <w:r>
        <w:rPr>
          <w:rFonts w:hint="eastAsia"/>
          <w:b/>
          <w:bCs/>
          <w:sz w:val="33"/>
          <w:szCs w:val="33"/>
        </w:rPr>
        <w:t>连锁O2O“腰部崛起”，处方药同比增长131%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472" w:right="0" w:hanging="472" w:hangingChars="200"/>
        <w:jc w:val="left"/>
        <w:rPr>
          <w:rFonts w:hint="eastAsia" w:ascii="Microsoft YaHei UI" w:hAnsi="Microsoft YaHei UI" w:eastAsia="Microsoft YaHei UI" w:cs="Microsoft YaHei UI"/>
          <w:i w:val="0"/>
          <w:iCs w:val="0"/>
          <w:caps w:val="0"/>
          <w:color w:val="222222"/>
          <w:spacing w:val="8"/>
          <w:sz w:val="21"/>
          <w:szCs w:val="21"/>
          <w:u w:val="none"/>
        </w:rPr>
      </w:pPr>
      <w:r>
        <w:rPr>
          <w:rFonts w:hint="eastAsia" w:ascii="Microsoft YaHei UI" w:hAnsi="Microsoft YaHei UI" w:eastAsia="Microsoft YaHei UI" w:cs="Microsoft YaHei UI"/>
          <w:i w:val="0"/>
          <w:iCs w:val="0"/>
          <w:caps w:val="0"/>
          <w:color w:val="222222"/>
          <w:spacing w:val="8"/>
          <w:kern w:val="0"/>
          <w:sz w:val="22"/>
          <w:szCs w:val="22"/>
          <w:shd w:val="clear" w:fill="FFFFFF"/>
          <w:lang w:val="en-US" w:eastAsia="zh-CN" w:bidi="ar"/>
        </w:rPr>
        <w:t>周敏玲</w:t>
      </w:r>
      <w:r>
        <w:rPr>
          <w:rFonts w:hint="eastAsia" w:ascii="Microsoft YaHei UI" w:hAnsi="Microsoft YaHei UI" w:eastAsia="Microsoft YaHei UI" w:cs="Microsoft YaHei UI"/>
          <w:i w:val="0"/>
          <w:iCs w:val="0"/>
          <w:caps w:val="0"/>
          <w:color w:val="222222"/>
          <w:spacing w:val="8"/>
          <w:kern w:val="0"/>
          <w:sz w:val="0"/>
          <w:szCs w:val="0"/>
          <w:shd w:val="clear" w:fill="FFFFFF"/>
          <w:lang w:val="en-US" w:eastAsia="zh-CN" w:bidi="ar"/>
        </w:rPr>
        <w:t> </w:t>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begin"/>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instrText xml:space="preserve"> HYPERLINK "javascript:void(0);" </w:instrText>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separate"/>
      </w:r>
      <w:r>
        <w:rPr>
          <w:rStyle w:val="16"/>
          <w:rFonts w:hint="eastAsia" w:ascii="Microsoft YaHei UI" w:hAnsi="Microsoft YaHei UI" w:eastAsia="Microsoft YaHei UI" w:cs="Microsoft YaHei UI"/>
          <w:i w:val="0"/>
          <w:iCs w:val="0"/>
          <w:caps w:val="0"/>
          <w:color w:val="576B95"/>
          <w:spacing w:val="8"/>
          <w:sz w:val="22"/>
          <w:szCs w:val="22"/>
          <w:u w:val="none"/>
          <w:shd w:val="clear" w:fill="FFFFFF"/>
        </w:rPr>
        <w:t>第一药店财智</w:t>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end"/>
      </w:r>
      <w:r>
        <w:rPr>
          <w:rFonts w:hint="eastAsia" w:ascii="Microsoft YaHei UI" w:hAnsi="Microsoft YaHei UI" w:eastAsia="Microsoft YaHei UI" w:cs="Microsoft YaHei UI"/>
          <w:i w:val="0"/>
          <w:iCs w:val="0"/>
          <w:caps w:val="0"/>
          <w:color w:val="222222"/>
          <w:spacing w:val="8"/>
          <w:kern w:val="0"/>
          <w:sz w:val="0"/>
          <w:szCs w:val="0"/>
          <w:shd w:val="clear" w:fill="FFFFFF"/>
          <w:lang w:val="en-US" w:eastAsia="zh-CN" w:bidi="ar"/>
        </w:rPr>
        <w:t> </w:t>
      </w:r>
      <w:r>
        <w:rPr>
          <w:rStyle w:val="15"/>
          <w:rFonts w:hint="eastAsia" w:ascii="Microsoft YaHei UI" w:hAnsi="Microsoft YaHei UI" w:eastAsia="Microsoft YaHei UI" w:cs="Microsoft YaHei UI"/>
          <w:i w:val="0"/>
          <w:iCs w:val="0"/>
          <w:caps w:val="0"/>
          <w:color w:val="222222"/>
          <w:spacing w:val="8"/>
          <w:kern w:val="0"/>
          <w:sz w:val="22"/>
          <w:szCs w:val="22"/>
          <w:shd w:val="clear" w:fill="FFFFFF"/>
          <w:lang w:val="en-US" w:eastAsia="zh-CN" w:bidi="ar"/>
        </w:rPr>
        <w:t>2022-07-19 19:23</w:t>
      </w:r>
      <w:r>
        <w:rPr>
          <w:rFonts w:hint="eastAsia" w:ascii="Microsoft YaHei UI" w:hAnsi="Microsoft YaHei UI" w:eastAsia="Microsoft YaHei UI" w:cs="Microsoft YaHei UI"/>
          <w:i w:val="0"/>
          <w:iCs w:val="0"/>
          <w:caps w:val="0"/>
          <w:color w:val="222222"/>
          <w:spacing w:val="8"/>
          <w:kern w:val="0"/>
          <w:sz w:val="0"/>
          <w:szCs w:val="0"/>
          <w:shd w:val="clear" w:fill="FFFFFF"/>
          <w:lang w:val="en-US" w:eastAsia="zh-CN" w:bidi="ar"/>
        </w:rPr>
        <w:t> </w:t>
      </w:r>
      <w:r>
        <w:rPr>
          <w:rStyle w:val="15"/>
          <w:rFonts w:hint="eastAsia" w:ascii="Microsoft YaHei UI" w:hAnsi="Microsoft YaHei UI" w:eastAsia="Microsoft YaHei UI" w:cs="Microsoft YaHei UI"/>
          <w:i w:val="0"/>
          <w:iCs w:val="0"/>
          <w:caps w:val="0"/>
          <w:color w:val="222222"/>
          <w:spacing w:val="8"/>
          <w:kern w:val="0"/>
          <w:sz w:val="22"/>
          <w:szCs w:val="22"/>
          <w:shd w:val="clear" w:fill="FFFFFF"/>
          <w:lang w:val="en-US" w:eastAsia="zh-CN" w:bidi="ar"/>
        </w:rPr>
        <w:t xml:space="preserve">发表于广东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近两年来，医药电商-O2O市场发展迅猛，为线下药店增长注入新市场活力。</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2021年以来，中康CMH统计范围内的101城市总体占线下市场比例已从年初2%提高至5%，2022年5月同比增速较4月有所减缓，但仍保持高增长趋势。</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jc w:val="both"/>
      </w:pPr>
      <w:r>
        <w:rPr>
          <w:rFonts w:hint="eastAsia" w:ascii="Microsoft YaHei UI" w:hAnsi="Microsoft YaHei UI" w:eastAsia="Microsoft YaHei UI" w:cs="Microsoft YaHei UI"/>
          <w:i w:val="0"/>
          <w:iCs w:val="0"/>
          <w:caps w:val="0"/>
          <w:color w:val="333333"/>
          <w:spacing w:val="0"/>
          <w:sz w:val="25"/>
          <w:szCs w:val="25"/>
          <w:shd w:val="clear" w:fill="FFFFFF"/>
        </w:rPr>
        <w:drawing>
          <wp:inline distT="0" distB="0" distL="114300" distR="114300">
            <wp:extent cx="5240020" cy="2222500"/>
            <wp:effectExtent l="0" t="0" r="17780" b="6350"/>
            <wp:docPr id="92" name="图片 7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74" descr="IMG_258"/>
                    <pic:cNvPicPr>
                      <a:picLocks noChangeAspect="1"/>
                    </pic:cNvPicPr>
                  </pic:nvPicPr>
                  <pic:blipFill>
                    <a:blip r:embed="rId26"/>
                    <a:stretch>
                      <a:fillRect/>
                    </a:stretch>
                  </pic:blipFill>
                  <pic:spPr>
                    <a:xfrm>
                      <a:off x="0" y="0"/>
                      <a:ext cx="5240020" cy="222250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jc w:val="both"/>
      </w:pPr>
      <w:r>
        <w:rPr>
          <w:rFonts w:hint="eastAsia" w:ascii="Microsoft YaHei UI" w:hAnsi="Microsoft YaHei UI" w:eastAsia="Microsoft YaHei UI" w:cs="Microsoft YaHei UI"/>
          <w:i w:val="0"/>
          <w:iCs w:val="0"/>
          <w:caps w:val="0"/>
          <w:color w:val="888888"/>
          <w:spacing w:val="30"/>
          <w:sz w:val="18"/>
          <w:szCs w:val="18"/>
          <w:shd w:val="clear" w:fill="FFFFFF"/>
        </w:rPr>
        <w:t>数据来源：中康CMH</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b/>
          <w:bCs/>
          <w:i w:val="0"/>
          <w:iCs w:val="0"/>
          <w:caps w:val="0"/>
          <w:color w:val="CD0202"/>
          <w:spacing w:val="8"/>
          <w:kern w:val="0"/>
          <w:sz w:val="60"/>
          <w:szCs w:val="60"/>
          <w:shd w:val="clear" w:fill="FFFFFF"/>
          <w:lang w:val="en-US" w:eastAsia="zh-CN" w:bidi="ar"/>
        </w:rPr>
        <w:t>01</w:t>
      </w:r>
      <w:r>
        <w:rPr>
          <w:rStyle w:val="14"/>
          <w:rFonts w:hint="eastAsia" w:ascii="Microsoft YaHei UI" w:hAnsi="Microsoft YaHei UI" w:eastAsia="Microsoft YaHei UI" w:cs="Microsoft YaHei UI"/>
          <w:i w:val="0"/>
          <w:iCs w:val="0"/>
          <w:caps w:val="0"/>
          <w:color w:val="333333"/>
          <w:spacing w:val="30"/>
          <w:kern w:val="0"/>
          <w:sz w:val="22"/>
          <w:szCs w:val="22"/>
          <w:shd w:val="clear" w:fill="FFFFFF"/>
          <w:lang w:val="en-US" w:eastAsia="zh-CN" w:bidi="ar"/>
        </w:rPr>
        <w:t>市场分布表现</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jc w:val="both"/>
      </w:pPr>
      <w:r>
        <w:rPr>
          <w:rFonts w:hint="eastAsia" w:ascii="Microsoft YaHei UI" w:hAnsi="Microsoft YaHei UI" w:eastAsia="Microsoft YaHei UI" w:cs="Microsoft YaHei UI"/>
          <w:i w:val="0"/>
          <w:iCs w:val="0"/>
          <w:caps w:val="0"/>
          <w:color w:val="333333"/>
          <w:spacing w:val="0"/>
          <w:sz w:val="25"/>
          <w:szCs w:val="25"/>
          <w:shd w:val="clear" w:fill="FFFFFF"/>
        </w:rPr>
        <w:drawing>
          <wp:inline distT="0" distB="0" distL="114300" distR="114300">
            <wp:extent cx="5238750" cy="2670175"/>
            <wp:effectExtent l="0" t="0" r="0" b="15875"/>
            <wp:docPr id="93" name="图片 7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5" descr="IMG_259"/>
                    <pic:cNvPicPr>
                      <a:picLocks noChangeAspect="1"/>
                    </pic:cNvPicPr>
                  </pic:nvPicPr>
                  <pic:blipFill>
                    <a:blip r:embed="rId27"/>
                    <a:stretch>
                      <a:fillRect/>
                    </a:stretch>
                  </pic:blipFill>
                  <pic:spPr>
                    <a:xfrm>
                      <a:off x="0" y="0"/>
                      <a:ext cx="5238750" cy="267017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jc w:val="both"/>
      </w:pPr>
      <w:r>
        <w:rPr>
          <w:rFonts w:hint="eastAsia" w:ascii="Microsoft YaHei UI" w:hAnsi="Microsoft YaHei UI" w:eastAsia="Microsoft YaHei UI" w:cs="Microsoft YaHei UI"/>
          <w:i w:val="0"/>
          <w:iCs w:val="0"/>
          <w:caps w:val="0"/>
          <w:color w:val="888888"/>
          <w:spacing w:val="30"/>
          <w:sz w:val="18"/>
          <w:szCs w:val="18"/>
          <w:shd w:val="clear" w:fill="FFFFFF"/>
        </w:rPr>
        <w:t>数据来源：中康CMH</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连锁分布表现方面，从连锁分布上看，O2O市场连锁规模分布集中化程度受疫情影响不大；Top连锁的销售份额占比已从20年底的近六成（58%）下降至2022年4-5月的近五成（52%），说明O2O市场中的腰尾部连锁持续发力，积极布局市场，为其零售市场规模注入新助力。</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jc w:val="both"/>
      </w:pPr>
      <w:r>
        <w:rPr>
          <w:rFonts w:hint="eastAsia" w:ascii="Microsoft YaHei UI" w:hAnsi="Microsoft YaHei UI" w:eastAsia="Microsoft YaHei UI" w:cs="Microsoft YaHei UI"/>
          <w:i w:val="0"/>
          <w:iCs w:val="0"/>
          <w:caps w:val="0"/>
          <w:color w:val="333333"/>
          <w:spacing w:val="0"/>
          <w:sz w:val="25"/>
          <w:szCs w:val="25"/>
          <w:shd w:val="clear" w:fill="FFFFFF"/>
        </w:rPr>
        <w:drawing>
          <wp:inline distT="0" distB="0" distL="114300" distR="114300">
            <wp:extent cx="5184140" cy="2633345"/>
            <wp:effectExtent l="0" t="0" r="16510" b="14605"/>
            <wp:docPr id="94" name="图片 7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76" descr="IMG_260"/>
                    <pic:cNvPicPr>
                      <a:picLocks noChangeAspect="1"/>
                    </pic:cNvPicPr>
                  </pic:nvPicPr>
                  <pic:blipFill>
                    <a:blip r:embed="rId28"/>
                    <a:stretch>
                      <a:fillRect/>
                    </a:stretch>
                  </pic:blipFill>
                  <pic:spPr>
                    <a:xfrm>
                      <a:off x="0" y="0"/>
                      <a:ext cx="5184140" cy="263334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jc w:val="both"/>
      </w:pPr>
      <w:r>
        <w:rPr>
          <w:rFonts w:hint="eastAsia" w:ascii="Microsoft YaHei UI" w:hAnsi="Microsoft YaHei UI" w:eastAsia="Microsoft YaHei UI" w:cs="Microsoft YaHei UI"/>
          <w:i w:val="0"/>
          <w:iCs w:val="0"/>
          <w:caps w:val="0"/>
          <w:color w:val="888888"/>
          <w:spacing w:val="30"/>
          <w:sz w:val="18"/>
          <w:szCs w:val="18"/>
          <w:shd w:val="clear" w:fill="FFFFFF"/>
        </w:rPr>
        <w:t>数据来源：中康CMH</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城市分布表现方面，医药电商-O2O市场，高级别城市的市场规模集中度更高，长期来看，超五成的市场规模由排名Top10的城市贡献。由于近期头部城市疫情反扑，中康CMH所监测的O2O市场城市格局短期内呈现更集中化的态势：2022年4-5月份数据显示，头部十城市规模已占101城市的61%，达到2020年底以来的历史新高水平。</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b/>
          <w:bCs/>
          <w:i w:val="0"/>
          <w:iCs w:val="0"/>
          <w:caps w:val="0"/>
          <w:color w:val="CD0202"/>
          <w:spacing w:val="8"/>
          <w:kern w:val="0"/>
          <w:sz w:val="60"/>
          <w:szCs w:val="60"/>
          <w:shd w:val="clear" w:fill="FFFFFF"/>
          <w:lang w:val="en-US" w:eastAsia="zh-CN" w:bidi="ar"/>
        </w:rPr>
        <w:t>02</w:t>
      </w:r>
      <w:r>
        <w:rPr>
          <w:rStyle w:val="14"/>
          <w:rFonts w:hint="eastAsia" w:ascii="Microsoft YaHei UI" w:hAnsi="Microsoft YaHei UI" w:eastAsia="Microsoft YaHei UI" w:cs="Microsoft YaHei UI"/>
          <w:i w:val="0"/>
          <w:iCs w:val="0"/>
          <w:caps w:val="0"/>
          <w:color w:val="333333"/>
          <w:spacing w:val="30"/>
          <w:kern w:val="0"/>
          <w:sz w:val="22"/>
          <w:szCs w:val="22"/>
          <w:shd w:val="clear" w:fill="FFFFFF"/>
          <w:lang w:val="en-US" w:eastAsia="zh-CN" w:bidi="ar"/>
        </w:rPr>
        <w:t>产品表现</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jc w:val="both"/>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jc w:val="both"/>
      </w:pPr>
      <w:r>
        <w:rPr>
          <w:rFonts w:hint="eastAsia" w:ascii="Microsoft YaHei UI" w:hAnsi="Microsoft YaHei UI" w:eastAsia="Microsoft YaHei UI" w:cs="Microsoft YaHei UI"/>
          <w:i w:val="0"/>
          <w:iCs w:val="0"/>
          <w:caps w:val="0"/>
          <w:color w:val="222222"/>
          <w:spacing w:val="8"/>
          <w:sz w:val="25"/>
          <w:szCs w:val="25"/>
          <w:shd w:val="clear" w:fill="FFFFFF"/>
        </w:rPr>
        <w:drawing>
          <wp:inline distT="0" distB="0" distL="114300" distR="114300">
            <wp:extent cx="5179060" cy="2317115"/>
            <wp:effectExtent l="0" t="0" r="2540" b="6985"/>
            <wp:docPr id="95" name="图片 7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77" descr="IMG_261"/>
                    <pic:cNvPicPr>
                      <a:picLocks noChangeAspect="1"/>
                    </pic:cNvPicPr>
                  </pic:nvPicPr>
                  <pic:blipFill>
                    <a:blip r:embed="rId29"/>
                    <a:stretch>
                      <a:fillRect/>
                    </a:stretch>
                  </pic:blipFill>
                  <pic:spPr>
                    <a:xfrm>
                      <a:off x="0" y="0"/>
                      <a:ext cx="5179060" cy="231711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jc w:val="both"/>
      </w:pPr>
      <w:r>
        <w:rPr>
          <w:rFonts w:hint="eastAsia" w:ascii="Microsoft YaHei UI" w:hAnsi="Microsoft YaHei UI" w:eastAsia="Microsoft YaHei UI" w:cs="Microsoft YaHei UI"/>
          <w:i w:val="0"/>
          <w:iCs w:val="0"/>
          <w:caps w:val="0"/>
          <w:color w:val="888888"/>
          <w:spacing w:val="30"/>
          <w:sz w:val="18"/>
          <w:szCs w:val="18"/>
          <w:shd w:val="clear" w:fill="FFFFFF"/>
        </w:rPr>
        <w:t>数据来源：中康CMH</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中康CMH统计的医药电商-O2O市场数据显示，OTC药品仍为O2O市场的主要组成部分，当前4-5月份合计占比约43%。</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在处方外流、网售处方药、双通道政策的背景下，零售市场处方药份额占比持续提升。今年1月-5月，处方药市场占整体医药电商-O2O市场比例已高达35%。</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从趋势上看，OTC药品与其他类产品仍保持双位数增长。当月处方药市场同比增长率高达131%，市场增长未来可期。</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jc w:val="center"/>
      </w:pPr>
      <w:r>
        <w:rPr>
          <w:rFonts w:hint="eastAsia" w:ascii="Microsoft YaHei UI" w:hAnsi="Microsoft YaHei UI" w:eastAsia="Microsoft YaHei UI" w:cs="Microsoft YaHei UI"/>
          <w:i w:val="0"/>
          <w:iCs w:val="0"/>
          <w:caps w:val="0"/>
          <w:color w:val="222222"/>
          <w:spacing w:val="8"/>
          <w:sz w:val="25"/>
          <w:szCs w:val="25"/>
          <w:shd w:val="clear" w:fill="FFFFFF"/>
        </w:rPr>
        <w:drawing>
          <wp:inline distT="0" distB="0" distL="114300" distR="114300">
            <wp:extent cx="3886200" cy="2762250"/>
            <wp:effectExtent l="0" t="0" r="0" b="0"/>
            <wp:docPr id="96" name="图片 7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78" descr="IMG_262"/>
                    <pic:cNvPicPr>
                      <a:picLocks noChangeAspect="1"/>
                    </pic:cNvPicPr>
                  </pic:nvPicPr>
                  <pic:blipFill>
                    <a:blip r:embed="rId30"/>
                    <a:stretch>
                      <a:fillRect/>
                    </a:stretch>
                  </pic:blipFill>
                  <pic:spPr>
                    <a:xfrm>
                      <a:off x="0" y="0"/>
                      <a:ext cx="3886200" cy="276225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jc w:val="both"/>
      </w:pPr>
      <w:r>
        <w:rPr>
          <w:rFonts w:hint="eastAsia" w:ascii="Microsoft YaHei UI" w:hAnsi="Microsoft YaHei UI" w:eastAsia="Microsoft YaHei UI" w:cs="Microsoft YaHei UI"/>
          <w:i w:val="0"/>
          <w:iCs w:val="0"/>
          <w:caps w:val="0"/>
          <w:color w:val="888888"/>
          <w:spacing w:val="30"/>
          <w:sz w:val="18"/>
          <w:szCs w:val="18"/>
          <w:shd w:val="clear" w:fill="FFFFFF"/>
        </w:rPr>
        <w:t>数据来源：中康CMH</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在品类维度来看，今年1月-5月销售规模排名前三仍然是胃肠道疾病用药、皮肤用药及计划生育用品等急用药、隐私药属性显著的品类。其中，皮肤用药、泌尿系统用药增速接近80%，对比去年同期排名有所上升。</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jc w:val="both"/>
      </w:pPr>
      <w:r>
        <w:rPr>
          <w:rFonts w:hint="eastAsia" w:ascii="Microsoft YaHei UI" w:hAnsi="Microsoft YaHei UI" w:eastAsia="Microsoft YaHei UI" w:cs="Microsoft YaHei UI"/>
          <w:i w:val="0"/>
          <w:iCs w:val="0"/>
          <w:caps w:val="0"/>
          <w:color w:val="222222"/>
          <w:spacing w:val="8"/>
          <w:sz w:val="25"/>
          <w:szCs w:val="25"/>
          <w:shd w:val="clear" w:fill="FFFFFF"/>
        </w:rPr>
        <w:drawing>
          <wp:inline distT="0" distB="0" distL="114300" distR="114300">
            <wp:extent cx="5204460" cy="2433320"/>
            <wp:effectExtent l="0" t="0" r="15240" b="5080"/>
            <wp:docPr id="97" name="图片 7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79" descr="IMG_263"/>
                    <pic:cNvPicPr>
                      <a:picLocks noChangeAspect="1"/>
                    </pic:cNvPicPr>
                  </pic:nvPicPr>
                  <pic:blipFill>
                    <a:blip r:embed="rId31"/>
                    <a:stretch>
                      <a:fillRect/>
                    </a:stretch>
                  </pic:blipFill>
                  <pic:spPr>
                    <a:xfrm>
                      <a:off x="0" y="0"/>
                      <a:ext cx="5204460" cy="243332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888888"/>
          <w:spacing w:val="30"/>
          <w:sz w:val="18"/>
          <w:szCs w:val="18"/>
          <w:shd w:val="clear" w:fill="FFFFFF"/>
        </w:rPr>
        <w:t>YTD：表示年至今，目标年份1月至当月指标的总和 数据来源：中康CMH</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聚焦集团视角，今年1月-5月数据显示，拜耳及华润三九、广药集团规模仍保持市场头部的地位；O2O市场前十集团名单中，阿斯利康对比去年同期规模涨势强劲，达三位数增长，排名TOP9。</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drawing>
          <wp:inline distT="0" distB="0" distL="114300" distR="114300">
            <wp:extent cx="5146675" cy="2127250"/>
            <wp:effectExtent l="0" t="0" r="15875" b="6350"/>
            <wp:docPr id="98" name="图片 80"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80" descr="IMG_264"/>
                    <pic:cNvPicPr>
                      <a:picLocks noChangeAspect="1"/>
                    </pic:cNvPicPr>
                  </pic:nvPicPr>
                  <pic:blipFill>
                    <a:blip r:embed="rId32"/>
                    <a:stretch>
                      <a:fillRect/>
                    </a:stretch>
                  </pic:blipFill>
                  <pic:spPr>
                    <a:xfrm>
                      <a:off x="0" y="0"/>
                      <a:ext cx="5146675" cy="212725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jc w:val="both"/>
      </w:pPr>
      <w:r>
        <w:rPr>
          <w:rFonts w:hint="eastAsia" w:eastAsia="宋体" w:cs="Times New Roman" w:asciiTheme="minorEastAsia" w:hAnsiTheme="minorEastAsia"/>
          <w:color w:val="auto"/>
          <w:kern w:val="2"/>
          <w:sz w:val="18"/>
          <w:szCs w:val="18"/>
          <w:lang w:val="en-US" w:eastAsia="zh-CN" w:bidi="ar-SA"/>
        </w:rPr>
        <w:t>备注：排序按照YTD2205销售额降序排序</w:t>
      </w:r>
      <w:r>
        <w:rPr>
          <w:rFonts w:hint="eastAsia" w:eastAsia="宋体" w:cs="Times New Roman" w:asciiTheme="minorEastAsia" w:hAnsiTheme="minorEastAsia"/>
          <w:color w:val="auto"/>
          <w:kern w:val="2"/>
          <w:sz w:val="28"/>
          <w:szCs w:val="28"/>
          <w:lang w:val="en-US" w:eastAsia="zh-CN" w:bidi="ar-SA"/>
        </w:rPr>
        <w:t> </w:t>
      </w:r>
      <w:r>
        <w:rPr>
          <w:rFonts w:hint="eastAsia" w:ascii="Microsoft YaHei UI" w:hAnsi="Microsoft YaHei UI" w:eastAsia="Microsoft YaHei UI" w:cs="Microsoft YaHei UI"/>
          <w:i w:val="0"/>
          <w:iCs w:val="0"/>
          <w:caps w:val="0"/>
          <w:color w:val="888888"/>
          <w:spacing w:val="30"/>
          <w:sz w:val="18"/>
          <w:szCs w:val="18"/>
          <w:shd w:val="clear" w:fill="FFFFFF"/>
        </w:rPr>
        <w:t>数据来源：中康CMH</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222222"/>
          <w:spacing w:val="8"/>
          <w:sz w:val="25"/>
          <w:szCs w:val="25"/>
        </w:rPr>
      </w:pPr>
      <w:r>
        <w:rPr>
          <w:rStyle w:val="14"/>
          <w:rFonts w:hint="eastAsia" w:ascii="Microsoft YaHei UI" w:hAnsi="Microsoft YaHei UI" w:eastAsia="Microsoft YaHei UI" w:cs="Microsoft YaHei UI"/>
          <w:i w:val="0"/>
          <w:iCs w:val="0"/>
          <w:caps w:val="0"/>
          <w:color w:val="000000"/>
          <w:spacing w:val="8"/>
          <w:sz w:val="19"/>
          <w:szCs w:val="19"/>
          <w:shd w:val="clear" w:fill="FFFFFF"/>
        </w:rPr>
        <w:t>— END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宋体" w:hAnsi="宋体" w:eastAsia="宋体" w:cs="宋体"/>
          <w:b/>
          <w:kern w:val="0"/>
          <w:sz w:val="33"/>
          <w:szCs w:val="33"/>
          <w:lang w:val="en-US" w:eastAsia="zh-CN" w:bidi="ar"/>
        </w:rPr>
      </w:pPr>
    </w:p>
    <w:sectPr>
      <w:headerReference r:id="rId4" w:type="first"/>
      <w:footerReference r:id="rId6" w:type="first"/>
      <w:headerReference r:id="rId3" w:type="default"/>
      <w:footerReference r:id="rId5" w:type="default"/>
      <w:pgSz w:w="11906" w:h="16838"/>
      <w:pgMar w:top="709" w:right="1797" w:bottom="426" w:left="1797"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Heiti SC Light">
    <w:altName w:val="Arial Unicode MS"/>
    <w:panose1 w:val="00000000000000000000"/>
    <w:charset w:val="50"/>
    <w:family w:val="auto"/>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Microsoft YaHei UI">
    <w:panose1 w:val="020B0503020204020204"/>
    <w:charset w:val="86"/>
    <w:family w:val="auto"/>
    <w:pitch w:val="default"/>
    <w:sig w:usb0="80000287" w:usb1="28CF3C52" w:usb2="00000016" w:usb3="00000000" w:csb0="0004001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174036"/>
      <w:docPartObj>
        <w:docPartGallery w:val="autotext"/>
      </w:docPartObj>
    </w:sdtPr>
    <w:sdtContent>
      <w:p>
        <w:pPr>
          <w:pStyle w:val="8"/>
          <w:jc w:val="center"/>
        </w:pPr>
        <w:r>
          <w:fldChar w:fldCharType="begin"/>
        </w:r>
        <w:r>
          <w:instrText xml:space="preserve"> PAGE   \* MERGEFORMAT </w:instrText>
        </w:r>
        <w:r>
          <w:fldChar w:fldCharType="separate"/>
        </w:r>
        <w:r>
          <w:rPr>
            <w:lang w:val="zh-CN"/>
          </w:rPr>
          <w:t>11</w:t>
        </w:r>
        <w:r>
          <w:rPr>
            <w:lang w:val="zh-CN"/>
          </w:rPr>
          <w:fldChar w:fldCharType="end"/>
        </w:r>
      </w:p>
    </w:sdtContent>
  </w:sdt>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A47036"/>
    <w:multiLevelType w:val="singleLevel"/>
    <w:tmpl w:val="86A47036"/>
    <w:lvl w:ilvl="0" w:tentative="0">
      <w:start w:val="1"/>
      <w:numFmt w:val="decimal"/>
      <w:suff w:val="nothing"/>
      <w:lvlText w:val="%1、"/>
      <w:lvlJc w:val="left"/>
    </w:lvl>
  </w:abstractNum>
  <w:abstractNum w:abstractNumId="1">
    <w:nsid w:val="AF5DA212"/>
    <w:multiLevelType w:val="singleLevel"/>
    <w:tmpl w:val="AF5DA212"/>
    <w:lvl w:ilvl="0" w:tentative="0">
      <w:start w:val="1"/>
      <w:numFmt w:val="decimal"/>
      <w:suff w:val="nothing"/>
      <w:lvlText w:val="%1、"/>
      <w:lvlJc w:val="left"/>
      <w:pPr>
        <w:ind w:left="420"/>
      </w:pPr>
    </w:lvl>
  </w:abstractNum>
  <w:abstractNum w:abstractNumId="2">
    <w:nsid w:val="159E846C"/>
    <w:multiLevelType w:val="singleLevel"/>
    <w:tmpl w:val="159E846C"/>
    <w:lvl w:ilvl="0" w:tentative="0">
      <w:start w:val="2"/>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DIyYzMyZjhjZWI0MmYzYWUxYzE2YThlOTgxY2RjYTIifQ=="/>
  </w:docVars>
  <w:rsids>
    <w:rsidRoot w:val="00EE0913"/>
    <w:rsid w:val="00001BFB"/>
    <w:rsid w:val="000022E3"/>
    <w:rsid w:val="000024F5"/>
    <w:rsid w:val="00002766"/>
    <w:rsid w:val="000039EE"/>
    <w:rsid w:val="00003F1F"/>
    <w:rsid w:val="000052F1"/>
    <w:rsid w:val="00005C14"/>
    <w:rsid w:val="00010051"/>
    <w:rsid w:val="000100BC"/>
    <w:rsid w:val="000113BB"/>
    <w:rsid w:val="00011510"/>
    <w:rsid w:val="00011729"/>
    <w:rsid w:val="000128A3"/>
    <w:rsid w:val="000146CA"/>
    <w:rsid w:val="00015379"/>
    <w:rsid w:val="000155B7"/>
    <w:rsid w:val="0001575A"/>
    <w:rsid w:val="00015A5C"/>
    <w:rsid w:val="00015D57"/>
    <w:rsid w:val="000175C9"/>
    <w:rsid w:val="00017C59"/>
    <w:rsid w:val="00017FF3"/>
    <w:rsid w:val="000208A4"/>
    <w:rsid w:val="00022B29"/>
    <w:rsid w:val="00022D08"/>
    <w:rsid w:val="0002356D"/>
    <w:rsid w:val="0002364C"/>
    <w:rsid w:val="00024906"/>
    <w:rsid w:val="0002670E"/>
    <w:rsid w:val="0002785C"/>
    <w:rsid w:val="00027E7A"/>
    <w:rsid w:val="00031218"/>
    <w:rsid w:val="0003140E"/>
    <w:rsid w:val="00031F9A"/>
    <w:rsid w:val="000323D0"/>
    <w:rsid w:val="00032702"/>
    <w:rsid w:val="00032748"/>
    <w:rsid w:val="00032D3A"/>
    <w:rsid w:val="00032F39"/>
    <w:rsid w:val="00033524"/>
    <w:rsid w:val="000341C2"/>
    <w:rsid w:val="000348FD"/>
    <w:rsid w:val="000352F5"/>
    <w:rsid w:val="00035AF1"/>
    <w:rsid w:val="00035BE2"/>
    <w:rsid w:val="00035C5A"/>
    <w:rsid w:val="00035CD4"/>
    <w:rsid w:val="00036356"/>
    <w:rsid w:val="0003643D"/>
    <w:rsid w:val="00036535"/>
    <w:rsid w:val="00040400"/>
    <w:rsid w:val="00040A70"/>
    <w:rsid w:val="00040DA8"/>
    <w:rsid w:val="000417F0"/>
    <w:rsid w:val="000420F3"/>
    <w:rsid w:val="000436FE"/>
    <w:rsid w:val="00043E05"/>
    <w:rsid w:val="000454E9"/>
    <w:rsid w:val="000459E3"/>
    <w:rsid w:val="00047695"/>
    <w:rsid w:val="00050CCD"/>
    <w:rsid w:val="00050E0C"/>
    <w:rsid w:val="00051091"/>
    <w:rsid w:val="00053A0E"/>
    <w:rsid w:val="00053CCF"/>
    <w:rsid w:val="00053D46"/>
    <w:rsid w:val="00055025"/>
    <w:rsid w:val="0005614E"/>
    <w:rsid w:val="000561FD"/>
    <w:rsid w:val="0005653C"/>
    <w:rsid w:val="0005678D"/>
    <w:rsid w:val="00056ADA"/>
    <w:rsid w:val="00057394"/>
    <w:rsid w:val="00057873"/>
    <w:rsid w:val="00057E16"/>
    <w:rsid w:val="00060194"/>
    <w:rsid w:val="00060829"/>
    <w:rsid w:val="00060B4E"/>
    <w:rsid w:val="00060DB6"/>
    <w:rsid w:val="00060E3A"/>
    <w:rsid w:val="00060F2A"/>
    <w:rsid w:val="000612FF"/>
    <w:rsid w:val="00061883"/>
    <w:rsid w:val="0006228B"/>
    <w:rsid w:val="000627A5"/>
    <w:rsid w:val="000629CC"/>
    <w:rsid w:val="00063B74"/>
    <w:rsid w:val="000644AD"/>
    <w:rsid w:val="00064FF9"/>
    <w:rsid w:val="000660CF"/>
    <w:rsid w:val="00066B1E"/>
    <w:rsid w:val="00067203"/>
    <w:rsid w:val="0007054B"/>
    <w:rsid w:val="00070668"/>
    <w:rsid w:val="00070C62"/>
    <w:rsid w:val="00072506"/>
    <w:rsid w:val="0007440C"/>
    <w:rsid w:val="00074962"/>
    <w:rsid w:val="0007594B"/>
    <w:rsid w:val="00076278"/>
    <w:rsid w:val="00076422"/>
    <w:rsid w:val="00076AA0"/>
    <w:rsid w:val="00077AA6"/>
    <w:rsid w:val="00081C4C"/>
    <w:rsid w:val="0008296C"/>
    <w:rsid w:val="00082B25"/>
    <w:rsid w:val="00082D82"/>
    <w:rsid w:val="0008334C"/>
    <w:rsid w:val="00083BD0"/>
    <w:rsid w:val="00084851"/>
    <w:rsid w:val="000853DB"/>
    <w:rsid w:val="000855A7"/>
    <w:rsid w:val="00085664"/>
    <w:rsid w:val="00086182"/>
    <w:rsid w:val="00086257"/>
    <w:rsid w:val="00086383"/>
    <w:rsid w:val="0008668C"/>
    <w:rsid w:val="00087C0D"/>
    <w:rsid w:val="00087E46"/>
    <w:rsid w:val="00087FA7"/>
    <w:rsid w:val="00090C13"/>
    <w:rsid w:val="00091146"/>
    <w:rsid w:val="0009141B"/>
    <w:rsid w:val="0009174A"/>
    <w:rsid w:val="00091FFC"/>
    <w:rsid w:val="00093A40"/>
    <w:rsid w:val="00093CBF"/>
    <w:rsid w:val="00093E3A"/>
    <w:rsid w:val="00094515"/>
    <w:rsid w:val="000953D3"/>
    <w:rsid w:val="00096C9C"/>
    <w:rsid w:val="00097D5A"/>
    <w:rsid w:val="000A003B"/>
    <w:rsid w:val="000A0979"/>
    <w:rsid w:val="000A0C20"/>
    <w:rsid w:val="000A1603"/>
    <w:rsid w:val="000A1660"/>
    <w:rsid w:val="000A1AFA"/>
    <w:rsid w:val="000A1B47"/>
    <w:rsid w:val="000A1FCA"/>
    <w:rsid w:val="000A202A"/>
    <w:rsid w:val="000A2150"/>
    <w:rsid w:val="000A23F5"/>
    <w:rsid w:val="000A49A4"/>
    <w:rsid w:val="000A634C"/>
    <w:rsid w:val="000A6BFA"/>
    <w:rsid w:val="000A7367"/>
    <w:rsid w:val="000B0A67"/>
    <w:rsid w:val="000B3940"/>
    <w:rsid w:val="000B3F1B"/>
    <w:rsid w:val="000B4EC5"/>
    <w:rsid w:val="000B53B1"/>
    <w:rsid w:val="000B5C93"/>
    <w:rsid w:val="000B6825"/>
    <w:rsid w:val="000B6B78"/>
    <w:rsid w:val="000C2567"/>
    <w:rsid w:val="000C47AA"/>
    <w:rsid w:val="000C4E05"/>
    <w:rsid w:val="000C682D"/>
    <w:rsid w:val="000C6AFC"/>
    <w:rsid w:val="000C6FFF"/>
    <w:rsid w:val="000C7C03"/>
    <w:rsid w:val="000D041E"/>
    <w:rsid w:val="000D0824"/>
    <w:rsid w:val="000D0D8A"/>
    <w:rsid w:val="000D1C31"/>
    <w:rsid w:val="000D246E"/>
    <w:rsid w:val="000D28F7"/>
    <w:rsid w:val="000D56A1"/>
    <w:rsid w:val="000D5A1A"/>
    <w:rsid w:val="000D61D0"/>
    <w:rsid w:val="000D6AB0"/>
    <w:rsid w:val="000D76C3"/>
    <w:rsid w:val="000E0059"/>
    <w:rsid w:val="000E05FD"/>
    <w:rsid w:val="000E11A9"/>
    <w:rsid w:val="000E1243"/>
    <w:rsid w:val="000E16A0"/>
    <w:rsid w:val="000E251E"/>
    <w:rsid w:val="000E2955"/>
    <w:rsid w:val="000E2B6C"/>
    <w:rsid w:val="000E4895"/>
    <w:rsid w:val="000E4A5E"/>
    <w:rsid w:val="000E5D58"/>
    <w:rsid w:val="000E6245"/>
    <w:rsid w:val="000E79CF"/>
    <w:rsid w:val="000F0270"/>
    <w:rsid w:val="000F07CE"/>
    <w:rsid w:val="000F0AF0"/>
    <w:rsid w:val="000F0C17"/>
    <w:rsid w:val="000F0F23"/>
    <w:rsid w:val="000F1D22"/>
    <w:rsid w:val="000F2C6A"/>
    <w:rsid w:val="000F32F6"/>
    <w:rsid w:val="000F33C1"/>
    <w:rsid w:val="000F43A9"/>
    <w:rsid w:val="000F55D2"/>
    <w:rsid w:val="000F6444"/>
    <w:rsid w:val="000F6846"/>
    <w:rsid w:val="000F6ACA"/>
    <w:rsid w:val="000F6D53"/>
    <w:rsid w:val="000F724C"/>
    <w:rsid w:val="001016A6"/>
    <w:rsid w:val="00101B15"/>
    <w:rsid w:val="001031E5"/>
    <w:rsid w:val="001032B8"/>
    <w:rsid w:val="00103BC3"/>
    <w:rsid w:val="00103DAD"/>
    <w:rsid w:val="00104ACF"/>
    <w:rsid w:val="00105135"/>
    <w:rsid w:val="001056A9"/>
    <w:rsid w:val="00105CE5"/>
    <w:rsid w:val="001069F4"/>
    <w:rsid w:val="0010723C"/>
    <w:rsid w:val="00107268"/>
    <w:rsid w:val="0011189B"/>
    <w:rsid w:val="00113937"/>
    <w:rsid w:val="00113DC5"/>
    <w:rsid w:val="00114185"/>
    <w:rsid w:val="00114802"/>
    <w:rsid w:val="001149F4"/>
    <w:rsid w:val="001163FB"/>
    <w:rsid w:val="001173FB"/>
    <w:rsid w:val="00117A35"/>
    <w:rsid w:val="0012030B"/>
    <w:rsid w:val="00120A62"/>
    <w:rsid w:val="00121C29"/>
    <w:rsid w:val="00122376"/>
    <w:rsid w:val="00122583"/>
    <w:rsid w:val="001225B1"/>
    <w:rsid w:val="001228C5"/>
    <w:rsid w:val="00123126"/>
    <w:rsid w:val="00123D5A"/>
    <w:rsid w:val="0012415F"/>
    <w:rsid w:val="00124221"/>
    <w:rsid w:val="00125020"/>
    <w:rsid w:val="001257A6"/>
    <w:rsid w:val="00126255"/>
    <w:rsid w:val="00126BF8"/>
    <w:rsid w:val="0012750C"/>
    <w:rsid w:val="0012752B"/>
    <w:rsid w:val="00127A07"/>
    <w:rsid w:val="0013048B"/>
    <w:rsid w:val="00130EEA"/>
    <w:rsid w:val="00131CBA"/>
    <w:rsid w:val="00131EC6"/>
    <w:rsid w:val="00132673"/>
    <w:rsid w:val="001326AA"/>
    <w:rsid w:val="00133315"/>
    <w:rsid w:val="00136D64"/>
    <w:rsid w:val="001403FA"/>
    <w:rsid w:val="001407D8"/>
    <w:rsid w:val="0014087D"/>
    <w:rsid w:val="001424A8"/>
    <w:rsid w:val="0014298A"/>
    <w:rsid w:val="00142E3F"/>
    <w:rsid w:val="00144B2F"/>
    <w:rsid w:val="00144ECC"/>
    <w:rsid w:val="00145DB1"/>
    <w:rsid w:val="001460BB"/>
    <w:rsid w:val="001466DA"/>
    <w:rsid w:val="00146CD9"/>
    <w:rsid w:val="00147260"/>
    <w:rsid w:val="00147B39"/>
    <w:rsid w:val="001500A3"/>
    <w:rsid w:val="00150113"/>
    <w:rsid w:val="00150FFB"/>
    <w:rsid w:val="00151A04"/>
    <w:rsid w:val="00152AE5"/>
    <w:rsid w:val="00152C40"/>
    <w:rsid w:val="00152E4E"/>
    <w:rsid w:val="0015388E"/>
    <w:rsid w:val="00153D1C"/>
    <w:rsid w:val="00154F45"/>
    <w:rsid w:val="0015554A"/>
    <w:rsid w:val="00155BAD"/>
    <w:rsid w:val="001563A0"/>
    <w:rsid w:val="00156883"/>
    <w:rsid w:val="001578CA"/>
    <w:rsid w:val="001608F2"/>
    <w:rsid w:val="00162ADF"/>
    <w:rsid w:val="00162DBC"/>
    <w:rsid w:val="001630AD"/>
    <w:rsid w:val="001639CA"/>
    <w:rsid w:val="00163BDD"/>
    <w:rsid w:val="00163DA7"/>
    <w:rsid w:val="001642EC"/>
    <w:rsid w:val="00164597"/>
    <w:rsid w:val="00164B58"/>
    <w:rsid w:val="00164C43"/>
    <w:rsid w:val="001670DA"/>
    <w:rsid w:val="0017152E"/>
    <w:rsid w:val="00171A68"/>
    <w:rsid w:val="001739AD"/>
    <w:rsid w:val="00173C28"/>
    <w:rsid w:val="0017408C"/>
    <w:rsid w:val="0017457B"/>
    <w:rsid w:val="00175134"/>
    <w:rsid w:val="001767E5"/>
    <w:rsid w:val="0018153F"/>
    <w:rsid w:val="0018160E"/>
    <w:rsid w:val="00181800"/>
    <w:rsid w:val="001818F9"/>
    <w:rsid w:val="0018574F"/>
    <w:rsid w:val="00185B3C"/>
    <w:rsid w:val="00186072"/>
    <w:rsid w:val="0018620F"/>
    <w:rsid w:val="001864C9"/>
    <w:rsid w:val="00186C9C"/>
    <w:rsid w:val="00187303"/>
    <w:rsid w:val="001903A2"/>
    <w:rsid w:val="001905DD"/>
    <w:rsid w:val="001908AB"/>
    <w:rsid w:val="00190927"/>
    <w:rsid w:val="00190F6E"/>
    <w:rsid w:val="001919F5"/>
    <w:rsid w:val="00191FD5"/>
    <w:rsid w:val="0019335B"/>
    <w:rsid w:val="00193B69"/>
    <w:rsid w:val="00193D4E"/>
    <w:rsid w:val="00193F34"/>
    <w:rsid w:val="0019486C"/>
    <w:rsid w:val="00195DC1"/>
    <w:rsid w:val="001962FE"/>
    <w:rsid w:val="001A038F"/>
    <w:rsid w:val="001A0497"/>
    <w:rsid w:val="001A1C96"/>
    <w:rsid w:val="001A301E"/>
    <w:rsid w:val="001A354B"/>
    <w:rsid w:val="001A354F"/>
    <w:rsid w:val="001A47B2"/>
    <w:rsid w:val="001A4F2B"/>
    <w:rsid w:val="001A4F78"/>
    <w:rsid w:val="001A510C"/>
    <w:rsid w:val="001A5C75"/>
    <w:rsid w:val="001A5FCE"/>
    <w:rsid w:val="001A621D"/>
    <w:rsid w:val="001B0448"/>
    <w:rsid w:val="001B07E5"/>
    <w:rsid w:val="001B0EFF"/>
    <w:rsid w:val="001B1199"/>
    <w:rsid w:val="001B1726"/>
    <w:rsid w:val="001B1E70"/>
    <w:rsid w:val="001B2160"/>
    <w:rsid w:val="001B25B6"/>
    <w:rsid w:val="001B3741"/>
    <w:rsid w:val="001B3846"/>
    <w:rsid w:val="001B4721"/>
    <w:rsid w:val="001B544A"/>
    <w:rsid w:val="001B5720"/>
    <w:rsid w:val="001B62B5"/>
    <w:rsid w:val="001B6A65"/>
    <w:rsid w:val="001B6C75"/>
    <w:rsid w:val="001B7DF4"/>
    <w:rsid w:val="001C27A9"/>
    <w:rsid w:val="001C2967"/>
    <w:rsid w:val="001C3235"/>
    <w:rsid w:val="001C39E0"/>
    <w:rsid w:val="001C39FD"/>
    <w:rsid w:val="001C4801"/>
    <w:rsid w:val="001C508D"/>
    <w:rsid w:val="001C5A48"/>
    <w:rsid w:val="001D0737"/>
    <w:rsid w:val="001D13D4"/>
    <w:rsid w:val="001D1E3F"/>
    <w:rsid w:val="001D33E2"/>
    <w:rsid w:val="001D3B5C"/>
    <w:rsid w:val="001D3BFF"/>
    <w:rsid w:val="001D433F"/>
    <w:rsid w:val="001D44DA"/>
    <w:rsid w:val="001D5F46"/>
    <w:rsid w:val="001D5F9D"/>
    <w:rsid w:val="001D71ED"/>
    <w:rsid w:val="001D7E99"/>
    <w:rsid w:val="001E0A8D"/>
    <w:rsid w:val="001E0EF4"/>
    <w:rsid w:val="001E1450"/>
    <w:rsid w:val="001E1C3D"/>
    <w:rsid w:val="001E2F38"/>
    <w:rsid w:val="001E34DF"/>
    <w:rsid w:val="001E3D69"/>
    <w:rsid w:val="001E66CE"/>
    <w:rsid w:val="001E6B82"/>
    <w:rsid w:val="001E72AD"/>
    <w:rsid w:val="001E7B65"/>
    <w:rsid w:val="001F0482"/>
    <w:rsid w:val="001F090A"/>
    <w:rsid w:val="001F0A9C"/>
    <w:rsid w:val="001F17B4"/>
    <w:rsid w:val="001F2D98"/>
    <w:rsid w:val="001F2F68"/>
    <w:rsid w:val="001F33AE"/>
    <w:rsid w:val="001F3D96"/>
    <w:rsid w:val="001F4080"/>
    <w:rsid w:val="001F467E"/>
    <w:rsid w:val="001F4D84"/>
    <w:rsid w:val="001F53FD"/>
    <w:rsid w:val="001F6CFD"/>
    <w:rsid w:val="001F7124"/>
    <w:rsid w:val="0020139B"/>
    <w:rsid w:val="002022A3"/>
    <w:rsid w:val="002034B9"/>
    <w:rsid w:val="00203567"/>
    <w:rsid w:val="00203947"/>
    <w:rsid w:val="00205880"/>
    <w:rsid w:val="00205AB9"/>
    <w:rsid w:val="00205B89"/>
    <w:rsid w:val="00205EB5"/>
    <w:rsid w:val="00206FBB"/>
    <w:rsid w:val="00207153"/>
    <w:rsid w:val="002075FF"/>
    <w:rsid w:val="0020779A"/>
    <w:rsid w:val="002103E0"/>
    <w:rsid w:val="0021048A"/>
    <w:rsid w:val="002105D7"/>
    <w:rsid w:val="0021132D"/>
    <w:rsid w:val="002119CC"/>
    <w:rsid w:val="002122CD"/>
    <w:rsid w:val="00212300"/>
    <w:rsid w:val="00213B80"/>
    <w:rsid w:val="00214454"/>
    <w:rsid w:val="0021452B"/>
    <w:rsid w:val="002160B9"/>
    <w:rsid w:val="00216CDF"/>
    <w:rsid w:val="002173B6"/>
    <w:rsid w:val="00221241"/>
    <w:rsid w:val="00222CC3"/>
    <w:rsid w:val="00223404"/>
    <w:rsid w:val="002236A0"/>
    <w:rsid w:val="00223FA0"/>
    <w:rsid w:val="002243A0"/>
    <w:rsid w:val="002243A5"/>
    <w:rsid w:val="002249B6"/>
    <w:rsid w:val="00226714"/>
    <w:rsid w:val="002278CC"/>
    <w:rsid w:val="00230207"/>
    <w:rsid w:val="00230B63"/>
    <w:rsid w:val="00230C6B"/>
    <w:rsid w:val="00231311"/>
    <w:rsid w:val="002314A5"/>
    <w:rsid w:val="002318A0"/>
    <w:rsid w:val="002327D9"/>
    <w:rsid w:val="00232967"/>
    <w:rsid w:val="00233542"/>
    <w:rsid w:val="0023379C"/>
    <w:rsid w:val="00233C59"/>
    <w:rsid w:val="00235103"/>
    <w:rsid w:val="002351A4"/>
    <w:rsid w:val="002353B1"/>
    <w:rsid w:val="00236537"/>
    <w:rsid w:val="00237D91"/>
    <w:rsid w:val="0024061C"/>
    <w:rsid w:val="00240C67"/>
    <w:rsid w:val="00240FAB"/>
    <w:rsid w:val="002416FC"/>
    <w:rsid w:val="0024184A"/>
    <w:rsid w:val="002427C2"/>
    <w:rsid w:val="00244227"/>
    <w:rsid w:val="00244248"/>
    <w:rsid w:val="0024457B"/>
    <w:rsid w:val="00244ABD"/>
    <w:rsid w:val="00245654"/>
    <w:rsid w:val="00245FDA"/>
    <w:rsid w:val="0024640D"/>
    <w:rsid w:val="00247264"/>
    <w:rsid w:val="00247497"/>
    <w:rsid w:val="00247AA4"/>
    <w:rsid w:val="00247E86"/>
    <w:rsid w:val="00250630"/>
    <w:rsid w:val="0025106B"/>
    <w:rsid w:val="002519F4"/>
    <w:rsid w:val="00251B6B"/>
    <w:rsid w:val="00251BB2"/>
    <w:rsid w:val="0025201B"/>
    <w:rsid w:val="00252A4A"/>
    <w:rsid w:val="00254F04"/>
    <w:rsid w:val="00255199"/>
    <w:rsid w:val="0025548F"/>
    <w:rsid w:val="00256111"/>
    <w:rsid w:val="00256345"/>
    <w:rsid w:val="002563FA"/>
    <w:rsid w:val="0026045F"/>
    <w:rsid w:val="00260468"/>
    <w:rsid w:val="00260992"/>
    <w:rsid w:val="002621FF"/>
    <w:rsid w:val="00262479"/>
    <w:rsid w:val="002625D6"/>
    <w:rsid w:val="002629B4"/>
    <w:rsid w:val="00262A6D"/>
    <w:rsid w:val="0026346A"/>
    <w:rsid w:val="002638D5"/>
    <w:rsid w:val="00264A0A"/>
    <w:rsid w:val="002657C3"/>
    <w:rsid w:val="0026611E"/>
    <w:rsid w:val="0026627E"/>
    <w:rsid w:val="00266A78"/>
    <w:rsid w:val="00266C02"/>
    <w:rsid w:val="00266CC5"/>
    <w:rsid w:val="002677A9"/>
    <w:rsid w:val="00270B26"/>
    <w:rsid w:val="00272A57"/>
    <w:rsid w:val="00272DD6"/>
    <w:rsid w:val="00272DD8"/>
    <w:rsid w:val="0027315C"/>
    <w:rsid w:val="00273666"/>
    <w:rsid w:val="00274D0C"/>
    <w:rsid w:val="00275C4C"/>
    <w:rsid w:val="00276854"/>
    <w:rsid w:val="00276E5B"/>
    <w:rsid w:val="002776BC"/>
    <w:rsid w:val="0028072E"/>
    <w:rsid w:val="00280939"/>
    <w:rsid w:val="0028113F"/>
    <w:rsid w:val="00281484"/>
    <w:rsid w:val="00283DBC"/>
    <w:rsid w:val="00284758"/>
    <w:rsid w:val="002852EE"/>
    <w:rsid w:val="00285A99"/>
    <w:rsid w:val="00286857"/>
    <w:rsid w:val="002903C0"/>
    <w:rsid w:val="002906A4"/>
    <w:rsid w:val="00291A08"/>
    <w:rsid w:val="002920A8"/>
    <w:rsid w:val="00292553"/>
    <w:rsid w:val="00292558"/>
    <w:rsid w:val="00292833"/>
    <w:rsid w:val="00292AA3"/>
    <w:rsid w:val="00292B86"/>
    <w:rsid w:val="00292CF2"/>
    <w:rsid w:val="0029335C"/>
    <w:rsid w:val="002937FB"/>
    <w:rsid w:val="002938F5"/>
    <w:rsid w:val="002946BD"/>
    <w:rsid w:val="002952D5"/>
    <w:rsid w:val="00295F88"/>
    <w:rsid w:val="00297251"/>
    <w:rsid w:val="0029747B"/>
    <w:rsid w:val="002A07D3"/>
    <w:rsid w:val="002A2451"/>
    <w:rsid w:val="002A33A8"/>
    <w:rsid w:val="002A3C2B"/>
    <w:rsid w:val="002A4944"/>
    <w:rsid w:val="002A598B"/>
    <w:rsid w:val="002A5DD2"/>
    <w:rsid w:val="002A62EC"/>
    <w:rsid w:val="002A68AE"/>
    <w:rsid w:val="002B01FD"/>
    <w:rsid w:val="002B0589"/>
    <w:rsid w:val="002B1FCF"/>
    <w:rsid w:val="002B3ED6"/>
    <w:rsid w:val="002B3FA2"/>
    <w:rsid w:val="002B46CC"/>
    <w:rsid w:val="002B4A21"/>
    <w:rsid w:val="002B4B4C"/>
    <w:rsid w:val="002B4DC6"/>
    <w:rsid w:val="002B5298"/>
    <w:rsid w:val="002B556C"/>
    <w:rsid w:val="002B5B13"/>
    <w:rsid w:val="002B681D"/>
    <w:rsid w:val="002B741C"/>
    <w:rsid w:val="002C1C42"/>
    <w:rsid w:val="002C1E38"/>
    <w:rsid w:val="002C2126"/>
    <w:rsid w:val="002C26E3"/>
    <w:rsid w:val="002C31C2"/>
    <w:rsid w:val="002C3457"/>
    <w:rsid w:val="002C393C"/>
    <w:rsid w:val="002C3FEE"/>
    <w:rsid w:val="002C431C"/>
    <w:rsid w:val="002C46BB"/>
    <w:rsid w:val="002C473E"/>
    <w:rsid w:val="002C4A09"/>
    <w:rsid w:val="002C72F3"/>
    <w:rsid w:val="002C7A72"/>
    <w:rsid w:val="002C7DC1"/>
    <w:rsid w:val="002D1189"/>
    <w:rsid w:val="002D1EA0"/>
    <w:rsid w:val="002D216A"/>
    <w:rsid w:val="002D2553"/>
    <w:rsid w:val="002D2D9C"/>
    <w:rsid w:val="002D3CB8"/>
    <w:rsid w:val="002D4680"/>
    <w:rsid w:val="002D50D6"/>
    <w:rsid w:val="002D580B"/>
    <w:rsid w:val="002D5B47"/>
    <w:rsid w:val="002D68A2"/>
    <w:rsid w:val="002D6CB2"/>
    <w:rsid w:val="002D7855"/>
    <w:rsid w:val="002D7BEE"/>
    <w:rsid w:val="002E096F"/>
    <w:rsid w:val="002E1EA0"/>
    <w:rsid w:val="002E2D86"/>
    <w:rsid w:val="002E36AC"/>
    <w:rsid w:val="002E3F25"/>
    <w:rsid w:val="002E5E7D"/>
    <w:rsid w:val="002E68AF"/>
    <w:rsid w:val="002F0685"/>
    <w:rsid w:val="002F1160"/>
    <w:rsid w:val="002F13BC"/>
    <w:rsid w:val="002F1F90"/>
    <w:rsid w:val="002F3403"/>
    <w:rsid w:val="002F3F94"/>
    <w:rsid w:val="002F40B3"/>
    <w:rsid w:val="002F58B5"/>
    <w:rsid w:val="002F7B7B"/>
    <w:rsid w:val="00300477"/>
    <w:rsid w:val="00300F79"/>
    <w:rsid w:val="00302DBE"/>
    <w:rsid w:val="00304584"/>
    <w:rsid w:val="00304793"/>
    <w:rsid w:val="003047E7"/>
    <w:rsid w:val="003051B4"/>
    <w:rsid w:val="00305369"/>
    <w:rsid w:val="00305412"/>
    <w:rsid w:val="00306DBC"/>
    <w:rsid w:val="00307F55"/>
    <w:rsid w:val="0031012A"/>
    <w:rsid w:val="00310835"/>
    <w:rsid w:val="00310B0A"/>
    <w:rsid w:val="0031156E"/>
    <w:rsid w:val="00311A79"/>
    <w:rsid w:val="00312472"/>
    <w:rsid w:val="00312785"/>
    <w:rsid w:val="00312A2C"/>
    <w:rsid w:val="00312A4E"/>
    <w:rsid w:val="00313469"/>
    <w:rsid w:val="00313539"/>
    <w:rsid w:val="00314C54"/>
    <w:rsid w:val="00317276"/>
    <w:rsid w:val="003179E4"/>
    <w:rsid w:val="00317BF9"/>
    <w:rsid w:val="00320350"/>
    <w:rsid w:val="00320E71"/>
    <w:rsid w:val="00320FE0"/>
    <w:rsid w:val="003210F3"/>
    <w:rsid w:val="00321602"/>
    <w:rsid w:val="0032169F"/>
    <w:rsid w:val="00322C5C"/>
    <w:rsid w:val="00323017"/>
    <w:rsid w:val="00323170"/>
    <w:rsid w:val="00323392"/>
    <w:rsid w:val="0032363C"/>
    <w:rsid w:val="00323C2E"/>
    <w:rsid w:val="00324197"/>
    <w:rsid w:val="00325071"/>
    <w:rsid w:val="003268D7"/>
    <w:rsid w:val="00327CAF"/>
    <w:rsid w:val="00327FE5"/>
    <w:rsid w:val="0033263D"/>
    <w:rsid w:val="0033291B"/>
    <w:rsid w:val="0033465D"/>
    <w:rsid w:val="00335274"/>
    <w:rsid w:val="00335A4E"/>
    <w:rsid w:val="00335C44"/>
    <w:rsid w:val="00336460"/>
    <w:rsid w:val="00336499"/>
    <w:rsid w:val="0033663B"/>
    <w:rsid w:val="00336E08"/>
    <w:rsid w:val="00336F6F"/>
    <w:rsid w:val="003370D6"/>
    <w:rsid w:val="0033724A"/>
    <w:rsid w:val="00337391"/>
    <w:rsid w:val="00337888"/>
    <w:rsid w:val="00341038"/>
    <w:rsid w:val="0034105F"/>
    <w:rsid w:val="00342973"/>
    <w:rsid w:val="0034346C"/>
    <w:rsid w:val="0034378E"/>
    <w:rsid w:val="0034422C"/>
    <w:rsid w:val="003442D9"/>
    <w:rsid w:val="00345AFD"/>
    <w:rsid w:val="00346311"/>
    <w:rsid w:val="00346627"/>
    <w:rsid w:val="003507E9"/>
    <w:rsid w:val="00350845"/>
    <w:rsid w:val="00351168"/>
    <w:rsid w:val="00352C9C"/>
    <w:rsid w:val="0035304D"/>
    <w:rsid w:val="00354BFD"/>
    <w:rsid w:val="00354D1F"/>
    <w:rsid w:val="00355190"/>
    <w:rsid w:val="00357A31"/>
    <w:rsid w:val="00357D07"/>
    <w:rsid w:val="00360F8B"/>
    <w:rsid w:val="00361C58"/>
    <w:rsid w:val="00361FBE"/>
    <w:rsid w:val="00364EDB"/>
    <w:rsid w:val="00365092"/>
    <w:rsid w:val="003656A7"/>
    <w:rsid w:val="00365C24"/>
    <w:rsid w:val="003662F1"/>
    <w:rsid w:val="00366A50"/>
    <w:rsid w:val="00366F4D"/>
    <w:rsid w:val="0036711D"/>
    <w:rsid w:val="00367305"/>
    <w:rsid w:val="0036751A"/>
    <w:rsid w:val="003679CE"/>
    <w:rsid w:val="003712D6"/>
    <w:rsid w:val="00371710"/>
    <w:rsid w:val="003724C8"/>
    <w:rsid w:val="003730BD"/>
    <w:rsid w:val="00373967"/>
    <w:rsid w:val="00374CE2"/>
    <w:rsid w:val="003752B6"/>
    <w:rsid w:val="00376004"/>
    <w:rsid w:val="0037647A"/>
    <w:rsid w:val="00376480"/>
    <w:rsid w:val="00376771"/>
    <w:rsid w:val="0037765D"/>
    <w:rsid w:val="00380C91"/>
    <w:rsid w:val="0038131A"/>
    <w:rsid w:val="003817B3"/>
    <w:rsid w:val="00382270"/>
    <w:rsid w:val="003836E1"/>
    <w:rsid w:val="00384748"/>
    <w:rsid w:val="003849E1"/>
    <w:rsid w:val="00385431"/>
    <w:rsid w:val="00385743"/>
    <w:rsid w:val="00386D12"/>
    <w:rsid w:val="003874DC"/>
    <w:rsid w:val="00387AE4"/>
    <w:rsid w:val="003902B7"/>
    <w:rsid w:val="003902FB"/>
    <w:rsid w:val="00390444"/>
    <w:rsid w:val="00390851"/>
    <w:rsid w:val="0039109A"/>
    <w:rsid w:val="003914FA"/>
    <w:rsid w:val="00393655"/>
    <w:rsid w:val="00393F06"/>
    <w:rsid w:val="0039555E"/>
    <w:rsid w:val="003962F0"/>
    <w:rsid w:val="00397D5A"/>
    <w:rsid w:val="00397F9A"/>
    <w:rsid w:val="003A06BF"/>
    <w:rsid w:val="003A082D"/>
    <w:rsid w:val="003A0FC6"/>
    <w:rsid w:val="003A17C6"/>
    <w:rsid w:val="003A1EDA"/>
    <w:rsid w:val="003A230C"/>
    <w:rsid w:val="003A2A79"/>
    <w:rsid w:val="003A2D64"/>
    <w:rsid w:val="003A3081"/>
    <w:rsid w:val="003A4135"/>
    <w:rsid w:val="003A4422"/>
    <w:rsid w:val="003A5055"/>
    <w:rsid w:val="003A516D"/>
    <w:rsid w:val="003A5641"/>
    <w:rsid w:val="003A583B"/>
    <w:rsid w:val="003A67B2"/>
    <w:rsid w:val="003A6902"/>
    <w:rsid w:val="003A7F64"/>
    <w:rsid w:val="003B014F"/>
    <w:rsid w:val="003B044F"/>
    <w:rsid w:val="003B0EE9"/>
    <w:rsid w:val="003B2521"/>
    <w:rsid w:val="003B37EF"/>
    <w:rsid w:val="003B3A38"/>
    <w:rsid w:val="003B478F"/>
    <w:rsid w:val="003B5078"/>
    <w:rsid w:val="003B6CEF"/>
    <w:rsid w:val="003B7665"/>
    <w:rsid w:val="003B794B"/>
    <w:rsid w:val="003C0CEC"/>
    <w:rsid w:val="003C1120"/>
    <w:rsid w:val="003C1999"/>
    <w:rsid w:val="003C1A2D"/>
    <w:rsid w:val="003C31B3"/>
    <w:rsid w:val="003C3686"/>
    <w:rsid w:val="003C3AD5"/>
    <w:rsid w:val="003C46AB"/>
    <w:rsid w:val="003C4D36"/>
    <w:rsid w:val="003C594F"/>
    <w:rsid w:val="003C5C2A"/>
    <w:rsid w:val="003C6E83"/>
    <w:rsid w:val="003C79BE"/>
    <w:rsid w:val="003D073B"/>
    <w:rsid w:val="003D1CD9"/>
    <w:rsid w:val="003D24D6"/>
    <w:rsid w:val="003D2AE9"/>
    <w:rsid w:val="003D402A"/>
    <w:rsid w:val="003D4F06"/>
    <w:rsid w:val="003D68AB"/>
    <w:rsid w:val="003D7AC8"/>
    <w:rsid w:val="003D7ADF"/>
    <w:rsid w:val="003D7B40"/>
    <w:rsid w:val="003E0D0F"/>
    <w:rsid w:val="003E1888"/>
    <w:rsid w:val="003E3DE0"/>
    <w:rsid w:val="003E499D"/>
    <w:rsid w:val="003E4D7B"/>
    <w:rsid w:val="003E50E1"/>
    <w:rsid w:val="003E5215"/>
    <w:rsid w:val="003E524C"/>
    <w:rsid w:val="003E5A12"/>
    <w:rsid w:val="003E5B90"/>
    <w:rsid w:val="003E6D15"/>
    <w:rsid w:val="003E6FE6"/>
    <w:rsid w:val="003E70B9"/>
    <w:rsid w:val="003E711B"/>
    <w:rsid w:val="003E74F7"/>
    <w:rsid w:val="003E76BE"/>
    <w:rsid w:val="003F09D8"/>
    <w:rsid w:val="003F11DF"/>
    <w:rsid w:val="003F12FB"/>
    <w:rsid w:val="003F1864"/>
    <w:rsid w:val="003F1D3F"/>
    <w:rsid w:val="003F1F98"/>
    <w:rsid w:val="003F3312"/>
    <w:rsid w:val="003F480C"/>
    <w:rsid w:val="003F4D08"/>
    <w:rsid w:val="003F5392"/>
    <w:rsid w:val="003F5C06"/>
    <w:rsid w:val="003F5D26"/>
    <w:rsid w:val="003F5E53"/>
    <w:rsid w:val="003F5FAB"/>
    <w:rsid w:val="003F66F5"/>
    <w:rsid w:val="003F6EF1"/>
    <w:rsid w:val="003F6F0B"/>
    <w:rsid w:val="003F6F7E"/>
    <w:rsid w:val="003F7CD9"/>
    <w:rsid w:val="004004A9"/>
    <w:rsid w:val="00401A5E"/>
    <w:rsid w:val="00402835"/>
    <w:rsid w:val="004036D4"/>
    <w:rsid w:val="004037CC"/>
    <w:rsid w:val="00403D84"/>
    <w:rsid w:val="00403E71"/>
    <w:rsid w:val="00404FFF"/>
    <w:rsid w:val="00406F51"/>
    <w:rsid w:val="0040708F"/>
    <w:rsid w:val="00407DE5"/>
    <w:rsid w:val="00412203"/>
    <w:rsid w:val="00412CF6"/>
    <w:rsid w:val="00413EE7"/>
    <w:rsid w:val="00413FA9"/>
    <w:rsid w:val="004142CB"/>
    <w:rsid w:val="004145E0"/>
    <w:rsid w:val="0041468C"/>
    <w:rsid w:val="00415BFA"/>
    <w:rsid w:val="00415CB7"/>
    <w:rsid w:val="00415F69"/>
    <w:rsid w:val="00416421"/>
    <w:rsid w:val="00416EF8"/>
    <w:rsid w:val="00417AE2"/>
    <w:rsid w:val="00421A67"/>
    <w:rsid w:val="00421F7A"/>
    <w:rsid w:val="004220BE"/>
    <w:rsid w:val="00423DB5"/>
    <w:rsid w:val="00425249"/>
    <w:rsid w:val="00425DDE"/>
    <w:rsid w:val="00430063"/>
    <w:rsid w:val="00431042"/>
    <w:rsid w:val="00431504"/>
    <w:rsid w:val="00432908"/>
    <w:rsid w:val="00432E09"/>
    <w:rsid w:val="00433299"/>
    <w:rsid w:val="0043362D"/>
    <w:rsid w:val="00434263"/>
    <w:rsid w:val="0043430C"/>
    <w:rsid w:val="004348D6"/>
    <w:rsid w:val="00434C44"/>
    <w:rsid w:val="00436B3A"/>
    <w:rsid w:val="004407B0"/>
    <w:rsid w:val="004409F5"/>
    <w:rsid w:val="00441126"/>
    <w:rsid w:val="004424C2"/>
    <w:rsid w:val="004434D1"/>
    <w:rsid w:val="004443DB"/>
    <w:rsid w:val="00444478"/>
    <w:rsid w:val="0044561B"/>
    <w:rsid w:val="00445B89"/>
    <w:rsid w:val="00446986"/>
    <w:rsid w:val="00447011"/>
    <w:rsid w:val="004472D7"/>
    <w:rsid w:val="00447F78"/>
    <w:rsid w:val="004509DA"/>
    <w:rsid w:val="00450A96"/>
    <w:rsid w:val="00451772"/>
    <w:rsid w:val="00452EE2"/>
    <w:rsid w:val="00453117"/>
    <w:rsid w:val="00454775"/>
    <w:rsid w:val="0045582A"/>
    <w:rsid w:val="00455DBA"/>
    <w:rsid w:val="004569D8"/>
    <w:rsid w:val="00457D43"/>
    <w:rsid w:val="00457E13"/>
    <w:rsid w:val="004600C4"/>
    <w:rsid w:val="00461C9E"/>
    <w:rsid w:val="00461E9E"/>
    <w:rsid w:val="004623D3"/>
    <w:rsid w:val="004636AB"/>
    <w:rsid w:val="004639B2"/>
    <w:rsid w:val="00463B34"/>
    <w:rsid w:val="00465B50"/>
    <w:rsid w:val="00465C48"/>
    <w:rsid w:val="00465EB8"/>
    <w:rsid w:val="004670EB"/>
    <w:rsid w:val="0046721D"/>
    <w:rsid w:val="004672D7"/>
    <w:rsid w:val="00467651"/>
    <w:rsid w:val="004677A5"/>
    <w:rsid w:val="00470B5D"/>
    <w:rsid w:val="00470F7B"/>
    <w:rsid w:val="00471E9C"/>
    <w:rsid w:val="00472E84"/>
    <w:rsid w:val="00473BC1"/>
    <w:rsid w:val="00474E7F"/>
    <w:rsid w:val="00475AD3"/>
    <w:rsid w:val="00476200"/>
    <w:rsid w:val="00476F76"/>
    <w:rsid w:val="00477D8A"/>
    <w:rsid w:val="00480C0D"/>
    <w:rsid w:val="0048102A"/>
    <w:rsid w:val="00482395"/>
    <w:rsid w:val="004831C3"/>
    <w:rsid w:val="00484545"/>
    <w:rsid w:val="00484809"/>
    <w:rsid w:val="004859BB"/>
    <w:rsid w:val="00486251"/>
    <w:rsid w:val="0048680C"/>
    <w:rsid w:val="0048796A"/>
    <w:rsid w:val="00487EF9"/>
    <w:rsid w:val="00490155"/>
    <w:rsid w:val="00490629"/>
    <w:rsid w:val="0049475D"/>
    <w:rsid w:val="004947E2"/>
    <w:rsid w:val="00494C34"/>
    <w:rsid w:val="00494F33"/>
    <w:rsid w:val="004954CE"/>
    <w:rsid w:val="004966D8"/>
    <w:rsid w:val="004971AF"/>
    <w:rsid w:val="00497214"/>
    <w:rsid w:val="004A0635"/>
    <w:rsid w:val="004A16C0"/>
    <w:rsid w:val="004A267F"/>
    <w:rsid w:val="004A3D97"/>
    <w:rsid w:val="004A4A6C"/>
    <w:rsid w:val="004A538B"/>
    <w:rsid w:val="004A676E"/>
    <w:rsid w:val="004A6B9F"/>
    <w:rsid w:val="004A71B6"/>
    <w:rsid w:val="004B01E1"/>
    <w:rsid w:val="004B1197"/>
    <w:rsid w:val="004B2C58"/>
    <w:rsid w:val="004B37EA"/>
    <w:rsid w:val="004B3804"/>
    <w:rsid w:val="004B3885"/>
    <w:rsid w:val="004B3A6D"/>
    <w:rsid w:val="004B3FB9"/>
    <w:rsid w:val="004B4737"/>
    <w:rsid w:val="004B4860"/>
    <w:rsid w:val="004B52D0"/>
    <w:rsid w:val="004B5B57"/>
    <w:rsid w:val="004B5FCB"/>
    <w:rsid w:val="004B64CC"/>
    <w:rsid w:val="004B67CE"/>
    <w:rsid w:val="004B6DAD"/>
    <w:rsid w:val="004B6FA0"/>
    <w:rsid w:val="004C0247"/>
    <w:rsid w:val="004C171A"/>
    <w:rsid w:val="004C3CBE"/>
    <w:rsid w:val="004C3CE4"/>
    <w:rsid w:val="004C4274"/>
    <w:rsid w:val="004C7C97"/>
    <w:rsid w:val="004D0092"/>
    <w:rsid w:val="004D0111"/>
    <w:rsid w:val="004D084D"/>
    <w:rsid w:val="004D2867"/>
    <w:rsid w:val="004D35EC"/>
    <w:rsid w:val="004D3876"/>
    <w:rsid w:val="004D4BAA"/>
    <w:rsid w:val="004D4E85"/>
    <w:rsid w:val="004D60C7"/>
    <w:rsid w:val="004D6958"/>
    <w:rsid w:val="004E1511"/>
    <w:rsid w:val="004E1A94"/>
    <w:rsid w:val="004E29A8"/>
    <w:rsid w:val="004E2ADA"/>
    <w:rsid w:val="004E381D"/>
    <w:rsid w:val="004E38CE"/>
    <w:rsid w:val="004E3ED9"/>
    <w:rsid w:val="004E4BB1"/>
    <w:rsid w:val="004E50C1"/>
    <w:rsid w:val="004E5638"/>
    <w:rsid w:val="004E56B5"/>
    <w:rsid w:val="004E5C10"/>
    <w:rsid w:val="004E72D5"/>
    <w:rsid w:val="004E7710"/>
    <w:rsid w:val="004F0E84"/>
    <w:rsid w:val="004F0FE1"/>
    <w:rsid w:val="004F121E"/>
    <w:rsid w:val="004F22CD"/>
    <w:rsid w:val="004F3AC9"/>
    <w:rsid w:val="004F5EF4"/>
    <w:rsid w:val="004F6B78"/>
    <w:rsid w:val="004F763F"/>
    <w:rsid w:val="004F7F26"/>
    <w:rsid w:val="005000DE"/>
    <w:rsid w:val="005005F8"/>
    <w:rsid w:val="0050100C"/>
    <w:rsid w:val="005021B9"/>
    <w:rsid w:val="00503712"/>
    <w:rsid w:val="005042C2"/>
    <w:rsid w:val="00505232"/>
    <w:rsid w:val="00505974"/>
    <w:rsid w:val="00505EA4"/>
    <w:rsid w:val="00505F7D"/>
    <w:rsid w:val="00506F31"/>
    <w:rsid w:val="00507E29"/>
    <w:rsid w:val="00510E72"/>
    <w:rsid w:val="0051119F"/>
    <w:rsid w:val="00511CFB"/>
    <w:rsid w:val="005132F6"/>
    <w:rsid w:val="00514495"/>
    <w:rsid w:val="00514C16"/>
    <w:rsid w:val="00515B45"/>
    <w:rsid w:val="0051644E"/>
    <w:rsid w:val="0051646E"/>
    <w:rsid w:val="005174E7"/>
    <w:rsid w:val="00517C0C"/>
    <w:rsid w:val="005213F6"/>
    <w:rsid w:val="00521621"/>
    <w:rsid w:val="00521C2D"/>
    <w:rsid w:val="00522893"/>
    <w:rsid w:val="005238E5"/>
    <w:rsid w:val="00523B2B"/>
    <w:rsid w:val="00523D61"/>
    <w:rsid w:val="00523D8F"/>
    <w:rsid w:val="00523ED3"/>
    <w:rsid w:val="00524818"/>
    <w:rsid w:val="005255AF"/>
    <w:rsid w:val="005256DB"/>
    <w:rsid w:val="00526122"/>
    <w:rsid w:val="0052626E"/>
    <w:rsid w:val="0052644A"/>
    <w:rsid w:val="00526794"/>
    <w:rsid w:val="00527A5D"/>
    <w:rsid w:val="00531185"/>
    <w:rsid w:val="0053380C"/>
    <w:rsid w:val="00533C5A"/>
    <w:rsid w:val="00533CAC"/>
    <w:rsid w:val="005344EF"/>
    <w:rsid w:val="00536F68"/>
    <w:rsid w:val="005373E7"/>
    <w:rsid w:val="00537423"/>
    <w:rsid w:val="00537ADE"/>
    <w:rsid w:val="005415C7"/>
    <w:rsid w:val="00542C03"/>
    <w:rsid w:val="00543671"/>
    <w:rsid w:val="005439C2"/>
    <w:rsid w:val="00543B55"/>
    <w:rsid w:val="005445E0"/>
    <w:rsid w:val="0054576E"/>
    <w:rsid w:val="00546498"/>
    <w:rsid w:val="0054699E"/>
    <w:rsid w:val="00547F88"/>
    <w:rsid w:val="00550EE7"/>
    <w:rsid w:val="0055123E"/>
    <w:rsid w:val="00551CA2"/>
    <w:rsid w:val="00551D58"/>
    <w:rsid w:val="0055237F"/>
    <w:rsid w:val="0055250D"/>
    <w:rsid w:val="00552761"/>
    <w:rsid w:val="00552AC7"/>
    <w:rsid w:val="00552CC4"/>
    <w:rsid w:val="005531B7"/>
    <w:rsid w:val="00553819"/>
    <w:rsid w:val="00554749"/>
    <w:rsid w:val="0055488B"/>
    <w:rsid w:val="005575A7"/>
    <w:rsid w:val="00557A9F"/>
    <w:rsid w:val="00557C8E"/>
    <w:rsid w:val="00557EC3"/>
    <w:rsid w:val="0056031B"/>
    <w:rsid w:val="005607D2"/>
    <w:rsid w:val="00560CC1"/>
    <w:rsid w:val="00560CD8"/>
    <w:rsid w:val="00560D7F"/>
    <w:rsid w:val="005622D9"/>
    <w:rsid w:val="005653A4"/>
    <w:rsid w:val="0056604E"/>
    <w:rsid w:val="005664FC"/>
    <w:rsid w:val="005665C8"/>
    <w:rsid w:val="00566CFC"/>
    <w:rsid w:val="00567329"/>
    <w:rsid w:val="005674C3"/>
    <w:rsid w:val="00570BCB"/>
    <w:rsid w:val="00570FB0"/>
    <w:rsid w:val="00571FA6"/>
    <w:rsid w:val="005728E3"/>
    <w:rsid w:val="00572BE2"/>
    <w:rsid w:val="00573F39"/>
    <w:rsid w:val="0057442A"/>
    <w:rsid w:val="005766DB"/>
    <w:rsid w:val="0058147E"/>
    <w:rsid w:val="00581653"/>
    <w:rsid w:val="00581705"/>
    <w:rsid w:val="00582195"/>
    <w:rsid w:val="00582A49"/>
    <w:rsid w:val="0058329D"/>
    <w:rsid w:val="00583D67"/>
    <w:rsid w:val="00583F7A"/>
    <w:rsid w:val="005842F5"/>
    <w:rsid w:val="00584B68"/>
    <w:rsid w:val="00584F8E"/>
    <w:rsid w:val="005870CF"/>
    <w:rsid w:val="00587245"/>
    <w:rsid w:val="0058741D"/>
    <w:rsid w:val="00587879"/>
    <w:rsid w:val="00587CED"/>
    <w:rsid w:val="005914A1"/>
    <w:rsid w:val="00591FEB"/>
    <w:rsid w:val="005921D6"/>
    <w:rsid w:val="00592404"/>
    <w:rsid w:val="00594156"/>
    <w:rsid w:val="00594234"/>
    <w:rsid w:val="00594F38"/>
    <w:rsid w:val="0059593D"/>
    <w:rsid w:val="005963FD"/>
    <w:rsid w:val="0059771D"/>
    <w:rsid w:val="0059776B"/>
    <w:rsid w:val="005A273E"/>
    <w:rsid w:val="005A2A33"/>
    <w:rsid w:val="005A2CD4"/>
    <w:rsid w:val="005A2E7A"/>
    <w:rsid w:val="005A2FF4"/>
    <w:rsid w:val="005A5744"/>
    <w:rsid w:val="005A6006"/>
    <w:rsid w:val="005A76FD"/>
    <w:rsid w:val="005B0440"/>
    <w:rsid w:val="005B0B4C"/>
    <w:rsid w:val="005B0E29"/>
    <w:rsid w:val="005B1D49"/>
    <w:rsid w:val="005B25AE"/>
    <w:rsid w:val="005B4BF2"/>
    <w:rsid w:val="005B5317"/>
    <w:rsid w:val="005B564F"/>
    <w:rsid w:val="005B5BC1"/>
    <w:rsid w:val="005B6AB6"/>
    <w:rsid w:val="005B74DC"/>
    <w:rsid w:val="005B7DED"/>
    <w:rsid w:val="005C07FD"/>
    <w:rsid w:val="005C1DC4"/>
    <w:rsid w:val="005C20F1"/>
    <w:rsid w:val="005C2158"/>
    <w:rsid w:val="005C22DA"/>
    <w:rsid w:val="005C4724"/>
    <w:rsid w:val="005C47B8"/>
    <w:rsid w:val="005C5B9C"/>
    <w:rsid w:val="005C5DB8"/>
    <w:rsid w:val="005C6DE8"/>
    <w:rsid w:val="005C7C55"/>
    <w:rsid w:val="005D2171"/>
    <w:rsid w:val="005D22D1"/>
    <w:rsid w:val="005D23E8"/>
    <w:rsid w:val="005D2D96"/>
    <w:rsid w:val="005D44A8"/>
    <w:rsid w:val="005D59A8"/>
    <w:rsid w:val="005D5E71"/>
    <w:rsid w:val="005D65AE"/>
    <w:rsid w:val="005D7320"/>
    <w:rsid w:val="005D7463"/>
    <w:rsid w:val="005D7BDD"/>
    <w:rsid w:val="005D7D43"/>
    <w:rsid w:val="005E3A9B"/>
    <w:rsid w:val="005E48A0"/>
    <w:rsid w:val="005E4B49"/>
    <w:rsid w:val="005E5241"/>
    <w:rsid w:val="005E5B1D"/>
    <w:rsid w:val="005E750B"/>
    <w:rsid w:val="005E7CEA"/>
    <w:rsid w:val="005F023A"/>
    <w:rsid w:val="005F02AF"/>
    <w:rsid w:val="005F1719"/>
    <w:rsid w:val="005F2817"/>
    <w:rsid w:val="005F3812"/>
    <w:rsid w:val="005F4451"/>
    <w:rsid w:val="005F52CE"/>
    <w:rsid w:val="005F6C87"/>
    <w:rsid w:val="005F73C2"/>
    <w:rsid w:val="005F79D9"/>
    <w:rsid w:val="005F7AE0"/>
    <w:rsid w:val="0060019F"/>
    <w:rsid w:val="006002B9"/>
    <w:rsid w:val="00600D7E"/>
    <w:rsid w:val="00603094"/>
    <w:rsid w:val="00603466"/>
    <w:rsid w:val="006036D2"/>
    <w:rsid w:val="006053CD"/>
    <w:rsid w:val="00605FC0"/>
    <w:rsid w:val="0060648C"/>
    <w:rsid w:val="00606E1F"/>
    <w:rsid w:val="0060747B"/>
    <w:rsid w:val="0060783C"/>
    <w:rsid w:val="00607EFD"/>
    <w:rsid w:val="006100B4"/>
    <w:rsid w:val="00610A23"/>
    <w:rsid w:val="00611F3F"/>
    <w:rsid w:val="00612A1B"/>
    <w:rsid w:val="00613C0E"/>
    <w:rsid w:val="00613C3B"/>
    <w:rsid w:val="006147EE"/>
    <w:rsid w:val="006158C5"/>
    <w:rsid w:val="00615E0A"/>
    <w:rsid w:val="00617A3C"/>
    <w:rsid w:val="00620134"/>
    <w:rsid w:val="0062061E"/>
    <w:rsid w:val="00620A19"/>
    <w:rsid w:val="00621934"/>
    <w:rsid w:val="006252E0"/>
    <w:rsid w:val="006262F0"/>
    <w:rsid w:val="00627B57"/>
    <w:rsid w:val="0063181F"/>
    <w:rsid w:val="00631A90"/>
    <w:rsid w:val="00631AAA"/>
    <w:rsid w:val="006323AE"/>
    <w:rsid w:val="00632774"/>
    <w:rsid w:val="00634210"/>
    <w:rsid w:val="00634487"/>
    <w:rsid w:val="00635516"/>
    <w:rsid w:val="0063631E"/>
    <w:rsid w:val="00640027"/>
    <w:rsid w:val="00640572"/>
    <w:rsid w:val="00642485"/>
    <w:rsid w:val="006424A1"/>
    <w:rsid w:val="006429BB"/>
    <w:rsid w:val="00642B9D"/>
    <w:rsid w:val="006434A5"/>
    <w:rsid w:val="00643EB1"/>
    <w:rsid w:val="00644728"/>
    <w:rsid w:val="00644F30"/>
    <w:rsid w:val="00647037"/>
    <w:rsid w:val="006528C5"/>
    <w:rsid w:val="00652F6A"/>
    <w:rsid w:val="006540AA"/>
    <w:rsid w:val="00654470"/>
    <w:rsid w:val="00656888"/>
    <w:rsid w:val="006568CA"/>
    <w:rsid w:val="006570EB"/>
    <w:rsid w:val="00657192"/>
    <w:rsid w:val="006571BE"/>
    <w:rsid w:val="0066071E"/>
    <w:rsid w:val="00660A24"/>
    <w:rsid w:val="00660B52"/>
    <w:rsid w:val="00660FFD"/>
    <w:rsid w:val="006614A1"/>
    <w:rsid w:val="0066206F"/>
    <w:rsid w:val="00662406"/>
    <w:rsid w:val="006633BC"/>
    <w:rsid w:val="006640EE"/>
    <w:rsid w:val="006646B8"/>
    <w:rsid w:val="006651AD"/>
    <w:rsid w:val="00670A54"/>
    <w:rsid w:val="00671103"/>
    <w:rsid w:val="00672426"/>
    <w:rsid w:val="006724A5"/>
    <w:rsid w:val="006726E6"/>
    <w:rsid w:val="00673A1B"/>
    <w:rsid w:val="0067431C"/>
    <w:rsid w:val="006745F3"/>
    <w:rsid w:val="0067485E"/>
    <w:rsid w:val="0067613C"/>
    <w:rsid w:val="00676334"/>
    <w:rsid w:val="00677844"/>
    <w:rsid w:val="00677C11"/>
    <w:rsid w:val="00677EED"/>
    <w:rsid w:val="006800C4"/>
    <w:rsid w:val="006803FE"/>
    <w:rsid w:val="0068073D"/>
    <w:rsid w:val="006815BE"/>
    <w:rsid w:val="006815CA"/>
    <w:rsid w:val="006829A7"/>
    <w:rsid w:val="00682CFC"/>
    <w:rsid w:val="00682D26"/>
    <w:rsid w:val="00683581"/>
    <w:rsid w:val="00683E8D"/>
    <w:rsid w:val="006844CE"/>
    <w:rsid w:val="00684B8B"/>
    <w:rsid w:val="00684C34"/>
    <w:rsid w:val="00685431"/>
    <w:rsid w:val="0068578F"/>
    <w:rsid w:val="006864ED"/>
    <w:rsid w:val="00686767"/>
    <w:rsid w:val="006867A3"/>
    <w:rsid w:val="00687269"/>
    <w:rsid w:val="006873DE"/>
    <w:rsid w:val="00687A8B"/>
    <w:rsid w:val="00690BF1"/>
    <w:rsid w:val="0069161F"/>
    <w:rsid w:val="00691717"/>
    <w:rsid w:val="00694570"/>
    <w:rsid w:val="0069492C"/>
    <w:rsid w:val="006949FC"/>
    <w:rsid w:val="006965BF"/>
    <w:rsid w:val="006A044B"/>
    <w:rsid w:val="006A194D"/>
    <w:rsid w:val="006A2825"/>
    <w:rsid w:val="006A3A2F"/>
    <w:rsid w:val="006A3AA8"/>
    <w:rsid w:val="006A3BD7"/>
    <w:rsid w:val="006A3FA9"/>
    <w:rsid w:val="006A43C7"/>
    <w:rsid w:val="006A5012"/>
    <w:rsid w:val="006A54D0"/>
    <w:rsid w:val="006A54FA"/>
    <w:rsid w:val="006A57EE"/>
    <w:rsid w:val="006A725A"/>
    <w:rsid w:val="006B045E"/>
    <w:rsid w:val="006B072C"/>
    <w:rsid w:val="006B0AFF"/>
    <w:rsid w:val="006B0CAD"/>
    <w:rsid w:val="006B1D1E"/>
    <w:rsid w:val="006B304B"/>
    <w:rsid w:val="006B5D86"/>
    <w:rsid w:val="006B63E5"/>
    <w:rsid w:val="006B69C4"/>
    <w:rsid w:val="006B6D0F"/>
    <w:rsid w:val="006B6E3A"/>
    <w:rsid w:val="006B7403"/>
    <w:rsid w:val="006C0190"/>
    <w:rsid w:val="006C0AA4"/>
    <w:rsid w:val="006C1D80"/>
    <w:rsid w:val="006C22BE"/>
    <w:rsid w:val="006C2576"/>
    <w:rsid w:val="006C2CEB"/>
    <w:rsid w:val="006C3248"/>
    <w:rsid w:val="006C3D07"/>
    <w:rsid w:val="006C4046"/>
    <w:rsid w:val="006C65FE"/>
    <w:rsid w:val="006C7039"/>
    <w:rsid w:val="006C78C0"/>
    <w:rsid w:val="006C78FD"/>
    <w:rsid w:val="006D0129"/>
    <w:rsid w:val="006D0383"/>
    <w:rsid w:val="006D23F1"/>
    <w:rsid w:val="006D2DD4"/>
    <w:rsid w:val="006D3EA8"/>
    <w:rsid w:val="006D44BA"/>
    <w:rsid w:val="006D6384"/>
    <w:rsid w:val="006D71BF"/>
    <w:rsid w:val="006D74CB"/>
    <w:rsid w:val="006E34E2"/>
    <w:rsid w:val="006E3B07"/>
    <w:rsid w:val="006E3B29"/>
    <w:rsid w:val="006E43A0"/>
    <w:rsid w:val="006E45CE"/>
    <w:rsid w:val="006E4B48"/>
    <w:rsid w:val="006E5756"/>
    <w:rsid w:val="006E5C8D"/>
    <w:rsid w:val="006E6DED"/>
    <w:rsid w:val="006E702C"/>
    <w:rsid w:val="006E7639"/>
    <w:rsid w:val="006E7AD9"/>
    <w:rsid w:val="006E7FC8"/>
    <w:rsid w:val="006F0A19"/>
    <w:rsid w:val="006F1CEC"/>
    <w:rsid w:val="006F201F"/>
    <w:rsid w:val="006F25F5"/>
    <w:rsid w:val="006F5124"/>
    <w:rsid w:val="006F5285"/>
    <w:rsid w:val="006F5942"/>
    <w:rsid w:val="006F63D2"/>
    <w:rsid w:val="006F6BBC"/>
    <w:rsid w:val="006F72C9"/>
    <w:rsid w:val="00700509"/>
    <w:rsid w:val="00700803"/>
    <w:rsid w:val="00700FF9"/>
    <w:rsid w:val="0070162F"/>
    <w:rsid w:val="00702273"/>
    <w:rsid w:val="007031A8"/>
    <w:rsid w:val="007042A3"/>
    <w:rsid w:val="00704315"/>
    <w:rsid w:val="00704B0B"/>
    <w:rsid w:val="00705171"/>
    <w:rsid w:val="0070547D"/>
    <w:rsid w:val="007060FF"/>
    <w:rsid w:val="00706C2D"/>
    <w:rsid w:val="00707258"/>
    <w:rsid w:val="0070758F"/>
    <w:rsid w:val="00707F9E"/>
    <w:rsid w:val="00710B18"/>
    <w:rsid w:val="00711EFA"/>
    <w:rsid w:val="0071250A"/>
    <w:rsid w:val="00712AEF"/>
    <w:rsid w:val="0071386C"/>
    <w:rsid w:val="007142C6"/>
    <w:rsid w:val="00715834"/>
    <w:rsid w:val="007159EF"/>
    <w:rsid w:val="007170EB"/>
    <w:rsid w:val="00717466"/>
    <w:rsid w:val="007178AE"/>
    <w:rsid w:val="00717C15"/>
    <w:rsid w:val="00720138"/>
    <w:rsid w:val="007211A2"/>
    <w:rsid w:val="00721CA9"/>
    <w:rsid w:val="00723A70"/>
    <w:rsid w:val="00723BD6"/>
    <w:rsid w:val="00723D39"/>
    <w:rsid w:val="007242E8"/>
    <w:rsid w:val="00724637"/>
    <w:rsid w:val="0072593C"/>
    <w:rsid w:val="00726523"/>
    <w:rsid w:val="00726AB8"/>
    <w:rsid w:val="007272C0"/>
    <w:rsid w:val="00730E23"/>
    <w:rsid w:val="00731E43"/>
    <w:rsid w:val="007320E2"/>
    <w:rsid w:val="00733A24"/>
    <w:rsid w:val="00735361"/>
    <w:rsid w:val="0073586B"/>
    <w:rsid w:val="00737585"/>
    <w:rsid w:val="0074024A"/>
    <w:rsid w:val="007415D4"/>
    <w:rsid w:val="00742514"/>
    <w:rsid w:val="00743CDA"/>
    <w:rsid w:val="00744E86"/>
    <w:rsid w:val="007460CB"/>
    <w:rsid w:val="007465EF"/>
    <w:rsid w:val="00746E97"/>
    <w:rsid w:val="007477C6"/>
    <w:rsid w:val="0075012C"/>
    <w:rsid w:val="00750A97"/>
    <w:rsid w:val="00750E4C"/>
    <w:rsid w:val="00751008"/>
    <w:rsid w:val="00751245"/>
    <w:rsid w:val="007517DA"/>
    <w:rsid w:val="00752631"/>
    <w:rsid w:val="00752E62"/>
    <w:rsid w:val="007546A7"/>
    <w:rsid w:val="007549A4"/>
    <w:rsid w:val="00754E29"/>
    <w:rsid w:val="00755B21"/>
    <w:rsid w:val="00756119"/>
    <w:rsid w:val="00756B0D"/>
    <w:rsid w:val="00757837"/>
    <w:rsid w:val="00757842"/>
    <w:rsid w:val="00760E20"/>
    <w:rsid w:val="00761093"/>
    <w:rsid w:val="007623D4"/>
    <w:rsid w:val="0076649E"/>
    <w:rsid w:val="00767C54"/>
    <w:rsid w:val="00770794"/>
    <w:rsid w:val="007709D9"/>
    <w:rsid w:val="007723B4"/>
    <w:rsid w:val="007731B4"/>
    <w:rsid w:val="007736E3"/>
    <w:rsid w:val="00773C00"/>
    <w:rsid w:val="007740F8"/>
    <w:rsid w:val="00774901"/>
    <w:rsid w:val="00774B6B"/>
    <w:rsid w:val="00776326"/>
    <w:rsid w:val="007765A0"/>
    <w:rsid w:val="00776644"/>
    <w:rsid w:val="00776F97"/>
    <w:rsid w:val="00777D2D"/>
    <w:rsid w:val="00777D47"/>
    <w:rsid w:val="00780375"/>
    <w:rsid w:val="0078128A"/>
    <w:rsid w:val="0078191C"/>
    <w:rsid w:val="00783E24"/>
    <w:rsid w:val="00784175"/>
    <w:rsid w:val="00784A6D"/>
    <w:rsid w:val="00785159"/>
    <w:rsid w:val="007851A6"/>
    <w:rsid w:val="00785755"/>
    <w:rsid w:val="00785C8E"/>
    <w:rsid w:val="00786991"/>
    <w:rsid w:val="00786ABF"/>
    <w:rsid w:val="0079015C"/>
    <w:rsid w:val="00790F8E"/>
    <w:rsid w:val="007918EF"/>
    <w:rsid w:val="007927AC"/>
    <w:rsid w:val="0079554D"/>
    <w:rsid w:val="0079590D"/>
    <w:rsid w:val="00796936"/>
    <w:rsid w:val="0079738C"/>
    <w:rsid w:val="0079774A"/>
    <w:rsid w:val="00797849"/>
    <w:rsid w:val="007A0E81"/>
    <w:rsid w:val="007A1B0C"/>
    <w:rsid w:val="007A2AD9"/>
    <w:rsid w:val="007A3660"/>
    <w:rsid w:val="007A3F61"/>
    <w:rsid w:val="007A4994"/>
    <w:rsid w:val="007A4A02"/>
    <w:rsid w:val="007A6CAD"/>
    <w:rsid w:val="007A728B"/>
    <w:rsid w:val="007A7A5A"/>
    <w:rsid w:val="007B08C4"/>
    <w:rsid w:val="007B1BC6"/>
    <w:rsid w:val="007B1C91"/>
    <w:rsid w:val="007B4520"/>
    <w:rsid w:val="007B496E"/>
    <w:rsid w:val="007B4A5F"/>
    <w:rsid w:val="007B4FE4"/>
    <w:rsid w:val="007B50D4"/>
    <w:rsid w:val="007B52AA"/>
    <w:rsid w:val="007B6059"/>
    <w:rsid w:val="007B612D"/>
    <w:rsid w:val="007B729D"/>
    <w:rsid w:val="007B7A6E"/>
    <w:rsid w:val="007C045F"/>
    <w:rsid w:val="007C0ABD"/>
    <w:rsid w:val="007C0C42"/>
    <w:rsid w:val="007C1DFA"/>
    <w:rsid w:val="007C1F5A"/>
    <w:rsid w:val="007C3721"/>
    <w:rsid w:val="007C5537"/>
    <w:rsid w:val="007C63B1"/>
    <w:rsid w:val="007C6DEB"/>
    <w:rsid w:val="007C7ECB"/>
    <w:rsid w:val="007D1CC2"/>
    <w:rsid w:val="007D1CC7"/>
    <w:rsid w:val="007D23AD"/>
    <w:rsid w:val="007D373A"/>
    <w:rsid w:val="007D389C"/>
    <w:rsid w:val="007D47E7"/>
    <w:rsid w:val="007D485E"/>
    <w:rsid w:val="007D4CA1"/>
    <w:rsid w:val="007D5C19"/>
    <w:rsid w:val="007D6205"/>
    <w:rsid w:val="007D621D"/>
    <w:rsid w:val="007D6FB5"/>
    <w:rsid w:val="007D7D7F"/>
    <w:rsid w:val="007E034D"/>
    <w:rsid w:val="007E1A81"/>
    <w:rsid w:val="007E1C2F"/>
    <w:rsid w:val="007E2C47"/>
    <w:rsid w:val="007E313E"/>
    <w:rsid w:val="007E32A3"/>
    <w:rsid w:val="007E34E1"/>
    <w:rsid w:val="007E4918"/>
    <w:rsid w:val="007E4BE3"/>
    <w:rsid w:val="007E516E"/>
    <w:rsid w:val="007E675B"/>
    <w:rsid w:val="007E67DF"/>
    <w:rsid w:val="007E76AB"/>
    <w:rsid w:val="007E78CA"/>
    <w:rsid w:val="007E7F55"/>
    <w:rsid w:val="007F0519"/>
    <w:rsid w:val="007F094C"/>
    <w:rsid w:val="007F1B27"/>
    <w:rsid w:val="007F20D5"/>
    <w:rsid w:val="007F3DB8"/>
    <w:rsid w:val="007F3E00"/>
    <w:rsid w:val="007F4B15"/>
    <w:rsid w:val="007F4D8F"/>
    <w:rsid w:val="007F7EAA"/>
    <w:rsid w:val="00800789"/>
    <w:rsid w:val="0080166B"/>
    <w:rsid w:val="008018E2"/>
    <w:rsid w:val="00802A42"/>
    <w:rsid w:val="0080341C"/>
    <w:rsid w:val="00803457"/>
    <w:rsid w:val="008035B9"/>
    <w:rsid w:val="00803C69"/>
    <w:rsid w:val="00803CD0"/>
    <w:rsid w:val="00804A9D"/>
    <w:rsid w:val="00804C8A"/>
    <w:rsid w:val="0080626A"/>
    <w:rsid w:val="0080741D"/>
    <w:rsid w:val="00807731"/>
    <w:rsid w:val="00807EAA"/>
    <w:rsid w:val="00811D10"/>
    <w:rsid w:val="00812EAC"/>
    <w:rsid w:val="008138EC"/>
    <w:rsid w:val="008138F0"/>
    <w:rsid w:val="00813AFE"/>
    <w:rsid w:val="00814D85"/>
    <w:rsid w:val="008151F5"/>
    <w:rsid w:val="00815C2E"/>
    <w:rsid w:val="00816D2F"/>
    <w:rsid w:val="00816EDB"/>
    <w:rsid w:val="00817855"/>
    <w:rsid w:val="008203B3"/>
    <w:rsid w:val="0082191D"/>
    <w:rsid w:val="00822DB3"/>
    <w:rsid w:val="008230CA"/>
    <w:rsid w:val="00826013"/>
    <w:rsid w:val="0082627D"/>
    <w:rsid w:val="00826C11"/>
    <w:rsid w:val="00827962"/>
    <w:rsid w:val="00827E97"/>
    <w:rsid w:val="00830713"/>
    <w:rsid w:val="00832A3B"/>
    <w:rsid w:val="008330EF"/>
    <w:rsid w:val="0083399D"/>
    <w:rsid w:val="00833C3C"/>
    <w:rsid w:val="00834AB3"/>
    <w:rsid w:val="0083537F"/>
    <w:rsid w:val="00835B75"/>
    <w:rsid w:val="008360FD"/>
    <w:rsid w:val="0083657F"/>
    <w:rsid w:val="00837DE9"/>
    <w:rsid w:val="00840196"/>
    <w:rsid w:val="008402AF"/>
    <w:rsid w:val="00840E43"/>
    <w:rsid w:val="00841401"/>
    <w:rsid w:val="00843605"/>
    <w:rsid w:val="00843CBC"/>
    <w:rsid w:val="00843F22"/>
    <w:rsid w:val="008452D6"/>
    <w:rsid w:val="00845F54"/>
    <w:rsid w:val="00847087"/>
    <w:rsid w:val="00847FA5"/>
    <w:rsid w:val="0085135A"/>
    <w:rsid w:val="00851884"/>
    <w:rsid w:val="00852701"/>
    <w:rsid w:val="00852AE4"/>
    <w:rsid w:val="00852C1A"/>
    <w:rsid w:val="00852E54"/>
    <w:rsid w:val="00852FC8"/>
    <w:rsid w:val="00854094"/>
    <w:rsid w:val="00855C0F"/>
    <w:rsid w:val="00855D48"/>
    <w:rsid w:val="00855F77"/>
    <w:rsid w:val="00856FC1"/>
    <w:rsid w:val="008570DA"/>
    <w:rsid w:val="00857CC7"/>
    <w:rsid w:val="00857D4C"/>
    <w:rsid w:val="00860E40"/>
    <w:rsid w:val="00862040"/>
    <w:rsid w:val="0086267F"/>
    <w:rsid w:val="00862897"/>
    <w:rsid w:val="008628EC"/>
    <w:rsid w:val="008631D7"/>
    <w:rsid w:val="008636EE"/>
    <w:rsid w:val="0086467A"/>
    <w:rsid w:val="0086479E"/>
    <w:rsid w:val="00864D1E"/>
    <w:rsid w:val="0086769C"/>
    <w:rsid w:val="008677ED"/>
    <w:rsid w:val="00867B2A"/>
    <w:rsid w:val="00867DB1"/>
    <w:rsid w:val="00870961"/>
    <w:rsid w:val="00870B32"/>
    <w:rsid w:val="008739B0"/>
    <w:rsid w:val="00874011"/>
    <w:rsid w:val="00875BF7"/>
    <w:rsid w:val="00876026"/>
    <w:rsid w:val="008767A1"/>
    <w:rsid w:val="00876C4E"/>
    <w:rsid w:val="008770B8"/>
    <w:rsid w:val="00877218"/>
    <w:rsid w:val="008772DD"/>
    <w:rsid w:val="00877BF4"/>
    <w:rsid w:val="0088072C"/>
    <w:rsid w:val="0088080A"/>
    <w:rsid w:val="00880BBE"/>
    <w:rsid w:val="00880D90"/>
    <w:rsid w:val="008811A6"/>
    <w:rsid w:val="00881EA4"/>
    <w:rsid w:val="00882B35"/>
    <w:rsid w:val="00882B3B"/>
    <w:rsid w:val="00882E6C"/>
    <w:rsid w:val="00882EED"/>
    <w:rsid w:val="00883F4A"/>
    <w:rsid w:val="00884166"/>
    <w:rsid w:val="00885B27"/>
    <w:rsid w:val="00886843"/>
    <w:rsid w:val="008869DB"/>
    <w:rsid w:val="00886E5A"/>
    <w:rsid w:val="00887726"/>
    <w:rsid w:val="00887833"/>
    <w:rsid w:val="00890A63"/>
    <w:rsid w:val="00890ACD"/>
    <w:rsid w:val="00891398"/>
    <w:rsid w:val="0089234D"/>
    <w:rsid w:val="00892971"/>
    <w:rsid w:val="0089467A"/>
    <w:rsid w:val="00894C8F"/>
    <w:rsid w:val="00894D05"/>
    <w:rsid w:val="00895192"/>
    <w:rsid w:val="00895DBE"/>
    <w:rsid w:val="00895E53"/>
    <w:rsid w:val="008A0587"/>
    <w:rsid w:val="008A16D5"/>
    <w:rsid w:val="008A1D25"/>
    <w:rsid w:val="008A21CE"/>
    <w:rsid w:val="008A2526"/>
    <w:rsid w:val="008A276C"/>
    <w:rsid w:val="008A2A50"/>
    <w:rsid w:val="008A3553"/>
    <w:rsid w:val="008A3A51"/>
    <w:rsid w:val="008A4055"/>
    <w:rsid w:val="008A5471"/>
    <w:rsid w:val="008A5A30"/>
    <w:rsid w:val="008A6374"/>
    <w:rsid w:val="008A692E"/>
    <w:rsid w:val="008A72C3"/>
    <w:rsid w:val="008A76F6"/>
    <w:rsid w:val="008A7B27"/>
    <w:rsid w:val="008A7DA7"/>
    <w:rsid w:val="008B0359"/>
    <w:rsid w:val="008B093E"/>
    <w:rsid w:val="008B09C2"/>
    <w:rsid w:val="008B0B30"/>
    <w:rsid w:val="008B1F4D"/>
    <w:rsid w:val="008B2461"/>
    <w:rsid w:val="008B2C23"/>
    <w:rsid w:val="008B3C31"/>
    <w:rsid w:val="008B3F06"/>
    <w:rsid w:val="008B48B0"/>
    <w:rsid w:val="008B50A6"/>
    <w:rsid w:val="008B5DD7"/>
    <w:rsid w:val="008B6C1E"/>
    <w:rsid w:val="008B7C77"/>
    <w:rsid w:val="008B7DF6"/>
    <w:rsid w:val="008C1535"/>
    <w:rsid w:val="008C18C7"/>
    <w:rsid w:val="008C1B3D"/>
    <w:rsid w:val="008C4DCF"/>
    <w:rsid w:val="008C4EE1"/>
    <w:rsid w:val="008C5DDB"/>
    <w:rsid w:val="008C6853"/>
    <w:rsid w:val="008C73C2"/>
    <w:rsid w:val="008C7A23"/>
    <w:rsid w:val="008D0520"/>
    <w:rsid w:val="008D0CFE"/>
    <w:rsid w:val="008D0F76"/>
    <w:rsid w:val="008D11C0"/>
    <w:rsid w:val="008D194F"/>
    <w:rsid w:val="008D35ED"/>
    <w:rsid w:val="008D4328"/>
    <w:rsid w:val="008D4801"/>
    <w:rsid w:val="008D60D0"/>
    <w:rsid w:val="008D7006"/>
    <w:rsid w:val="008D7C67"/>
    <w:rsid w:val="008E0F93"/>
    <w:rsid w:val="008E11A3"/>
    <w:rsid w:val="008E284F"/>
    <w:rsid w:val="008E2B11"/>
    <w:rsid w:val="008E2C35"/>
    <w:rsid w:val="008E332B"/>
    <w:rsid w:val="008E33D6"/>
    <w:rsid w:val="008E5715"/>
    <w:rsid w:val="008E5AF2"/>
    <w:rsid w:val="008E63F1"/>
    <w:rsid w:val="008E7080"/>
    <w:rsid w:val="008E77AE"/>
    <w:rsid w:val="008E7834"/>
    <w:rsid w:val="008F0723"/>
    <w:rsid w:val="008F0815"/>
    <w:rsid w:val="008F11C5"/>
    <w:rsid w:val="008F122D"/>
    <w:rsid w:val="008F3174"/>
    <w:rsid w:val="009004AF"/>
    <w:rsid w:val="00900824"/>
    <w:rsid w:val="00900F43"/>
    <w:rsid w:val="009041CD"/>
    <w:rsid w:val="009047C9"/>
    <w:rsid w:val="00905401"/>
    <w:rsid w:val="009058CF"/>
    <w:rsid w:val="009062D9"/>
    <w:rsid w:val="00906C05"/>
    <w:rsid w:val="0090776C"/>
    <w:rsid w:val="00907A0E"/>
    <w:rsid w:val="00911372"/>
    <w:rsid w:val="009113F4"/>
    <w:rsid w:val="00911E31"/>
    <w:rsid w:val="00911F96"/>
    <w:rsid w:val="00912091"/>
    <w:rsid w:val="009126F0"/>
    <w:rsid w:val="009134C8"/>
    <w:rsid w:val="00914D4E"/>
    <w:rsid w:val="00917213"/>
    <w:rsid w:val="009175A9"/>
    <w:rsid w:val="00920C58"/>
    <w:rsid w:val="00921525"/>
    <w:rsid w:val="0092155F"/>
    <w:rsid w:val="00924388"/>
    <w:rsid w:val="009249B6"/>
    <w:rsid w:val="00924FAE"/>
    <w:rsid w:val="00925270"/>
    <w:rsid w:val="00926FB0"/>
    <w:rsid w:val="009323A4"/>
    <w:rsid w:val="00933A64"/>
    <w:rsid w:val="00934B11"/>
    <w:rsid w:val="00934B71"/>
    <w:rsid w:val="00934B87"/>
    <w:rsid w:val="00935002"/>
    <w:rsid w:val="00935015"/>
    <w:rsid w:val="0093507D"/>
    <w:rsid w:val="00935224"/>
    <w:rsid w:val="00936266"/>
    <w:rsid w:val="00936ADA"/>
    <w:rsid w:val="00936F7D"/>
    <w:rsid w:val="0093767F"/>
    <w:rsid w:val="009407FC"/>
    <w:rsid w:val="0094174C"/>
    <w:rsid w:val="009431FC"/>
    <w:rsid w:val="009449F2"/>
    <w:rsid w:val="00944B22"/>
    <w:rsid w:val="00945BAA"/>
    <w:rsid w:val="00945D39"/>
    <w:rsid w:val="009464CD"/>
    <w:rsid w:val="0095077E"/>
    <w:rsid w:val="0095103C"/>
    <w:rsid w:val="00951072"/>
    <w:rsid w:val="00953942"/>
    <w:rsid w:val="009539E6"/>
    <w:rsid w:val="009545F5"/>
    <w:rsid w:val="009557B1"/>
    <w:rsid w:val="00955FE7"/>
    <w:rsid w:val="009566AB"/>
    <w:rsid w:val="00956AB3"/>
    <w:rsid w:val="009572BA"/>
    <w:rsid w:val="0095748D"/>
    <w:rsid w:val="009576EA"/>
    <w:rsid w:val="009577E9"/>
    <w:rsid w:val="00957D9F"/>
    <w:rsid w:val="00960DE2"/>
    <w:rsid w:val="00961E9C"/>
    <w:rsid w:val="009624A1"/>
    <w:rsid w:val="00964761"/>
    <w:rsid w:val="009647EC"/>
    <w:rsid w:val="00967284"/>
    <w:rsid w:val="0096775C"/>
    <w:rsid w:val="009711B8"/>
    <w:rsid w:val="009719FB"/>
    <w:rsid w:val="00972192"/>
    <w:rsid w:val="00972664"/>
    <w:rsid w:val="00973C73"/>
    <w:rsid w:val="0097538D"/>
    <w:rsid w:val="00975E74"/>
    <w:rsid w:val="00976911"/>
    <w:rsid w:val="00977742"/>
    <w:rsid w:val="009806F0"/>
    <w:rsid w:val="00981181"/>
    <w:rsid w:val="009812FD"/>
    <w:rsid w:val="009813D5"/>
    <w:rsid w:val="009816C4"/>
    <w:rsid w:val="0098346B"/>
    <w:rsid w:val="00985A43"/>
    <w:rsid w:val="009860B9"/>
    <w:rsid w:val="00990B9A"/>
    <w:rsid w:val="00991165"/>
    <w:rsid w:val="00991306"/>
    <w:rsid w:val="00991FB7"/>
    <w:rsid w:val="00992060"/>
    <w:rsid w:val="009929EB"/>
    <w:rsid w:val="00992F75"/>
    <w:rsid w:val="00993080"/>
    <w:rsid w:val="00993543"/>
    <w:rsid w:val="00993B0E"/>
    <w:rsid w:val="00993B25"/>
    <w:rsid w:val="009940EE"/>
    <w:rsid w:val="0099413B"/>
    <w:rsid w:val="009941AE"/>
    <w:rsid w:val="009945AA"/>
    <w:rsid w:val="00994F4D"/>
    <w:rsid w:val="009958AC"/>
    <w:rsid w:val="00995936"/>
    <w:rsid w:val="00996BB4"/>
    <w:rsid w:val="009A0B3D"/>
    <w:rsid w:val="009A19F9"/>
    <w:rsid w:val="009A2199"/>
    <w:rsid w:val="009A26DA"/>
    <w:rsid w:val="009A3AEF"/>
    <w:rsid w:val="009A410B"/>
    <w:rsid w:val="009A5C27"/>
    <w:rsid w:val="009A5F5C"/>
    <w:rsid w:val="009A65CC"/>
    <w:rsid w:val="009A6776"/>
    <w:rsid w:val="009A7601"/>
    <w:rsid w:val="009B0412"/>
    <w:rsid w:val="009B05E8"/>
    <w:rsid w:val="009B0F84"/>
    <w:rsid w:val="009B2761"/>
    <w:rsid w:val="009B3428"/>
    <w:rsid w:val="009B37BD"/>
    <w:rsid w:val="009B3D86"/>
    <w:rsid w:val="009B4360"/>
    <w:rsid w:val="009B4E51"/>
    <w:rsid w:val="009B5DF4"/>
    <w:rsid w:val="009B735C"/>
    <w:rsid w:val="009B76C6"/>
    <w:rsid w:val="009C05BE"/>
    <w:rsid w:val="009C0D36"/>
    <w:rsid w:val="009C172B"/>
    <w:rsid w:val="009C18AE"/>
    <w:rsid w:val="009C1D95"/>
    <w:rsid w:val="009C2096"/>
    <w:rsid w:val="009C276A"/>
    <w:rsid w:val="009C3624"/>
    <w:rsid w:val="009C3A47"/>
    <w:rsid w:val="009C4922"/>
    <w:rsid w:val="009C58CA"/>
    <w:rsid w:val="009C5E0F"/>
    <w:rsid w:val="009C6DED"/>
    <w:rsid w:val="009C73C3"/>
    <w:rsid w:val="009C7B5D"/>
    <w:rsid w:val="009C7E54"/>
    <w:rsid w:val="009D21E6"/>
    <w:rsid w:val="009D2CED"/>
    <w:rsid w:val="009D38D0"/>
    <w:rsid w:val="009D396B"/>
    <w:rsid w:val="009D3BB9"/>
    <w:rsid w:val="009D3EBC"/>
    <w:rsid w:val="009D451B"/>
    <w:rsid w:val="009D4A51"/>
    <w:rsid w:val="009D54BF"/>
    <w:rsid w:val="009D6235"/>
    <w:rsid w:val="009D68C5"/>
    <w:rsid w:val="009D6B01"/>
    <w:rsid w:val="009E0547"/>
    <w:rsid w:val="009E087F"/>
    <w:rsid w:val="009E0ADF"/>
    <w:rsid w:val="009E0B56"/>
    <w:rsid w:val="009E0C9F"/>
    <w:rsid w:val="009E11AF"/>
    <w:rsid w:val="009E21FE"/>
    <w:rsid w:val="009E3BA3"/>
    <w:rsid w:val="009E55FE"/>
    <w:rsid w:val="009E6461"/>
    <w:rsid w:val="009E6669"/>
    <w:rsid w:val="009E6747"/>
    <w:rsid w:val="009F062F"/>
    <w:rsid w:val="009F2311"/>
    <w:rsid w:val="009F2575"/>
    <w:rsid w:val="009F25DB"/>
    <w:rsid w:val="009F449D"/>
    <w:rsid w:val="009F5C8D"/>
    <w:rsid w:val="009F6736"/>
    <w:rsid w:val="00A0041B"/>
    <w:rsid w:val="00A005FE"/>
    <w:rsid w:val="00A0084A"/>
    <w:rsid w:val="00A008B6"/>
    <w:rsid w:val="00A012B3"/>
    <w:rsid w:val="00A01F48"/>
    <w:rsid w:val="00A021A8"/>
    <w:rsid w:val="00A0272F"/>
    <w:rsid w:val="00A03209"/>
    <w:rsid w:val="00A05A59"/>
    <w:rsid w:val="00A06161"/>
    <w:rsid w:val="00A064E7"/>
    <w:rsid w:val="00A065C7"/>
    <w:rsid w:val="00A07942"/>
    <w:rsid w:val="00A103DD"/>
    <w:rsid w:val="00A10DD1"/>
    <w:rsid w:val="00A11645"/>
    <w:rsid w:val="00A11E52"/>
    <w:rsid w:val="00A1209C"/>
    <w:rsid w:val="00A12914"/>
    <w:rsid w:val="00A13870"/>
    <w:rsid w:val="00A13C47"/>
    <w:rsid w:val="00A14A82"/>
    <w:rsid w:val="00A15392"/>
    <w:rsid w:val="00A15511"/>
    <w:rsid w:val="00A15712"/>
    <w:rsid w:val="00A16290"/>
    <w:rsid w:val="00A16484"/>
    <w:rsid w:val="00A16626"/>
    <w:rsid w:val="00A223B5"/>
    <w:rsid w:val="00A2274F"/>
    <w:rsid w:val="00A234CB"/>
    <w:rsid w:val="00A235CA"/>
    <w:rsid w:val="00A235D3"/>
    <w:rsid w:val="00A2485F"/>
    <w:rsid w:val="00A257FC"/>
    <w:rsid w:val="00A301AA"/>
    <w:rsid w:val="00A30480"/>
    <w:rsid w:val="00A3049D"/>
    <w:rsid w:val="00A30E9C"/>
    <w:rsid w:val="00A32C7B"/>
    <w:rsid w:val="00A33128"/>
    <w:rsid w:val="00A35A71"/>
    <w:rsid w:val="00A35C38"/>
    <w:rsid w:val="00A36446"/>
    <w:rsid w:val="00A36D74"/>
    <w:rsid w:val="00A36EC6"/>
    <w:rsid w:val="00A37B99"/>
    <w:rsid w:val="00A4034A"/>
    <w:rsid w:val="00A4089B"/>
    <w:rsid w:val="00A41593"/>
    <w:rsid w:val="00A45695"/>
    <w:rsid w:val="00A45B7F"/>
    <w:rsid w:val="00A466F9"/>
    <w:rsid w:val="00A478C6"/>
    <w:rsid w:val="00A479A5"/>
    <w:rsid w:val="00A501EE"/>
    <w:rsid w:val="00A5044E"/>
    <w:rsid w:val="00A50493"/>
    <w:rsid w:val="00A506AC"/>
    <w:rsid w:val="00A50BEB"/>
    <w:rsid w:val="00A50E84"/>
    <w:rsid w:val="00A518FC"/>
    <w:rsid w:val="00A52E0A"/>
    <w:rsid w:val="00A53B30"/>
    <w:rsid w:val="00A56BC6"/>
    <w:rsid w:val="00A574A8"/>
    <w:rsid w:val="00A614C8"/>
    <w:rsid w:val="00A62ED0"/>
    <w:rsid w:val="00A63C89"/>
    <w:rsid w:val="00A65750"/>
    <w:rsid w:val="00A658BB"/>
    <w:rsid w:val="00A66D94"/>
    <w:rsid w:val="00A67372"/>
    <w:rsid w:val="00A6749B"/>
    <w:rsid w:val="00A701D3"/>
    <w:rsid w:val="00A70315"/>
    <w:rsid w:val="00A70A85"/>
    <w:rsid w:val="00A71909"/>
    <w:rsid w:val="00A7200E"/>
    <w:rsid w:val="00A7203A"/>
    <w:rsid w:val="00A724DC"/>
    <w:rsid w:val="00A73C59"/>
    <w:rsid w:val="00A752E0"/>
    <w:rsid w:val="00A75312"/>
    <w:rsid w:val="00A75544"/>
    <w:rsid w:val="00A759C8"/>
    <w:rsid w:val="00A75BAC"/>
    <w:rsid w:val="00A762C2"/>
    <w:rsid w:val="00A766DB"/>
    <w:rsid w:val="00A80423"/>
    <w:rsid w:val="00A8218B"/>
    <w:rsid w:val="00A841CF"/>
    <w:rsid w:val="00A8488C"/>
    <w:rsid w:val="00A84C55"/>
    <w:rsid w:val="00A854BA"/>
    <w:rsid w:val="00A86693"/>
    <w:rsid w:val="00A86D98"/>
    <w:rsid w:val="00A9012C"/>
    <w:rsid w:val="00A90667"/>
    <w:rsid w:val="00A90FC7"/>
    <w:rsid w:val="00A91F90"/>
    <w:rsid w:val="00A92946"/>
    <w:rsid w:val="00A9339E"/>
    <w:rsid w:val="00A9518C"/>
    <w:rsid w:val="00A95FA1"/>
    <w:rsid w:val="00A97107"/>
    <w:rsid w:val="00A97D2D"/>
    <w:rsid w:val="00AA060D"/>
    <w:rsid w:val="00AA07E5"/>
    <w:rsid w:val="00AA15A2"/>
    <w:rsid w:val="00AA2D2A"/>
    <w:rsid w:val="00AA3115"/>
    <w:rsid w:val="00AA365B"/>
    <w:rsid w:val="00AA4DBD"/>
    <w:rsid w:val="00AA5585"/>
    <w:rsid w:val="00AA6666"/>
    <w:rsid w:val="00AA67D9"/>
    <w:rsid w:val="00AA783E"/>
    <w:rsid w:val="00AB0B3C"/>
    <w:rsid w:val="00AB0C40"/>
    <w:rsid w:val="00AB2783"/>
    <w:rsid w:val="00AB3CE8"/>
    <w:rsid w:val="00AB3EAA"/>
    <w:rsid w:val="00AB44AA"/>
    <w:rsid w:val="00AB44B2"/>
    <w:rsid w:val="00AB472D"/>
    <w:rsid w:val="00AB4DE8"/>
    <w:rsid w:val="00AB5C1B"/>
    <w:rsid w:val="00AB6084"/>
    <w:rsid w:val="00AB659F"/>
    <w:rsid w:val="00AB6D7B"/>
    <w:rsid w:val="00AB6DF9"/>
    <w:rsid w:val="00AB6FFE"/>
    <w:rsid w:val="00AB73C0"/>
    <w:rsid w:val="00AB7893"/>
    <w:rsid w:val="00AC042E"/>
    <w:rsid w:val="00AC0BC2"/>
    <w:rsid w:val="00AC0ECB"/>
    <w:rsid w:val="00AC1436"/>
    <w:rsid w:val="00AC193A"/>
    <w:rsid w:val="00AC1EAC"/>
    <w:rsid w:val="00AC2400"/>
    <w:rsid w:val="00AC279D"/>
    <w:rsid w:val="00AC2C0D"/>
    <w:rsid w:val="00AC2E86"/>
    <w:rsid w:val="00AC365B"/>
    <w:rsid w:val="00AC4522"/>
    <w:rsid w:val="00AC4C57"/>
    <w:rsid w:val="00AC5510"/>
    <w:rsid w:val="00AC58B5"/>
    <w:rsid w:val="00AC6BE5"/>
    <w:rsid w:val="00AC6CC1"/>
    <w:rsid w:val="00AC6D17"/>
    <w:rsid w:val="00AC6D7A"/>
    <w:rsid w:val="00AC7AB7"/>
    <w:rsid w:val="00AC7C99"/>
    <w:rsid w:val="00AD1C1F"/>
    <w:rsid w:val="00AD26F4"/>
    <w:rsid w:val="00AD3679"/>
    <w:rsid w:val="00AD37D5"/>
    <w:rsid w:val="00AD43A1"/>
    <w:rsid w:val="00AD56D2"/>
    <w:rsid w:val="00AD6721"/>
    <w:rsid w:val="00AD6D61"/>
    <w:rsid w:val="00AD6F6B"/>
    <w:rsid w:val="00AD721F"/>
    <w:rsid w:val="00AD7985"/>
    <w:rsid w:val="00AE126B"/>
    <w:rsid w:val="00AE1757"/>
    <w:rsid w:val="00AE1811"/>
    <w:rsid w:val="00AE2237"/>
    <w:rsid w:val="00AE289B"/>
    <w:rsid w:val="00AE2B82"/>
    <w:rsid w:val="00AE326C"/>
    <w:rsid w:val="00AE3954"/>
    <w:rsid w:val="00AE3E63"/>
    <w:rsid w:val="00AE3EE7"/>
    <w:rsid w:val="00AE4CB8"/>
    <w:rsid w:val="00AE5602"/>
    <w:rsid w:val="00AE58D3"/>
    <w:rsid w:val="00AE5F1F"/>
    <w:rsid w:val="00AE61B5"/>
    <w:rsid w:val="00AE6E0E"/>
    <w:rsid w:val="00AE7332"/>
    <w:rsid w:val="00AF0B6E"/>
    <w:rsid w:val="00AF1CCD"/>
    <w:rsid w:val="00AF2888"/>
    <w:rsid w:val="00AF2C59"/>
    <w:rsid w:val="00AF3198"/>
    <w:rsid w:val="00AF3D2C"/>
    <w:rsid w:val="00AF41A0"/>
    <w:rsid w:val="00AF576F"/>
    <w:rsid w:val="00AF66DA"/>
    <w:rsid w:val="00AF69D4"/>
    <w:rsid w:val="00AF6AA4"/>
    <w:rsid w:val="00AF6D34"/>
    <w:rsid w:val="00AF7167"/>
    <w:rsid w:val="00B00E46"/>
    <w:rsid w:val="00B01AF8"/>
    <w:rsid w:val="00B02C39"/>
    <w:rsid w:val="00B04015"/>
    <w:rsid w:val="00B0467C"/>
    <w:rsid w:val="00B04DF0"/>
    <w:rsid w:val="00B06028"/>
    <w:rsid w:val="00B064D2"/>
    <w:rsid w:val="00B06536"/>
    <w:rsid w:val="00B06AC6"/>
    <w:rsid w:val="00B06B37"/>
    <w:rsid w:val="00B078A4"/>
    <w:rsid w:val="00B106BB"/>
    <w:rsid w:val="00B118BE"/>
    <w:rsid w:val="00B11EDC"/>
    <w:rsid w:val="00B125E7"/>
    <w:rsid w:val="00B13A31"/>
    <w:rsid w:val="00B13B53"/>
    <w:rsid w:val="00B15424"/>
    <w:rsid w:val="00B16070"/>
    <w:rsid w:val="00B1625B"/>
    <w:rsid w:val="00B16594"/>
    <w:rsid w:val="00B16A2E"/>
    <w:rsid w:val="00B1726E"/>
    <w:rsid w:val="00B20183"/>
    <w:rsid w:val="00B20918"/>
    <w:rsid w:val="00B20DE0"/>
    <w:rsid w:val="00B22299"/>
    <w:rsid w:val="00B23455"/>
    <w:rsid w:val="00B23EF7"/>
    <w:rsid w:val="00B243AB"/>
    <w:rsid w:val="00B25AA3"/>
    <w:rsid w:val="00B25C68"/>
    <w:rsid w:val="00B25D02"/>
    <w:rsid w:val="00B26346"/>
    <w:rsid w:val="00B27C9D"/>
    <w:rsid w:val="00B3102D"/>
    <w:rsid w:val="00B326F3"/>
    <w:rsid w:val="00B33524"/>
    <w:rsid w:val="00B33791"/>
    <w:rsid w:val="00B3439F"/>
    <w:rsid w:val="00B348E7"/>
    <w:rsid w:val="00B3584E"/>
    <w:rsid w:val="00B35DDB"/>
    <w:rsid w:val="00B35FDD"/>
    <w:rsid w:val="00B371AA"/>
    <w:rsid w:val="00B373B3"/>
    <w:rsid w:val="00B37A74"/>
    <w:rsid w:val="00B37BB7"/>
    <w:rsid w:val="00B37BCD"/>
    <w:rsid w:val="00B424AB"/>
    <w:rsid w:val="00B42853"/>
    <w:rsid w:val="00B44B37"/>
    <w:rsid w:val="00B44F9F"/>
    <w:rsid w:val="00B45524"/>
    <w:rsid w:val="00B46999"/>
    <w:rsid w:val="00B4709F"/>
    <w:rsid w:val="00B47157"/>
    <w:rsid w:val="00B47200"/>
    <w:rsid w:val="00B475F1"/>
    <w:rsid w:val="00B502AD"/>
    <w:rsid w:val="00B5037E"/>
    <w:rsid w:val="00B52941"/>
    <w:rsid w:val="00B5304E"/>
    <w:rsid w:val="00B539FA"/>
    <w:rsid w:val="00B543F6"/>
    <w:rsid w:val="00B54525"/>
    <w:rsid w:val="00B54B78"/>
    <w:rsid w:val="00B550D2"/>
    <w:rsid w:val="00B5579D"/>
    <w:rsid w:val="00B56100"/>
    <w:rsid w:val="00B6063F"/>
    <w:rsid w:val="00B60BDF"/>
    <w:rsid w:val="00B60E75"/>
    <w:rsid w:val="00B60EED"/>
    <w:rsid w:val="00B6237B"/>
    <w:rsid w:val="00B63709"/>
    <w:rsid w:val="00B6403A"/>
    <w:rsid w:val="00B645CD"/>
    <w:rsid w:val="00B647D9"/>
    <w:rsid w:val="00B65605"/>
    <w:rsid w:val="00B658FE"/>
    <w:rsid w:val="00B66539"/>
    <w:rsid w:val="00B66632"/>
    <w:rsid w:val="00B6680E"/>
    <w:rsid w:val="00B673D8"/>
    <w:rsid w:val="00B67436"/>
    <w:rsid w:val="00B708AF"/>
    <w:rsid w:val="00B71262"/>
    <w:rsid w:val="00B73014"/>
    <w:rsid w:val="00B740D5"/>
    <w:rsid w:val="00B746CD"/>
    <w:rsid w:val="00B747DF"/>
    <w:rsid w:val="00B7661F"/>
    <w:rsid w:val="00B76C21"/>
    <w:rsid w:val="00B76FE0"/>
    <w:rsid w:val="00B77108"/>
    <w:rsid w:val="00B80690"/>
    <w:rsid w:val="00B8175A"/>
    <w:rsid w:val="00B818E9"/>
    <w:rsid w:val="00B81A86"/>
    <w:rsid w:val="00B81E08"/>
    <w:rsid w:val="00B82350"/>
    <w:rsid w:val="00B83ACB"/>
    <w:rsid w:val="00B84377"/>
    <w:rsid w:val="00B84518"/>
    <w:rsid w:val="00B85627"/>
    <w:rsid w:val="00B85CC9"/>
    <w:rsid w:val="00B8617A"/>
    <w:rsid w:val="00B87554"/>
    <w:rsid w:val="00B87643"/>
    <w:rsid w:val="00B90BAF"/>
    <w:rsid w:val="00B90D14"/>
    <w:rsid w:val="00B926DC"/>
    <w:rsid w:val="00B93032"/>
    <w:rsid w:val="00B9322F"/>
    <w:rsid w:val="00B935B9"/>
    <w:rsid w:val="00B93718"/>
    <w:rsid w:val="00B959EE"/>
    <w:rsid w:val="00B95F41"/>
    <w:rsid w:val="00B9691A"/>
    <w:rsid w:val="00B96CC9"/>
    <w:rsid w:val="00B97DE2"/>
    <w:rsid w:val="00BA0058"/>
    <w:rsid w:val="00BA095C"/>
    <w:rsid w:val="00BA0D26"/>
    <w:rsid w:val="00BA23A1"/>
    <w:rsid w:val="00BA23BE"/>
    <w:rsid w:val="00BA266D"/>
    <w:rsid w:val="00BA3917"/>
    <w:rsid w:val="00BA4674"/>
    <w:rsid w:val="00BA4DF9"/>
    <w:rsid w:val="00BA576A"/>
    <w:rsid w:val="00BA62C5"/>
    <w:rsid w:val="00BA7E8A"/>
    <w:rsid w:val="00BB0826"/>
    <w:rsid w:val="00BB0FDB"/>
    <w:rsid w:val="00BB1700"/>
    <w:rsid w:val="00BB2A6D"/>
    <w:rsid w:val="00BB3376"/>
    <w:rsid w:val="00BB34F9"/>
    <w:rsid w:val="00BB38D1"/>
    <w:rsid w:val="00BB3EB4"/>
    <w:rsid w:val="00BB4FFF"/>
    <w:rsid w:val="00BB5820"/>
    <w:rsid w:val="00BB5CCE"/>
    <w:rsid w:val="00BB5D61"/>
    <w:rsid w:val="00BB6215"/>
    <w:rsid w:val="00BB6CAB"/>
    <w:rsid w:val="00BB7934"/>
    <w:rsid w:val="00BC1538"/>
    <w:rsid w:val="00BC1912"/>
    <w:rsid w:val="00BC1EAC"/>
    <w:rsid w:val="00BC254D"/>
    <w:rsid w:val="00BC3175"/>
    <w:rsid w:val="00BC3523"/>
    <w:rsid w:val="00BC42E9"/>
    <w:rsid w:val="00BC52CB"/>
    <w:rsid w:val="00BC654B"/>
    <w:rsid w:val="00BC6B43"/>
    <w:rsid w:val="00BC7CB8"/>
    <w:rsid w:val="00BC7DAF"/>
    <w:rsid w:val="00BD0BB9"/>
    <w:rsid w:val="00BD0D0A"/>
    <w:rsid w:val="00BD1890"/>
    <w:rsid w:val="00BD2D25"/>
    <w:rsid w:val="00BD3FC7"/>
    <w:rsid w:val="00BD513C"/>
    <w:rsid w:val="00BD5DC5"/>
    <w:rsid w:val="00BD5F31"/>
    <w:rsid w:val="00BD70AC"/>
    <w:rsid w:val="00BE01E9"/>
    <w:rsid w:val="00BE02B8"/>
    <w:rsid w:val="00BE0AAC"/>
    <w:rsid w:val="00BE373C"/>
    <w:rsid w:val="00BE39DB"/>
    <w:rsid w:val="00BE41B7"/>
    <w:rsid w:val="00BE5441"/>
    <w:rsid w:val="00BE6138"/>
    <w:rsid w:val="00BF02F6"/>
    <w:rsid w:val="00BF084F"/>
    <w:rsid w:val="00BF0EA0"/>
    <w:rsid w:val="00BF11C9"/>
    <w:rsid w:val="00BF1472"/>
    <w:rsid w:val="00BF1B75"/>
    <w:rsid w:val="00BF1C5C"/>
    <w:rsid w:val="00BF2FF9"/>
    <w:rsid w:val="00BF3937"/>
    <w:rsid w:val="00BF42CE"/>
    <w:rsid w:val="00BF56D5"/>
    <w:rsid w:val="00BF5865"/>
    <w:rsid w:val="00BF67C4"/>
    <w:rsid w:val="00BF68A0"/>
    <w:rsid w:val="00BF77A7"/>
    <w:rsid w:val="00BF7F9E"/>
    <w:rsid w:val="00C004C1"/>
    <w:rsid w:val="00C00B5D"/>
    <w:rsid w:val="00C00C20"/>
    <w:rsid w:val="00C00DFC"/>
    <w:rsid w:val="00C01736"/>
    <w:rsid w:val="00C01E27"/>
    <w:rsid w:val="00C02228"/>
    <w:rsid w:val="00C02307"/>
    <w:rsid w:val="00C02DAD"/>
    <w:rsid w:val="00C042DF"/>
    <w:rsid w:val="00C04FFC"/>
    <w:rsid w:val="00C06A20"/>
    <w:rsid w:val="00C079FE"/>
    <w:rsid w:val="00C07B8A"/>
    <w:rsid w:val="00C10778"/>
    <w:rsid w:val="00C10AD5"/>
    <w:rsid w:val="00C1304F"/>
    <w:rsid w:val="00C13B82"/>
    <w:rsid w:val="00C15A38"/>
    <w:rsid w:val="00C15CCC"/>
    <w:rsid w:val="00C1675A"/>
    <w:rsid w:val="00C1732A"/>
    <w:rsid w:val="00C17AEB"/>
    <w:rsid w:val="00C20029"/>
    <w:rsid w:val="00C2196F"/>
    <w:rsid w:val="00C21EE0"/>
    <w:rsid w:val="00C22F82"/>
    <w:rsid w:val="00C2428B"/>
    <w:rsid w:val="00C258B1"/>
    <w:rsid w:val="00C26B69"/>
    <w:rsid w:val="00C27046"/>
    <w:rsid w:val="00C277A8"/>
    <w:rsid w:val="00C27A54"/>
    <w:rsid w:val="00C32822"/>
    <w:rsid w:val="00C337A0"/>
    <w:rsid w:val="00C341A0"/>
    <w:rsid w:val="00C35900"/>
    <w:rsid w:val="00C3722B"/>
    <w:rsid w:val="00C4065D"/>
    <w:rsid w:val="00C4143B"/>
    <w:rsid w:val="00C46297"/>
    <w:rsid w:val="00C46A93"/>
    <w:rsid w:val="00C470F0"/>
    <w:rsid w:val="00C473EA"/>
    <w:rsid w:val="00C47F11"/>
    <w:rsid w:val="00C50260"/>
    <w:rsid w:val="00C509D1"/>
    <w:rsid w:val="00C514A1"/>
    <w:rsid w:val="00C516F8"/>
    <w:rsid w:val="00C528D1"/>
    <w:rsid w:val="00C52A57"/>
    <w:rsid w:val="00C52AE8"/>
    <w:rsid w:val="00C531DF"/>
    <w:rsid w:val="00C53C85"/>
    <w:rsid w:val="00C54BDB"/>
    <w:rsid w:val="00C55F17"/>
    <w:rsid w:val="00C56532"/>
    <w:rsid w:val="00C56ACF"/>
    <w:rsid w:val="00C571BC"/>
    <w:rsid w:val="00C57B8D"/>
    <w:rsid w:val="00C60807"/>
    <w:rsid w:val="00C60A1C"/>
    <w:rsid w:val="00C615DA"/>
    <w:rsid w:val="00C621A0"/>
    <w:rsid w:val="00C62AB8"/>
    <w:rsid w:val="00C62E86"/>
    <w:rsid w:val="00C6491C"/>
    <w:rsid w:val="00C64D1E"/>
    <w:rsid w:val="00C650F0"/>
    <w:rsid w:val="00C65542"/>
    <w:rsid w:val="00C65FF2"/>
    <w:rsid w:val="00C667F6"/>
    <w:rsid w:val="00C670F1"/>
    <w:rsid w:val="00C67FAC"/>
    <w:rsid w:val="00C70A22"/>
    <w:rsid w:val="00C70E62"/>
    <w:rsid w:val="00C71581"/>
    <w:rsid w:val="00C717C1"/>
    <w:rsid w:val="00C72511"/>
    <w:rsid w:val="00C725EA"/>
    <w:rsid w:val="00C7326D"/>
    <w:rsid w:val="00C738AF"/>
    <w:rsid w:val="00C73B6E"/>
    <w:rsid w:val="00C73D0C"/>
    <w:rsid w:val="00C7425A"/>
    <w:rsid w:val="00C7458A"/>
    <w:rsid w:val="00C74E02"/>
    <w:rsid w:val="00C74FE3"/>
    <w:rsid w:val="00C7506F"/>
    <w:rsid w:val="00C750AB"/>
    <w:rsid w:val="00C75486"/>
    <w:rsid w:val="00C75737"/>
    <w:rsid w:val="00C76181"/>
    <w:rsid w:val="00C764F3"/>
    <w:rsid w:val="00C767F0"/>
    <w:rsid w:val="00C7723B"/>
    <w:rsid w:val="00C803CF"/>
    <w:rsid w:val="00C818F2"/>
    <w:rsid w:val="00C81C56"/>
    <w:rsid w:val="00C82638"/>
    <w:rsid w:val="00C828E4"/>
    <w:rsid w:val="00C82C1A"/>
    <w:rsid w:val="00C840E3"/>
    <w:rsid w:val="00C8480F"/>
    <w:rsid w:val="00C852D6"/>
    <w:rsid w:val="00C8634A"/>
    <w:rsid w:val="00C86886"/>
    <w:rsid w:val="00C874B9"/>
    <w:rsid w:val="00C879B5"/>
    <w:rsid w:val="00C879F5"/>
    <w:rsid w:val="00C87D15"/>
    <w:rsid w:val="00C87F69"/>
    <w:rsid w:val="00C902D1"/>
    <w:rsid w:val="00C904CA"/>
    <w:rsid w:val="00C90EA0"/>
    <w:rsid w:val="00C91A02"/>
    <w:rsid w:val="00C91A32"/>
    <w:rsid w:val="00C92140"/>
    <w:rsid w:val="00C93A24"/>
    <w:rsid w:val="00C94685"/>
    <w:rsid w:val="00C94737"/>
    <w:rsid w:val="00C95582"/>
    <w:rsid w:val="00C9563C"/>
    <w:rsid w:val="00C957B9"/>
    <w:rsid w:val="00C9648D"/>
    <w:rsid w:val="00C96680"/>
    <w:rsid w:val="00C9723C"/>
    <w:rsid w:val="00CA26EF"/>
    <w:rsid w:val="00CA3E70"/>
    <w:rsid w:val="00CA3FBA"/>
    <w:rsid w:val="00CA42F9"/>
    <w:rsid w:val="00CA55FE"/>
    <w:rsid w:val="00CA647C"/>
    <w:rsid w:val="00CA6F0A"/>
    <w:rsid w:val="00CA720B"/>
    <w:rsid w:val="00CA7485"/>
    <w:rsid w:val="00CA7890"/>
    <w:rsid w:val="00CA7984"/>
    <w:rsid w:val="00CA7C71"/>
    <w:rsid w:val="00CB0A01"/>
    <w:rsid w:val="00CB22B1"/>
    <w:rsid w:val="00CB3159"/>
    <w:rsid w:val="00CB357E"/>
    <w:rsid w:val="00CB3642"/>
    <w:rsid w:val="00CB41A7"/>
    <w:rsid w:val="00CB4B35"/>
    <w:rsid w:val="00CB50BF"/>
    <w:rsid w:val="00CB52C8"/>
    <w:rsid w:val="00CB54A3"/>
    <w:rsid w:val="00CB5AD4"/>
    <w:rsid w:val="00CB5AF3"/>
    <w:rsid w:val="00CB70C8"/>
    <w:rsid w:val="00CC058C"/>
    <w:rsid w:val="00CC1169"/>
    <w:rsid w:val="00CC13AB"/>
    <w:rsid w:val="00CC1E7B"/>
    <w:rsid w:val="00CC211A"/>
    <w:rsid w:val="00CC30C9"/>
    <w:rsid w:val="00CC3800"/>
    <w:rsid w:val="00CC3E5A"/>
    <w:rsid w:val="00CC51CE"/>
    <w:rsid w:val="00CC54AC"/>
    <w:rsid w:val="00CC76BF"/>
    <w:rsid w:val="00CC78FD"/>
    <w:rsid w:val="00CD0750"/>
    <w:rsid w:val="00CD1B64"/>
    <w:rsid w:val="00CD2DA7"/>
    <w:rsid w:val="00CD43AB"/>
    <w:rsid w:val="00CD4AD6"/>
    <w:rsid w:val="00CD4B93"/>
    <w:rsid w:val="00CD50E8"/>
    <w:rsid w:val="00CD5180"/>
    <w:rsid w:val="00CD5E33"/>
    <w:rsid w:val="00CE009B"/>
    <w:rsid w:val="00CE04EA"/>
    <w:rsid w:val="00CE09AD"/>
    <w:rsid w:val="00CE146B"/>
    <w:rsid w:val="00CE2068"/>
    <w:rsid w:val="00CE36A3"/>
    <w:rsid w:val="00CE49AF"/>
    <w:rsid w:val="00CE5265"/>
    <w:rsid w:val="00CE52C4"/>
    <w:rsid w:val="00CE5377"/>
    <w:rsid w:val="00CE57B3"/>
    <w:rsid w:val="00CE5A7A"/>
    <w:rsid w:val="00CE64EB"/>
    <w:rsid w:val="00CE6DFA"/>
    <w:rsid w:val="00CE6F97"/>
    <w:rsid w:val="00CE7C5E"/>
    <w:rsid w:val="00CF0878"/>
    <w:rsid w:val="00CF1FA3"/>
    <w:rsid w:val="00CF30C0"/>
    <w:rsid w:val="00CF4145"/>
    <w:rsid w:val="00CF5447"/>
    <w:rsid w:val="00CF5619"/>
    <w:rsid w:val="00CF57AE"/>
    <w:rsid w:val="00CF58E7"/>
    <w:rsid w:val="00CF5FB4"/>
    <w:rsid w:val="00CF69DE"/>
    <w:rsid w:val="00CF6BE4"/>
    <w:rsid w:val="00D0077C"/>
    <w:rsid w:val="00D01DB2"/>
    <w:rsid w:val="00D01E01"/>
    <w:rsid w:val="00D02ED7"/>
    <w:rsid w:val="00D044AE"/>
    <w:rsid w:val="00D06C7B"/>
    <w:rsid w:val="00D07613"/>
    <w:rsid w:val="00D10853"/>
    <w:rsid w:val="00D1136B"/>
    <w:rsid w:val="00D11AD5"/>
    <w:rsid w:val="00D11CA6"/>
    <w:rsid w:val="00D11F90"/>
    <w:rsid w:val="00D12097"/>
    <w:rsid w:val="00D126D2"/>
    <w:rsid w:val="00D12A5D"/>
    <w:rsid w:val="00D12AC8"/>
    <w:rsid w:val="00D13AFE"/>
    <w:rsid w:val="00D143C4"/>
    <w:rsid w:val="00D149DA"/>
    <w:rsid w:val="00D14F94"/>
    <w:rsid w:val="00D15017"/>
    <w:rsid w:val="00D150D6"/>
    <w:rsid w:val="00D152C5"/>
    <w:rsid w:val="00D15B7E"/>
    <w:rsid w:val="00D15E86"/>
    <w:rsid w:val="00D16326"/>
    <w:rsid w:val="00D2068B"/>
    <w:rsid w:val="00D209F3"/>
    <w:rsid w:val="00D21257"/>
    <w:rsid w:val="00D2129C"/>
    <w:rsid w:val="00D21BE6"/>
    <w:rsid w:val="00D21CBC"/>
    <w:rsid w:val="00D21FBD"/>
    <w:rsid w:val="00D220C7"/>
    <w:rsid w:val="00D22538"/>
    <w:rsid w:val="00D2298C"/>
    <w:rsid w:val="00D22A2E"/>
    <w:rsid w:val="00D24312"/>
    <w:rsid w:val="00D24882"/>
    <w:rsid w:val="00D24FEC"/>
    <w:rsid w:val="00D2603A"/>
    <w:rsid w:val="00D26331"/>
    <w:rsid w:val="00D26EDD"/>
    <w:rsid w:val="00D26FCA"/>
    <w:rsid w:val="00D27C24"/>
    <w:rsid w:val="00D30566"/>
    <w:rsid w:val="00D30B59"/>
    <w:rsid w:val="00D30D38"/>
    <w:rsid w:val="00D327F0"/>
    <w:rsid w:val="00D33046"/>
    <w:rsid w:val="00D337BE"/>
    <w:rsid w:val="00D3390C"/>
    <w:rsid w:val="00D33AA5"/>
    <w:rsid w:val="00D34ABB"/>
    <w:rsid w:val="00D34EEF"/>
    <w:rsid w:val="00D3558F"/>
    <w:rsid w:val="00D3756D"/>
    <w:rsid w:val="00D40020"/>
    <w:rsid w:val="00D4020E"/>
    <w:rsid w:val="00D408CF"/>
    <w:rsid w:val="00D41961"/>
    <w:rsid w:val="00D437B1"/>
    <w:rsid w:val="00D45B32"/>
    <w:rsid w:val="00D47116"/>
    <w:rsid w:val="00D508CA"/>
    <w:rsid w:val="00D5097C"/>
    <w:rsid w:val="00D51338"/>
    <w:rsid w:val="00D51651"/>
    <w:rsid w:val="00D51A75"/>
    <w:rsid w:val="00D52E56"/>
    <w:rsid w:val="00D52EFB"/>
    <w:rsid w:val="00D55CF0"/>
    <w:rsid w:val="00D56B2C"/>
    <w:rsid w:val="00D56FBA"/>
    <w:rsid w:val="00D57408"/>
    <w:rsid w:val="00D57607"/>
    <w:rsid w:val="00D57EA5"/>
    <w:rsid w:val="00D6095A"/>
    <w:rsid w:val="00D60C00"/>
    <w:rsid w:val="00D62726"/>
    <w:rsid w:val="00D62BA5"/>
    <w:rsid w:val="00D65754"/>
    <w:rsid w:val="00D666CF"/>
    <w:rsid w:val="00D66749"/>
    <w:rsid w:val="00D6692B"/>
    <w:rsid w:val="00D6693A"/>
    <w:rsid w:val="00D66ED7"/>
    <w:rsid w:val="00D70FCE"/>
    <w:rsid w:val="00D7131B"/>
    <w:rsid w:val="00D73A81"/>
    <w:rsid w:val="00D73AFE"/>
    <w:rsid w:val="00D74F1B"/>
    <w:rsid w:val="00D75BA0"/>
    <w:rsid w:val="00D7611D"/>
    <w:rsid w:val="00D7762F"/>
    <w:rsid w:val="00D81003"/>
    <w:rsid w:val="00D81447"/>
    <w:rsid w:val="00D82813"/>
    <w:rsid w:val="00D82AC6"/>
    <w:rsid w:val="00D840CB"/>
    <w:rsid w:val="00D84F08"/>
    <w:rsid w:val="00D84F38"/>
    <w:rsid w:val="00D85699"/>
    <w:rsid w:val="00D85B2F"/>
    <w:rsid w:val="00D861A2"/>
    <w:rsid w:val="00D86C94"/>
    <w:rsid w:val="00D90FDA"/>
    <w:rsid w:val="00D917F9"/>
    <w:rsid w:val="00D92564"/>
    <w:rsid w:val="00D926FA"/>
    <w:rsid w:val="00D94457"/>
    <w:rsid w:val="00D95608"/>
    <w:rsid w:val="00D958C0"/>
    <w:rsid w:val="00D95D3A"/>
    <w:rsid w:val="00DA0133"/>
    <w:rsid w:val="00DA113B"/>
    <w:rsid w:val="00DA1220"/>
    <w:rsid w:val="00DA16F4"/>
    <w:rsid w:val="00DA223E"/>
    <w:rsid w:val="00DA2278"/>
    <w:rsid w:val="00DA271E"/>
    <w:rsid w:val="00DA2DBF"/>
    <w:rsid w:val="00DA313C"/>
    <w:rsid w:val="00DA46CB"/>
    <w:rsid w:val="00DA5140"/>
    <w:rsid w:val="00DA51FD"/>
    <w:rsid w:val="00DA539E"/>
    <w:rsid w:val="00DA5684"/>
    <w:rsid w:val="00DA5A72"/>
    <w:rsid w:val="00DA5F64"/>
    <w:rsid w:val="00DA6152"/>
    <w:rsid w:val="00DA63D1"/>
    <w:rsid w:val="00DA69B9"/>
    <w:rsid w:val="00DB0018"/>
    <w:rsid w:val="00DB02CD"/>
    <w:rsid w:val="00DB0428"/>
    <w:rsid w:val="00DB1B00"/>
    <w:rsid w:val="00DB1D68"/>
    <w:rsid w:val="00DB1EB5"/>
    <w:rsid w:val="00DB2967"/>
    <w:rsid w:val="00DB32C0"/>
    <w:rsid w:val="00DB3352"/>
    <w:rsid w:val="00DB3D02"/>
    <w:rsid w:val="00DB402F"/>
    <w:rsid w:val="00DB5DB2"/>
    <w:rsid w:val="00DB662A"/>
    <w:rsid w:val="00DB67CE"/>
    <w:rsid w:val="00DB69AF"/>
    <w:rsid w:val="00DB71B9"/>
    <w:rsid w:val="00DB7ED2"/>
    <w:rsid w:val="00DC09BB"/>
    <w:rsid w:val="00DC11C3"/>
    <w:rsid w:val="00DC17A2"/>
    <w:rsid w:val="00DC1D48"/>
    <w:rsid w:val="00DC1FA8"/>
    <w:rsid w:val="00DC2125"/>
    <w:rsid w:val="00DC2DC3"/>
    <w:rsid w:val="00DC5C40"/>
    <w:rsid w:val="00DC6164"/>
    <w:rsid w:val="00DC63C0"/>
    <w:rsid w:val="00DC6A7A"/>
    <w:rsid w:val="00DC6CF6"/>
    <w:rsid w:val="00DC7034"/>
    <w:rsid w:val="00DC75B2"/>
    <w:rsid w:val="00DC76F9"/>
    <w:rsid w:val="00DC7890"/>
    <w:rsid w:val="00DC7A68"/>
    <w:rsid w:val="00DD03CF"/>
    <w:rsid w:val="00DD2495"/>
    <w:rsid w:val="00DD3686"/>
    <w:rsid w:val="00DD378C"/>
    <w:rsid w:val="00DD3E88"/>
    <w:rsid w:val="00DD5114"/>
    <w:rsid w:val="00DD5248"/>
    <w:rsid w:val="00DD5479"/>
    <w:rsid w:val="00DD5F43"/>
    <w:rsid w:val="00DD707F"/>
    <w:rsid w:val="00DD78B2"/>
    <w:rsid w:val="00DD792D"/>
    <w:rsid w:val="00DE015B"/>
    <w:rsid w:val="00DE0C57"/>
    <w:rsid w:val="00DE1410"/>
    <w:rsid w:val="00DE26B7"/>
    <w:rsid w:val="00DE2E7A"/>
    <w:rsid w:val="00DE3492"/>
    <w:rsid w:val="00DE3946"/>
    <w:rsid w:val="00DE3CD1"/>
    <w:rsid w:val="00DE41EA"/>
    <w:rsid w:val="00DE6026"/>
    <w:rsid w:val="00DE6116"/>
    <w:rsid w:val="00DE6821"/>
    <w:rsid w:val="00DE6AF9"/>
    <w:rsid w:val="00DE6E27"/>
    <w:rsid w:val="00DE7739"/>
    <w:rsid w:val="00DF0396"/>
    <w:rsid w:val="00DF0888"/>
    <w:rsid w:val="00DF21D9"/>
    <w:rsid w:val="00DF23EF"/>
    <w:rsid w:val="00DF2C18"/>
    <w:rsid w:val="00DF3D79"/>
    <w:rsid w:val="00DF47EE"/>
    <w:rsid w:val="00DF502B"/>
    <w:rsid w:val="00DF54BB"/>
    <w:rsid w:val="00DF62E0"/>
    <w:rsid w:val="00DF7435"/>
    <w:rsid w:val="00DF7D77"/>
    <w:rsid w:val="00E00060"/>
    <w:rsid w:val="00E00431"/>
    <w:rsid w:val="00E00CC8"/>
    <w:rsid w:val="00E00E12"/>
    <w:rsid w:val="00E0376B"/>
    <w:rsid w:val="00E03F1F"/>
    <w:rsid w:val="00E04254"/>
    <w:rsid w:val="00E0594F"/>
    <w:rsid w:val="00E06166"/>
    <w:rsid w:val="00E06BE5"/>
    <w:rsid w:val="00E07795"/>
    <w:rsid w:val="00E07A3B"/>
    <w:rsid w:val="00E07FF6"/>
    <w:rsid w:val="00E10DF0"/>
    <w:rsid w:val="00E11F2A"/>
    <w:rsid w:val="00E125FC"/>
    <w:rsid w:val="00E1304B"/>
    <w:rsid w:val="00E147A0"/>
    <w:rsid w:val="00E201ED"/>
    <w:rsid w:val="00E21BC0"/>
    <w:rsid w:val="00E21C53"/>
    <w:rsid w:val="00E21CFC"/>
    <w:rsid w:val="00E21D16"/>
    <w:rsid w:val="00E227A8"/>
    <w:rsid w:val="00E23508"/>
    <w:rsid w:val="00E23E26"/>
    <w:rsid w:val="00E250D5"/>
    <w:rsid w:val="00E25958"/>
    <w:rsid w:val="00E25EB4"/>
    <w:rsid w:val="00E3048B"/>
    <w:rsid w:val="00E30FFE"/>
    <w:rsid w:val="00E3120A"/>
    <w:rsid w:val="00E319F1"/>
    <w:rsid w:val="00E31B70"/>
    <w:rsid w:val="00E3284A"/>
    <w:rsid w:val="00E32B86"/>
    <w:rsid w:val="00E32F8A"/>
    <w:rsid w:val="00E3450F"/>
    <w:rsid w:val="00E35150"/>
    <w:rsid w:val="00E35603"/>
    <w:rsid w:val="00E36441"/>
    <w:rsid w:val="00E40A55"/>
    <w:rsid w:val="00E40BD9"/>
    <w:rsid w:val="00E41A3C"/>
    <w:rsid w:val="00E427EA"/>
    <w:rsid w:val="00E42915"/>
    <w:rsid w:val="00E43501"/>
    <w:rsid w:val="00E445F3"/>
    <w:rsid w:val="00E45076"/>
    <w:rsid w:val="00E45EC6"/>
    <w:rsid w:val="00E47096"/>
    <w:rsid w:val="00E47297"/>
    <w:rsid w:val="00E47572"/>
    <w:rsid w:val="00E47746"/>
    <w:rsid w:val="00E47C0C"/>
    <w:rsid w:val="00E51017"/>
    <w:rsid w:val="00E512E5"/>
    <w:rsid w:val="00E51C05"/>
    <w:rsid w:val="00E51E7C"/>
    <w:rsid w:val="00E51FF3"/>
    <w:rsid w:val="00E520D4"/>
    <w:rsid w:val="00E52503"/>
    <w:rsid w:val="00E52EDE"/>
    <w:rsid w:val="00E5416C"/>
    <w:rsid w:val="00E54809"/>
    <w:rsid w:val="00E54EAC"/>
    <w:rsid w:val="00E551D1"/>
    <w:rsid w:val="00E5574E"/>
    <w:rsid w:val="00E56D72"/>
    <w:rsid w:val="00E60486"/>
    <w:rsid w:val="00E60783"/>
    <w:rsid w:val="00E619D0"/>
    <w:rsid w:val="00E635C3"/>
    <w:rsid w:val="00E63F62"/>
    <w:rsid w:val="00E64AD6"/>
    <w:rsid w:val="00E6584B"/>
    <w:rsid w:val="00E65BC7"/>
    <w:rsid w:val="00E6626C"/>
    <w:rsid w:val="00E663DA"/>
    <w:rsid w:val="00E663EC"/>
    <w:rsid w:val="00E66BAA"/>
    <w:rsid w:val="00E66E32"/>
    <w:rsid w:val="00E671D9"/>
    <w:rsid w:val="00E6777C"/>
    <w:rsid w:val="00E677BA"/>
    <w:rsid w:val="00E67A03"/>
    <w:rsid w:val="00E723C5"/>
    <w:rsid w:val="00E72584"/>
    <w:rsid w:val="00E72A21"/>
    <w:rsid w:val="00E73116"/>
    <w:rsid w:val="00E73369"/>
    <w:rsid w:val="00E741A2"/>
    <w:rsid w:val="00E7481D"/>
    <w:rsid w:val="00E76096"/>
    <w:rsid w:val="00E77ABA"/>
    <w:rsid w:val="00E77E24"/>
    <w:rsid w:val="00E81029"/>
    <w:rsid w:val="00E814F0"/>
    <w:rsid w:val="00E827B2"/>
    <w:rsid w:val="00E83678"/>
    <w:rsid w:val="00E84A19"/>
    <w:rsid w:val="00E84B9A"/>
    <w:rsid w:val="00E8694E"/>
    <w:rsid w:val="00E907C5"/>
    <w:rsid w:val="00E907EE"/>
    <w:rsid w:val="00E909E3"/>
    <w:rsid w:val="00E90EFD"/>
    <w:rsid w:val="00E911DB"/>
    <w:rsid w:val="00E91206"/>
    <w:rsid w:val="00E91283"/>
    <w:rsid w:val="00E91363"/>
    <w:rsid w:val="00E91FAD"/>
    <w:rsid w:val="00E93425"/>
    <w:rsid w:val="00E934D3"/>
    <w:rsid w:val="00E93A9C"/>
    <w:rsid w:val="00E93D79"/>
    <w:rsid w:val="00E93F6E"/>
    <w:rsid w:val="00E93FFC"/>
    <w:rsid w:val="00E948A2"/>
    <w:rsid w:val="00E95C23"/>
    <w:rsid w:val="00E96EF4"/>
    <w:rsid w:val="00E970B9"/>
    <w:rsid w:val="00E97543"/>
    <w:rsid w:val="00EA0910"/>
    <w:rsid w:val="00EA0B82"/>
    <w:rsid w:val="00EA0C58"/>
    <w:rsid w:val="00EA0CD7"/>
    <w:rsid w:val="00EA1B99"/>
    <w:rsid w:val="00EA1D7E"/>
    <w:rsid w:val="00EA1F5C"/>
    <w:rsid w:val="00EA1FD4"/>
    <w:rsid w:val="00EA2232"/>
    <w:rsid w:val="00EA2B23"/>
    <w:rsid w:val="00EA3514"/>
    <w:rsid w:val="00EA40C7"/>
    <w:rsid w:val="00EA436F"/>
    <w:rsid w:val="00EA51D0"/>
    <w:rsid w:val="00EA521D"/>
    <w:rsid w:val="00EA5559"/>
    <w:rsid w:val="00EA63B2"/>
    <w:rsid w:val="00EA7D35"/>
    <w:rsid w:val="00EB0493"/>
    <w:rsid w:val="00EB17AB"/>
    <w:rsid w:val="00EB1F0B"/>
    <w:rsid w:val="00EB2E69"/>
    <w:rsid w:val="00EB36BE"/>
    <w:rsid w:val="00EB4726"/>
    <w:rsid w:val="00EB536D"/>
    <w:rsid w:val="00EB72A8"/>
    <w:rsid w:val="00EC13FD"/>
    <w:rsid w:val="00EC16DC"/>
    <w:rsid w:val="00EC2624"/>
    <w:rsid w:val="00EC28CB"/>
    <w:rsid w:val="00EC34FE"/>
    <w:rsid w:val="00EC3D97"/>
    <w:rsid w:val="00EC3F1F"/>
    <w:rsid w:val="00EC4022"/>
    <w:rsid w:val="00EC4718"/>
    <w:rsid w:val="00EC5262"/>
    <w:rsid w:val="00EC5974"/>
    <w:rsid w:val="00EC636E"/>
    <w:rsid w:val="00EC6448"/>
    <w:rsid w:val="00EC7751"/>
    <w:rsid w:val="00EC7F4E"/>
    <w:rsid w:val="00ED0231"/>
    <w:rsid w:val="00ED02EF"/>
    <w:rsid w:val="00ED0831"/>
    <w:rsid w:val="00ED1C4A"/>
    <w:rsid w:val="00ED2254"/>
    <w:rsid w:val="00ED2C8D"/>
    <w:rsid w:val="00ED314B"/>
    <w:rsid w:val="00ED37D0"/>
    <w:rsid w:val="00ED439F"/>
    <w:rsid w:val="00ED526A"/>
    <w:rsid w:val="00ED55C0"/>
    <w:rsid w:val="00ED71D5"/>
    <w:rsid w:val="00ED74F5"/>
    <w:rsid w:val="00EE042C"/>
    <w:rsid w:val="00EE0913"/>
    <w:rsid w:val="00EE0A0B"/>
    <w:rsid w:val="00EE25D9"/>
    <w:rsid w:val="00EE2C59"/>
    <w:rsid w:val="00EE2E0D"/>
    <w:rsid w:val="00EE3C92"/>
    <w:rsid w:val="00EE3D95"/>
    <w:rsid w:val="00EE7E4F"/>
    <w:rsid w:val="00EF006C"/>
    <w:rsid w:val="00EF009D"/>
    <w:rsid w:val="00EF083D"/>
    <w:rsid w:val="00EF0962"/>
    <w:rsid w:val="00EF0F18"/>
    <w:rsid w:val="00EF209D"/>
    <w:rsid w:val="00EF233D"/>
    <w:rsid w:val="00EF26EA"/>
    <w:rsid w:val="00EF3590"/>
    <w:rsid w:val="00EF6277"/>
    <w:rsid w:val="00EF6FDB"/>
    <w:rsid w:val="00F00420"/>
    <w:rsid w:val="00F00E39"/>
    <w:rsid w:val="00F0127B"/>
    <w:rsid w:val="00F01B9E"/>
    <w:rsid w:val="00F0229E"/>
    <w:rsid w:val="00F0302D"/>
    <w:rsid w:val="00F03244"/>
    <w:rsid w:val="00F034BC"/>
    <w:rsid w:val="00F03FCD"/>
    <w:rsid w:val="00F05134"/>
    <w:rsid w:val="00F05BD3"/>
    <w:rsid w:val="00F0627D"/>
    <w:rsid w:val="00F06AF5"/>
    <w:rsid w:val="00F07C7C"/>
    <w:rsid w:val="00F07FE2"/>
    <w:rsid w:val="00F10903"/>
    <w:rsid w:val="00F117BC"/>
    <w:rsid w:val="00F11DCF"/>
    <w:rsid w:val="00F1248E"/>
    <w:rsid w:val="00F12BCB"/>
    <w:rsid w:val="00F14E40"/>
    <w:rsid w:val="00F1515F"/>
    <w:rsid w:val="00F15DDB"/>
    <w:rsid w:val="00F16098"/>
    <w:rsid w:val="00F16779"/>
    <w:rsid w:val="00F17131"/>
    <w:rsid w:val="00F20D61"/>
    <w:rsid w:val="00F21854"/>
    <w:rsid w:val="00F21EAD"/>
    <w:rsid w:val="00F24C39"/>
    <w:rsid w:val="00F24CA5"/>
    <w:rsid w:val="00F279A6"/>
    <w:rsid w:val="00F27B39"/>
    <w:rsid w:val="00F30812"/>
    <w:rsid w:val="00F30FB2"/>
    <w:rsid w:val="00F313CA"/>
    <w:rsid w:val="00F31A9A"/>
    <w:rsid w:val="00F32236"/>
    <w:rsid w:val="00F325C1"/>
    <w:rsid w:val="00F332C3"/>
    <w:rsid w:val="00F34A42"/>
    <w:rsid w:val="00F35074"/>
    <w:rsid w:val="00F35505"/>
    <w:rsid w:val="00F358AF"/>
    <w:rsid w:val="00F35AF8"/>
    <w:rsid w:val="00F35E29"/>
    <w:rsid w:val="00F36479"/>
    <w:rsid w:val="00F36BC3"/>
    <w:rsid w:val="00F36FB1"/>
    <w:rsid w:val="00F3715D"/>
    <w:rsid w:val="00F3729E"/>
    <w:rsid w:val="00F37A57"/>
    <w:rsid w:val="00F40263"/>
    <w:rsid w:val="00F40CAB"/>
    <w:rsid w:val="00F41740"/>
    <w:rsid w:val="00F417D4"/>
    <w:rsid w:val="00F41895"/>
    <w:rsid w:val="00F41AFC"/>
    <w:rsid w:val="00F41CFE"/>
    <w:rsid w:val="00F42D37"/>
    <w:rsid w:val="00F432FB"/>
    <w:rsid w:val="00F44B84"/>
    <w:rsid w:val="00F45144"/>
    <w:rsid w:val="00F45F42"/>
    <w:rsid w:val="00F47FF8"/>
    <w:rsid w:val="00F50A31"/>
    <w:rsid w:val="00F51C04"/>
    <w:rsid w:val="00F53111"/>
    <w:rsid w:val="00F53406"/>
    <w:rsid w:val="00F5395D"/>
    <w:rsid w:val="00F53A99"/>
    <w:rsid w:val="00F55983"/>
    <w:rsid w:val="00F55991"/>
    <w:rsid w:val="00F55E2C"/>
    <w:rsid w:val="00F56579"/>
    <w:rsid w:val="00F56887"/>
    <w:rsid w:val="00F620DD"/>
    <w:rsid w:val="00F623D8"/>
    <w:rsid w:val="00F6277C"/>
    <w:rsid w:val="00F647F9"/>
    <w:rsid w:val="00F64B62"/>
    <w:rsid w:val="00F661C7"/>
    <w:rsid w:val="00F66588"/>
    <w:rsid w:val="00F67FD8"/>
    <w:rsid w:val="00F70838"/>
    <w:rsid w:val="00F71D5C"/>
    <w:rsid w:val="00F71E7A"/>
    <w:rsid w:val="00F720C1"/>
    <w:rsid w:val="00F727AF"/>
    <w:rsid w:val="00F727FE"/>
    <w:rsid w:val="00F72B0B"/>
    <w:rsid w:val="00F72C8D"/>
    <w:rsid w:val="00F73D97"/>
    <w:rsid w:val="00F74D56"/>
    <w:rsid w:val="00F7593E"/>
    <w:rsid w:val="00F76078"/>
    <w:rsid w:val="00F760EB"/>
    <w:rsid w:val="00F76F9D"/>
    <w:rsid w:val="00F800B9"/>
    <w:rsid w:val="00F8076E"/>
    <w:rsid w:val="00F80B77"/>
    <w:rsid w:val="00F80FBC"/>
    <w:rsid w:val="00F8153F"/>
    <w:rsid w:val="00F8163A"/>
    <w:rsid w:val="00F81C9D"/>
    <w:rsid w:val="00F8208F"/>
    <w:rsid w:val="00F8218E"/>
    <w:rsid w:val="00F82F71"/>
    <w:rsid w:val="00F833DC"/>
    <w:rsid w:val="00F83F8F"/>
    <w:rsid w:val="00F840FB"/>
    <w:rsid w:val="00F862D0"/>
    <w:rsid w:val="00F86B60"/>
    <w:rsid w:val="00F87092"/>
    <w:rsid w:val="00F87A56"/>
    <w:rsid w:val="00F87CD7"/>
    <w:rsid w:val="00F87D5F"/>
    <w:rsid w:val="00F90760"/>
    <w:rsid w:val="00F91869"/>
    <w:rsid w:val="00F91CFE"/>
    <w:rsid w:val="00F9374F"/>
    <w:rsid w:val="00F93D8D"/>
    <w:rsid w:val="00F93E96"/>
    <w:rsid w:val="00F9525F"/>
    <w:rsid w:val="00F96269"/>
    <w:rsid w:val="00F968A3"/>
    <w:rsid w:val="00F96A2B"/>
    <w:rsid w:val="00FA0219"/>
    <w:rsid w:val="00FA1431"/>
    <w:rsid w:val="00FA1A82"/>
    <w:rsid w:val="00FA30A2"/>
    <w:rsid w:val="00FA389D"/>
    <w:rsid w:val="00FA3CCE"/>
    <w:rsid w:val="00FA5273"/>
    <w:rsid w:val="00FA5BFD"/>
    <w:rsid w:val="00FA5E36"/>
    <w:rsid w:val="00FA641D"/>
    <w:rsid w:val="00FA6F79"/>
    <w:rsid w:val="00FA71F0"/>
    <w:rsid w:val="00FB02FF"/>
    <w:rsid w:val="00FB0AF5"/>
    <w:rsid w:val="00FB25C5"/>
    <w:rsid w:val="00FB2C5B"/>
    <w:rsid w:val="00FB2FBC"/>
    <w:rsid w:val="00FB4813"/>
    <w:rsid w:val="00FB4AF7"/>
    <w:rsid w:val="00FB5965"/>
    <w:rsid w:val="00FB71AA"/>
    <w:rsid w:val="00FC01F5"/>
    <w:rsid w:val="00FC0E9A"/>
    <w:rsid w:val="00FC2426"/>
    <w:rsid w:val="00FC2723"/>
    <w:rsid w:val="00FC2D25"/>
    <w:rsid w:val="00FC30B1"/>
    <w:rsid w:val="00FC3259"/>
    <w:rsid w:val="00FC3DF3"/>
    <w:rsid w:val="00FC4084"/>
    <w:rsid w:val="00FC4453"/>
    <w:rsid w:val="00FC7687"/>
    <w:rsid w:val="00FC76D9"/>
    <w:rsid w:val="00FC7EC6"/>
    <w:rsid w:val="00FD0814"/>
    <w:rsid w:val="00FD248D"/>
    <w:rsid w:val="00FD285D"/>
    <w:rsid w:val="00FD332A"/>
    <w:rsid w:val="00FD33E5"/>
    <w:rsid w:val="00FD3840"/>
    <w:rsid w:val="00FD49DA"/>
    <w:rsid w:val="00FD4B20"/>
    <w:rsid w:val="00FD5589"/>
    <w:rsid w:val="00FD570A"/>
    <w:rsid w:val="00FD5847"/>
    <w:rsid w:val="00FD5E12"/>
    <w:rsid w:val="00FD656E"/>
    <w:rsid w:val="00FD7143"/>
    <w:rsid w:val="00FD7C4B"/>
    <w:rsid w:val="00FE0AF7"/>
    <w:rsid w:val="00FE0ECD"/>
    <w:rsid w:val="00FE1323"/>
    <w:rsid w:val="00FE1DB5"/>
    <w:rsid w:val="00FE1F5E"/>
    <w:rsid w:val="00FE26AD"/>
    <w:rsid w:val="00FE28BE"/>
    <w:rsid w:val="00FE3142"/>
    <w:rsid w:val="00FE3CB1"/>
    <w:rsid w:val="00FE4342"/>
    <w:rsid w:val="00FE52E2"/>
    <w:rsid w:val="00FE5F99"/>
    <w:rsid w:val="00FE63F3"/>
    <w:rsid w:val="00FE6A9A"/>
    <w:rsid w:val="00FE79C1"/>
    <w:rsid w:val="00FE7B87"/>
    <w:rsid w:val="00FF00E1"/>
    <w:rsid w:val="00FF0587"/>
    <w:rsid w:val="00FF1F49"/>
    <w:rsid w:val="00FF3335"/>
    <w:rsid w:val="00FF3C71"/>
    <w:rsid w:val="00FF3DEC"/>
    <w:rsid w:val="00FF47F6"/>
    <w:rsid w:val="00FF4A83"/>
    <w:rsid w:val="00FF52CF"/>
    <w:rsid w:val="00FF5CC9"/>
    <w:rsid w:val="00FF6D43"/>
    <w:rsid w:val="00FF73E8"/>
    <w:rsid w:val="00FF7CC0"/>
    <w:rsid w:val="016F637D"/>
    <w:rsid w:val="01F076C8"/>
    <w:rsid w:val="022F6E3F"/>
    <w:rsid w:val="05A25F04"/>
    <w:rsid w:val="06B122BF"/>
    <w:rsid w:val="07554B90"/>
    <w:rsid w:val="07BF1379"/>
    <w:rsid w:val="08A31CBC"/>
    <w:rsid w:val="09D05DEC"/>
    <w:rsid w:val="09F63639"/>
    <w:rsid w:val="0C231896"/>
    <w:rsid w:val="0CCC4F6A"/>
    <w:rsid w:val="11820132"/>
    <w:rsid w:val="11951C6C"/>
    <w:rsid w:val="11D108B4"/>
    <w:rsid w:val="11DC15A3"/>
    <w:rsid w:val="120E4283"/>
    <w:rsid w:val="12FE547B"/>
    <w:rsid w:val="13D4113C"/>
    <w:rsid w:val="1437337D"/>
    <w:rsid w:val="14C15224"/>
    <w:rsid w:val="152B31F8"/>
    <w:rsid w:val="162669D4"/>
    <w:rsid w:val="16CE3A0D"/>
    <w:rsid w:val="17744A6A"/>
    <w:rsid w:val="17B369E0"/>
    <w:rsid w:val="180D4573"/>
    <w:rsid w:val="18AB5CBA"/>
    <w:rsid w:val="18DB1319"/>
    <w:rsid w:val="19174EF9"/>
    <w:rsid w:val="1AEA2059"/>
    <w:rsid w:val="1CD1367D"/>
    <w:rsid w:val="1D806D30"/>
    <w:rsid w:val="1DC1536C"/>
    <w:rsid w:val="1E58289A"/>
    <w:rsid w:val="1F191D04"/>
    <w:rsid w:val="226D27CD"/>
    <w:rsid w:val="22775286"/>
    <w:rsid w:val="235F1A86"/>
    <w:rsid w:val="2384659F"/>
    <w:rsid w:val="24263CBA"/>
    <w:rsid w:val="24CF7447"/>
    <w:rsid w:val="25D043BC"/>
    <w:rsid w:val="260F7586"/>
    <w:rsid w:val="261F4388"/>
    <w:rsid w:val="264045E2"/>
    <w:rsid w:val="27CC56CF"/>
    <w:rsid w:val="28435462"/>
    <w:rsid w:val="29302639"/>
    <w:rsid w:val="29541305"/>
    <w:rsid w:val="29B64C00"/>
    <w:rsid w:val="2AD55E55"/>
    <w:rsid w:val="2B752FD7"/>
    <w:rsid w:val="2B821A01"/>
    <w:rsid w:val="2D3C2D65"/>
    <w:rsid w:val="2E652751"/>
    <w:rsid w:val="2EBF09CC"/>
    <w:rsid w:val="2F8702E9"/>
    <w:rsid w:val="2F972F62"/>
    <w:rsid w:val="2FAF3271"/>
    <w:rsid w:val="2FB45DE0"/>
    <w:rsid w:val="2FE52C0C"/>
    <w:rsid w:val="3018437E"/>
    <w:rsid w:val="304D44B0"/>
    <w:rsid w:val="31376F9A"/>
    <w:rsid w:val="329830F5"/>
    <w:rsid w:val="34667B96"/>
    <w:rsid w:val="3500432B"/>
    <w:rsid w:val="36003D4E"/>
    <w:rsid w:val="365A31BB"/>
    <w:rsid w:val="367F3BE8"/>
    <w:rsid w:val="37B74EB3"/>
    <w:rsid w:val="3A20171F"/>
    <w:rsid w:val="3B49488C"/>
    <w:rsid w:val="3C6C4FC1"/>
    <w:rsid w:val="3DF645B9"/>
    <w:rsid w:val="3EC15781"/>
    <w:rsid w:val="3EF609D0"/>
    <w:rsid w:val="407F1B73"/>
    <w:rsid w:val="417E1065"/>
    <w:rsid w:val="4264449E"/>
    <w:rsid w:val="436573A1"/>
    <w:rsid w:val="45057032"/>
    <w:rsid w:val="45B545EF"/>
    <w:rsid w:val="47251314"/>
    <w:rsid w:val="48F153A5"/>
    <w:rsid w:val="4947221A"/>
    <w:rsid w:val="4A831809"/>
    <w:rsid w:val="4AB02478"/>
    <w:rsid w:val="4AE93077"/>
    <w:rsid w:val="4AFA5C20"/>
    <w:rsid w:val="4B782949"/>
    <w:rsid w:val="4BDD0A4C"/>
    <w:rsid w:val="4D2E0515"/>
    <w:rsid w:val="4DD565A0"/>
    <w:rsid w:val="4F3A239D"/>
    <w:rsid w:val="51172746"/>
    <w:rsid w:val="517F3852"/>
    <w:rsid w:val="5222222F"/>
    <w:rsid w:val="52960257"/>
    <w:rsid w:val="52E0574D"/>
    <w:rsid w:val="53211FCF"/>
    <w:rsid w:val="53E14797"/>
    <w:rsid w:val="559910C2"/>
    <w:rsid w:val="55BD7D96"/>
    <w:rsid w:val="55CF0BC5"/>
    <w:rsid w:val="55D6268C"/>
    <w:rsid w:val="56B009DD"/>
    <w:rsid w:val="58535A60"/>
    <w:rsid w:val="58741C5A"/>
    <w:rsid w:val="58DC26CE"/>
    <w:rsid w:val="594A6F4C"/>
    <w:rsid w:val="599853C3"/>
    <w:rsid w:val="59ED08E0"/>
    <w:rsid w:val="5B21158A"/>
    <w:rsid w:val="5B532983"/>
    <w:rsid w:val="5B897A39"/>
    <w:rsid w:val="5CCC5500"/>
    <w:rsid w:val="5D6F3C5B"/>
    <w:rsid w:val="5EDC6BF2"/>
    <w:rsid w:val="5F18231B"/>
    <w:rsid w:val="60714CAF"/>
    <w:rsid w:val="60723523"/>
    <w:rsid w:val="6185567A"/>
    <w:rsid w:val="61A85346"/>
    <w:rsid w:val="61C6632C"/>
    <w:rsid w:val="62DC368C"/>
    <w:rsid w:val="6310415D"/>
    <w:rsid w:val="658D2E98"/>
    <w:rsid w:val="666E2F65"/>
    <w:rsid w:val="66A963B5"/>
    <w:rsid w:val="66BB2BE0"/>
    <w:rsid w:val="673958B7"/>
    <w:rsid w:val="68DA2FED"/>
    <w:rsid w:val="6A2A571F"/>
    <w:rsid w:val="6A64728A"/>
    <w:rsid w:val="6BE425C0"/>
    <w:rsid w:val="6BF70848"/>
    <w:rsid w:val="6C5C6DD8"/>
    <w:rsid w:val="6D4D7092"/>
    <w:rsid w:val="6EFF046E"/>
    <w:rsid w:val="7075522F"/>
    <w:rsid w:val="71876026"/>
    <w:rsid w:val="71C85B07"/>
    <w:rsid w:val="7231215E"/>
    <w:rsid w:val="72D4487B"/>
    <w:rsid w:val="76241F35"/>
    <w:rsid w:val="76F24A51"/>
    <w:rsid w:val="77006B5D"/>
    <w:rsid w:val="777B53DA"/>
    <w:rsid w:val="77D4039C"/>
    <w:rsid w:val="77DD3AED"/>
    <w:rsid w:val="77E40508"/>
    <w:rsid w:val="780821CF"/>
    <w:rsid w:val="78263735"/>
    <w:rsid w:val="78397F16"/>
    <w:rsid w:val="78834766"/>
    <w:rsid w:val="79BE7B03"/>
    <w:rsid w:val="7AC775E1"/>
    <w:rsid w:val="7B055CE0"/>
    <w:rsid w:val="7B10569F"/>
    <w:rsid w:val="7BEB3EB3"/>
    <w:rsid w:val="7C8D5540"/>
    <w:rsid w:val="7E5107C6"/>
    <w:rsid w:val="7E88183C"/>
    <w:rsid w:val="7EC568B4"/>
    <w:rsid w:val="7EF13C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1.25pt" color="#739CC3"/>
    </o:shapedefaults>
    <o:shapelayout v:ext="edit">
      <o:idmap v:ext="edit" data="1"/>
      <o:rules v:ext="edit">
        <o:r id="V:Rule1" type="connector" idref="#Straight Connector 2"/>
        <o:r id="V:Rule2" type="connector" idref="#Straight Connector 4"/>
        <o:r id="V:Rule3" type="connector" idref="#Straight Connector 5"/>
        <o:r id="V:Rule4" type="connector" idref="#Straight Connector 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9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link w:val="24"/>
    <w:qFormat/>
    <w:uiPriority w:val="9"/>
    <w:pPr>
      <w:widowControl/>
      <w:spacing w:before="100" w:beforeAutospacing="1" w:after="100" w:afterAutospacing="1"/>
      <w:jc w:val="left"/>
      <w:outlineLvl w:val="1"/>
    </w:pPr>
    <w:rPr>
      <w:rFonts w:ascii="宋体" w:hAnsi="宋体" w:cs="宋体"/>
      <w:kern w:val="0"/>
      <w:sz w:val="36"/>
      <w:szCs w:val="36"/>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5">
    <w:name w:val="heading 4"/>
    <w:basedOn w:val="1"/>
    <w:next w:val="1"/>
    <w:link w:val="25"/>
    <w:qFormat/>
    <w:uiPriority w:val="9"/>
    <w:pPr>
      <w:widowControl/>
      <w:spacing w:before="100" w:beforeAutospacing="1" w:after="100" w:afterAutospacing="1"/>
      <w:jc w:val="left"/>
      <w:outlineLvl w:val="3"/>
    </w:pPr>
    <w:rPr>
      <w:rFonts w:ascii="宋体" w:hAnsi="宋体" w:cs="宋体"/>
      <w:kern w:val="0"/>
      <w:sz w:val="24"/>
      <w:szCs w:val="24"/>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5"/>
    <w:semiHidden/>
    <w:unhideWhenUsed/>
    <w:qFormat/>
    <w:uiPriority w:val="0"/>
    <w:pPr>
      <w:ind w:left="100" w:leftChars="2500"/>
    </w:pPr>
  </w:style>
  <w:style w:type="paragraph" w:styleId="7">
    <w:name w:val="Balloon Text"/>
    <w:basedOn w:val="1"/>
    <w:link w:val="17"/>
    <w:unhideWhenUsed/>
    <w:qFormat/>
    <w:uiPriority w:val="99"/>
    <w:rPr>
      <w:sz w:val="18"/>
      <w:szCs w:val="18"/>
    </w:rPr>
  </w:style>
  <w:style w:type="paragraph" w:styleId="8">
    <w:name w:val="footer"/>
    <w:basedOn w:val="1"/>
    <w:link w:val="19"/>
    <w:unhideWhenUsed/>
    <w:qFormat/>
    <w:uiPriority w:val="99"/>
    <w:pPr>
      <w:tabs>
        <w:tab w:val="center" w:pos="4153"/>
        <w:tab w:val="right" w:pos="8306"/>
      </w:tabs>
      <w:snapToGrid w:val="0"/>
      <w:jc w:val="left"/>
    </w:pPr>
    <w:rPr>
      <w:sz w:val="18"/>
      <w:szCs w:val="18"/>
    </w:rPr>
  </w:style>
  <w:style w:type="paragraph" w:styleId="9">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12">
    <w:name w:val="Table Grid"/>
    <w:basedOn w:val="11"/>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4">
    <w:name w:val="Strong"/>
    <w:basedOn w:val="13"/>
    <w:qFormat/>
    <w:uiPriority w:val="22"/>
    <w:rPr>
      <w:b/>
      <w:bCs/>
    </w:rPr>
  </w:style>
  <w:style w:type="character" w:styleId="15">
    <w:name w:val="Emphasis"/>
    <w:basedOn w:val="13"/>
    <w:qFormat/>
    <w:uiPriority w:val="20"/>
    <w:rPr>
      <w:i/>
      <w:iCs/>
    </w:rPr>
  </w:style>
  <w:style w:type="character" w:styleId="16">
    <w:name w:val="Hyperlink"/>
    <w:basedOn w:val="13"/>
    <w:unhideWhenUsed/>
    <w:qFormat/>
    <w:uiPriority w:val="99"/>
    <w:rPr>
      <w:color w:val="0000FF"/>
      <w:u w:val="single"/>
    </w:rPr>
  </w:style>
  <w:style w:type="character" w:customStyle="1" w:styleId="17">
    <w:name w:val="批注框文本 Char"/>
    <w:basedOn w:val="13"/>
    <w:link w:val="7"/>
    <w:semiHidden/>
    <w:qFormat/>
    <w:uiPriority w:val="99"/>
    <w:rPr>
      <w:sz w:val="18"/>
      <w:szCs w:val="18"/>
    </w:rPr>
  </w:style>
  <w:style w:type="character" w:customStyle="1" w:styleId="18">
    <w:name w:val="页眉 Char"/>
    <w:basedOn w:val="13"/>
    <w:link w:val="9"/>
    <w:semiHidden/>
    <w:qFormat/>
    <w:uiPriority w:val="99"/>
    <w:rPr>
      <w:sz w:val="18"/>
      <w:szCs w:val="18"/>
    </w:rPr>
  </w:style>
  <w:style w:type="character" w:customStyle="1" w:styleId="19">
    <w:name w:val="页脚 Char"/>
    <w:basedOn w:val="13"/>
    <w:link w:val="8"/>
    <w:qFormat/>
    <w:uiPriority w:val="99"/>
    <w:rPr>
      <w:sz w:val="18"/>
      <w:szCs w:val="18"/>
    </w:rPr>
  </w:style>
  <w:style w:type="paragraph" w:styleId="20">
    <w:name w:val="No Spacing"/>
    <w:link w:val="21"/>
    <w:qFormat/>
    <w:uiPriority w:val="1"/>
    <w:rPr>
      <w:rFonts w:asciiTheme="minorHAnsi" w:hAnsiTheme="minorHAnsi" w:eastAsiaTheme="minorEastAsia" w:cstheme="minorBidi"/>
      <w:sz w:val="22"/>
      <w:szCs w:val="22"/>
      <w:lang w:val="en-US" w:eastAsia="zh-CN" w:bidi="ar-SA"/>
    </w:rPr>
  </w:style>
  <w:style w:type="character" w:customStyle="1" w:styleId="21">
    <w:name w:val="无间隔 Char"/>
    <w:basedOn w:val="13"/>
    <w:link w:val="20"/>
    <w:qFormat/>
    <w:uiPriority w:val="1"/>
    <w:rPr>
      <w:rFonts w:asciiTheme="minorHAnsi" w:hAnsiTheme="minorHAnsi" w:eastAsiaTheme="minorEastAsia" w:cstheme="minorBidi"/>
      <w:sz w:val="22"/>
      <w:szCs w:val="22"/>
    </w:rPr>
  </w:style>
  <w:style w:type="paragraph" w:styleId="22">
    <w:name w:val="List Paragraph"/>
    <w:basedOn w:val="1"/>
    <w:unhideWhenUsed/>
    <w:qFormat/>
    <w:uiPriority w:val="34"/>
    <w:pPr>
      <w:ind w:firstLine="420" w:firstLineChars="200"/>
    </w:pPr>
  </w:style>
  <w:style w:type="paragraph" w:customStyle="1" w:styleId="23">
    <w:name w:val="cont-summary"/>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24">
    <w:name w:val="标题 2 Char"/>
    <w:basedOn w:val="13"/>
    <w:link w:val="3"/>
    <w:qFormat/>
    <w:uiPriority w:val="9"/>
    <w:rPr>
      <w:rFonts w:ascii="宋体" w:hAnsi="宋体" w:cs="宋体"/>
      <w:sz w:val="36"/>
      <w:szCs w:val="36"/>
    </w:rPr>
  </w:style>
  <w:style w:type="character" w:customStyle="1" w:styleId="25">
    <w:name w:val="标题 4 Char"/>
    <w:basedOn w:val="13"/>
    <w:link w:val="5"/>
    <w:qFormat/>
    <w:uiPriority w:val="9"/>
    <w:rPr>
      <w:rFonts w:ascii="宋体" w:hAnsi="宋体" w:cs="宋体"/>
      <w:sz w:val="24"/>
      <w:szCs w:val="24"/>
    </w:rPr>
  </w:style>
  <w:style w:type="paragraph" w:customStyle="1" w:styleId="26">
    <w:name w:val="summary"/>
    <w:basedOn w:val="1"/>
    <w:qFormat/>
    <w:uiPriority w:val="0"/>
    <w:pPr>
      <w:widowControl/>
      <w:spacing w:before="100" w:beforeAutospacing="1" w:after="480" w:line="375" w:lineRule="atLeast"/>
      <w:jc w:val="left"/>
    </w:pPr>
    <w:rPr>
      <w:rFonts w:ascii="宋体" w:hAnsi="宋体" w:cs="宋体"/>
      <w:kern w:val="0"/>
      <w:sz w:val="24"/>
      <w:szCs w:val="24"/>
    </w:rPr>
  </w:style>
  <w:style w:type="character" w:customStyle="1" w:styleId="27">
    <w:name w:val="articlel"/>
    <w:basedOn w:val="13"/>
    <w:qFormat/>
    <w:uiPriority w:val="0"/>
  </w:style>
  <w:style w:type="character" w:customStyle="1" w:styleId="28">
    <w:name w:val="articler"/>
    <w:basedOn w:val="13"/>
    <w:qFormat/>
    <w:uiPriority w:val="0"/>
  </w:style>
  <w:style w:type="paragraph" w:customStyle="1" w:styleId="29">
    <w:name w:val="profile_meta"/>
    <w:basedOn w:val="1"/>
    <w:qFormat/>
    <w:uiPriority w:val="0"/>
    <w:pPr>
      <w:widowControl/>
      <w:spacing w:before="75" w:after="100" w:afterAutospacing="1"/>
      <w:jc w:val="left"/>
    </w:pPr>
    <w:rPr>
      <w:rFonts w:ascii="宋体" w:hAnsi="宋体" w:cs="宋体"/>
      <w:kern w:val="0"/>
      <w:sz w:val="24"/>
      <w:szCs w:val="24"/>
    </w:rPr>
  </w:style>
  <w:style w:type="character" w:customStyle="1" w:styleId="30">
    <w:name w:val="rich_media_meta1"/>
    <w:basedOn w:val="13"/>
    <w:qFormat/>
    <w:uiPriority w:val="0"/>
    <w:rPr>
      <w:sz w:val="24"/>
      <w:szCs w:val="24"/>
    </w:rPr>
  </w:style>
  <w:style w:type="character" w:customStyle="1" w:styleId="31">
    <w:name w:val="profile_meta_value1"/>
    <w:basedOn w:val="13"/>
    <w:qFormat/>
    <w:uiPriority w:val="0"/>
    <w:rPr>
      <w:color w:val="ADADAD"/>
    </w:rPr>
  </w:style>
  <w:style w:type="character" w:customStyle="1" w:styleId="32">
    <w:name w:val="apple-converted-space"/>
    <w:basedOn w:val="13"/>
    <w:qFormat/>
    <w:uiPriority w:val="0"/>
  </w:style>
  <w:style w:type="character" w:customStyle="1" w:styleId="33">
    <w:name w:val="rich_media_meta"/>
    <w:basedOn w:val="13"/>
    <w:qFormat/>
    <w:uiPriority w:val="0"/>
  </w:style>
  <w:style w:type="character" w:customStyle="1" w:styleId="34">
    <w:name w:val="blue"/>
    <w:basedOn w:val="13"/>
    <w:qFormat/>
    <w:uiPriority w:val="0"/>
  </w:style>
  <w:style w:type="character" w:customStyle="1" w:styleId="35">
    <w:name w:val="日期 Char"/>
    <w:basedOn w:val="13"/>
    <w:link w:val="6"/>
    <w:semiHidden/>
    <w:qFormat/>
    <w:uiPriority w:val="0"/>
    <w:rPr>
      <w:rFonts w:ascii="Calibri" w:hAnsi="Calibri"/>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NUL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33"/>
    <customShpInfo spid="_x0000_s1026"/>
    <customShpInfo spid="_x0000_s1032"/>
    <customShpInfo spid="_x0000_s1027"/>
    <customShpInfo spid="_x0000_s1031"/>
    <customShpInfo spid="_x0000_s1028"/>
    <customShpInfo spid="_x0000_s1029"/>
    <customShpInfo spid="_x0000_s1030"/>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2A45B3-66E2-4338-8F19-4FCD87919FD5}">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61</Pages>
  <Words>10879</Words>
  <Characters>11620</Characters>
  <Lines>1</Lines>
  <Paragraphs>1</Paragraphs>
  <TotalTime>14</TotalTime>
  <ScaleCrop>false</ScaleCrop>
  <LinksUpToDate>false</LinksUpToDate>
  <CharactersWithSpaces>11809</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2018-04-26T07:53:00Z</dcterms:created>
  <dc:creator>FtpDown</dc:creator>
  <cp:lastModifiedBy>王麒懿</cp:lastModifiedBy>
  <cp:lastPrinted>2018-09-29T05:55:00Z</cp:lastPrinted>
  <dcterms:modified xsi:type="dcterms:W3CDTF">2022-07-27T06:58:22Z</dcterms:modified>
  <dc:subject>2015年7月29日</dc:subject>
  <dc:title>2015年第一期</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7EB6DB202D15400ABD3B585EBF018C2B</vt:lpwstr>
  </property>
</Properties>
</file>