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docPartObj>
          <w:docPartGallery w:val="autotext"/>
        </w:docPartObj>
      </w:sdtPr>
      <w:sdtContent>
        <w:p>
          <w:r>
            <w:drawing>
              <wp:anchor distT="0" distB="0" distL="114300" distR="114300" simplePos="0" relativeHeight="251659264"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9"/>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pStyle w:val="18"/>
                  <w:rPr>
                    <w:color w:val="4F81BD" w:themeColor="accent1"/>
                    <w14:textFill>
                      <w14:solidFill>
                        <w14:schemeClr w14:val="accent1"/>
                      </w14:solidFill>
                    </w14:textFill>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（2022年第8期） 2022年8月29日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mc:AlternateContent>
          <mc:Choice Requires="wps">
            <w:drawing>
              <wp:anchor distT="0" distB="0" distL="114300" distR="114300" simplePos="0" relativeHeight="251660288" behindDoc="0" locked="0" layoutInCell="1" allowOverlap="1">
                <wp:simplePos x="0" y="0"/>
                <wp:positionH relativeFrom="column">
                  <wp:posOffset>-857250</wp:posOffset>
                </wp:positionH>
                <wp:positionV relativeFrom="paragraph">
                  <wp:posOffset>9525</wp:posOffset>
                </wp:positionV>
                <wp:extent cx="6848475" cy="635"/>
                <wp:effectExtent l="0" t="19050" r="9525" b="37465"/>
                <wp:wrapNone/>
                <wp:docPr id="52" name="Straight Connector 2"/>
                <wp:cNvGraphicFramePr/>
                <a:graphic xmlns:a="http://schemas.openxmlformats.org/drawingml/2006/main">
                  <a:graphicData uri="http://schemas.microsoft.com/office/word/2010/wordprocessingShape">
                    <wps:wsp>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2" o:spid="_x0000_s1026" o:spt="32" type="#_x0000_t32" style="position:absolute;left:0pt;margin-left:-67.5pt;margin-top:0.75pt;height:0.05pt;width:539.25pt;z-index:251660288;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GPpbWAAAA&#10;CAEAAA8AAAAAAAAAAQAgAAAAIgAAAGRycy9kb3ducmV2LnhtbFBLAQIUABQAAAAIAIdO4kB2rrkF&#10;5gEAAO0DAAAOAAAAAAAAAAEAIAAAACUBAABkcnMvZTJvRG9jLnhtbFBLBQYAAAAABgAGAFkBAAB9&#10;BQAAAAA=&#10;">
                <v:fill on="f" focussize="0,0"/>
                <v:stroke weight="3pt" color="#548DD4"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1295400</wp:posOffset>
                </wp:positionH>
                <wp:positionV relativeFrom="paragraph">
                  <wp:posOffset>10160</wp:posOffset>
                </wp:positionV>
                <wp:extent cx="635" cy="8800465"/>
                <wp:effectExtent l="19050" t="0" r="37465" b="635"/>
                <wp:wrapNone/>
                <wp:docPr id="51" name="Straight Connector 3"/>
                <wp:cNvGraphicFramePr/>
                <a:graphic xmlns:a="http://schemas.openxmlformats.org/drawingml/2006/main">
                  <a:graphicData uri="http://schemas.microsoft.com/office/word/2010/wordprocessingShape">
                    <wps:wsp>
                      <wps:cNvCnPr/>
                      <wps:spPr>
                        <a:xfrm>
                          <a:off x="0" y="0"/>
                          <a:ext cx="635" cy="8800465"/>
                        </a:xfrm>
                        <a:prstGeom prst="straightConnector1">
                          <a:avLst/>
                        </a:prstGeom>
                        <a:ln w="31750" cap="flat" cmpd="sng">
                          <a:solidFill>
                            <a:srgbClr val="548DD4"/>
                          </a:solidFill>
                          <a:prstDash val="solid"/>
                          <a:headEnd type="none" w="med" len="med"/>
                          <a:tailEnd type="none" w="med" len="med"/>
                        </a:ln>
                      </wps:spPr>
                      <wps:bodyPr/>
                    </wps:wsp>
                  </a:graphicData>
                </a:graphic>
              </wp:anchor>
            </w:drawing>
          </mc:Choice>
          <mc:Fallback>
            <w:pict>
              <v:shape id="Straight Connector 3" o:spid="_x0000_s1026" o:spt="32" type="#_x0000_t32" style="position:absolute;left:0pt;margin-left:102pt;margin-top:0.8pt;height:692.95pt;width:0.05pt;z-index:251661312;mso-width-relative:page;mso-height-relative:page;" filled="f" stroked="t" coordsize="21600,21600" o:gfxdata="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pmvDZ&#10;AAAACgEAAA8AAAAAAAAAAQAgAAAAIgAAAGRycy9kb3ducmV2LnhtbFBLAQIUABQAAAAIAIdO4kCn&#10;5Q7J5gEAAO0DAAAOAAAAAAAAAAEAIAAAACgBAABkcnMvZTJvRG9jLnhtbFBLBQYAAAAABgAGAFkB&#10;AACABQAAAAA=&#10;">
                <v:fill on="f" focussize="0,0"/>
                <v:stroke weight="2.5pt" color="#548DD4" joinstyle="round"/>
                <v:imagedata o:title=""/>
                <o:lock v:ext="edit" aspectratio="f"/>
              </v:shape>
            </w:pict>
          </mc:Fallback>
        </mc:AlternateContent>
      </w:r>
      <w:r>
        <w:rPr>
          <w:rFonts w:hint="eastAsia"/>
        </w:rPr>
        <w:t xml:space="preserve"> </w:t>
      </w:r>
    </w:p>
    <w:p>
      <w:pPr>
        <w:tabs>
          <w:tab w:val="center" w:pos="4156"/>
        </w:tabs>
      </w:pPr>
      <w:r>
        <mc:AlternateContent>
          <mc:Choice Requires="wps">
            <w:drawing>
              <wp:anchor distT="0" distB="0" distL="114300" distR="114300" simplePos="0" relativeHeight="251667456" behindDoc="0" locked="0" layoutInCell="1" allowOverlap="1">
                <wp:simplePos x="0" y="0"/>
                <wp:positionH relativeFrom="column">
                  <wp:posOffset>1554480</wp:posOffset>
                </wp:positionH>
                <wp:positionV relativeFrom="paragraph">
                  <wp:posOffset>41910</wp:posOffset>
                </wp:positionV>
                <wp:extent cx="4210050" cy="8143875"/>
                <wp:effectExtent l="0" t="0" r="0" b="0"/>
                <wp:wrapNone/>
                <wp:docPr id="3"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wps:spPr>
                      <wps:txbx>
                        <w:txbxContent>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1.刚刚！国家医保局发文，「最难」集采将开始</w:t>
                            </w:r>
                          </w:p>
                          <w:p>
                            <w:pPr>
                              <w:widowControl/>
                              <w:shd w:val="clear" w:color="auto" w:fill="FFFFFF"/>
                              <w:spacing w:after="190" w:line="360"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2.重磅！59个上市申请获批！共计129个受理号获批！</w:t>
                            </w:r>
                          </w:p>
                          <w:p>
                            <w:pPr>
                              <w:widowControl/>
                              <w:shd w:val="clear" w:color="auto" w:fill="FFFFFF"/>
                              <w:spacing w:after="190" w:line="360"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3.一文读懂｜“十四五”期间医疗器材市场政策环境分析及市场竞争规模前景评估预测</w:t>
                            </w:r>
                          </w:p>
                          <w:p>
                            <w:pPr>
                              <w:widowControl/>
                              <w:shd w:val="clear" w:color="auto" w:fill="FFFFFF"/>
                              <w:spacing w:after="210" w:line="360"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4.上市连锁发起冲锋，剑指专业药房</w:t>
                            </w:r>
                          </w:p>
                          <w:p>
                            <w:pPr>
                              <w:widowControl/>
                              <w:shd w:val="clear" w:color="auto" w:fill="FFFFFF"/>
                              <w:spacing w:after="190" w:line="360"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b/>
                                <w:sz w:val="36"/>
                                <w:szCs w:val="36"/>
                              </w:rPr>
                              <w:t>5.</w:t>
                            </w:r>
                            <w:r>
                              <w:rPr>
                                <w:rFonts w:hint="eastAsia" w:asciiTheme="minorEastAsia" w:hAnsiTheme="minorEastAsia" w:eastAsiaTheme="minorEastAsia"/>
                                <w:b/>
                                <w:sz w:val="36"/>
                                <w:szCs w:val="36"/>
                              </w:rPr>
                              <w:t xml:space="preserve"> 25亿！益丰大动作：新增3900家门店、建设物流中心…</w:t>
                            </w:r>
                          </w:p>
                          <w:p>
                            <w:pPr>
                              <w:widowControl/>
                              <w:shd w:val="clear" w:color="auto" w:fill="FFFFFF"/>
                              <w:spacing w:after="210" w:line="36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bCs/>
                                <w:sz w:val="36"/>
                                <w:szCs w:val="36"/>
                              </w:rPr>
                            </w:pPr>
                            <w:r>
                              <w:rPr>
                                <w:rFonts w:hint="eastAsia" w:asciiTheme="minorEastAsia" w:hAnsiTheme="minorEastAsia" w:eastAsiaTheme="minorEastAsia"/>
                                <w:b/>
                                <w:sz w:val="36"/>
                                <w:szCs w:val="36"/>
                              </w:rPr>
                              <w:t>6.</w:t>
                            </w:r>
                            <w:r>
                              <w:rPr>
                                <w:rFonts w:hint="eastAsia"/>
                              </w:rPr>
                              <w:t xml:space="preserve"> </w:t>
                            </w:r>
                            <w:r>
                              <w:rPr>
                                <w:rFonts w:hint="eastAsia" w:asciiTheme="minorEastAsia" w:hAnsiTheme="minorEastAsia" w:eastAsiaTheme="minorEastAsia"/>
                                <w:b/>
                                <w:sz w:val="36"/>
                                <w:szCs w:val="36"/>
                              </w:rPr>
                              <w:t>中国零售药店市场数据分析（1-6月）</w:t>
                            </w:r>
                          </w:p>
                        </w:txbxContent>
                      </wps:txbx>
                      <wps:bodyPr upright="1"/>
                    </wps:wsp>
                  </a:graphicData>
                </a:graphic>
              </wp:anchor>
            </w:drawing>
          </mc:Choice>
          <mc:Fallback>
            <w:pict>
              <v:shape id="文本框 14" o:spid="_x0000_s1026" o:spt="202" type="#_x0000_t202" style="position:absolute;left:0pt;margin-left:122.4pt;margin-top:3.3pt;height:641.25pt;width:331.5pt;z-index:251667456;mso-width-relative:page;mso-height-relative:page;" filled="f" stroked="f" coordsize="21600,21600" o:gfxdata="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mE5mjbAAAACgEAAA8AAAAAAAAAAQAgAAAAIgAAAGRycy9kb3ducmV2LnhtbFBLAQIUABQA&#10;AAAIAIdO4kBlrzJKtAEAAFoDAAAOAAAAAAAAAAEAIAAAACoBAABkcnMvZTJvRG9jLnhtbFBLBQYA&#10;AAAABgAGAFkBAABQBQAAAAA=&#10;">
                <v:fill on="f" focussize="0,0"/>
                <v:stroke on="f" weight="1.25pt"/>
                <v:imagedata o:title=""/>
                <o:lock v:ext="edit" aspectratio="f"/>
                <v:textbox>
                  <w:txbxContent>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1.刚刚！国家医保局发文，「最难」集采将开始</w:t>
                      </w:r>
                    </w:p>
                    <w:p>
                      <w:pPr>
                        <w:widowControl/>
                        <w:shd w:val="clear" w:color="auto" w:fill="FFFFFF"/>
                        <w:spacing w:after="190" w:line="360"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2.重磅！59个上市申请获批！共计129个受理号获批！</w:t>
                      </w:r>
                    </w:p>
                    <w:p>
                      <w:pPr>
                        <w:widowControl/>
                        <w:shd w:val="clear" w:color="auto" w:fill="FFFFFF"/>
                        <w:spacing w:after="190" w:line="360"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3.一文读懂｜“十四五”期间医疗器材市场政策环境分析及市场竞争规模前景评估预测</w:t>
                      </w:r>
                    </w:p>
                    <w:p>
                      <w:pPr>
                        <w:widowControl/>
                        <w:shd w:val="clear" w:color="auto" w:fill="FFFFFF"/>
                        <w:spacing w:after="210" w:line="360"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4.上市连锁发起冲锋，剑指专业药房</w:t>
                      </w:r>
                    </w:p>
                    <w:p>
                      <w:pPr>
                        <w:widowControl/>
                        <w:shd w:val="clear" w:color="auto" w:fill="FFFFFF"/>
                        <w:spacing w:after="190" w:line="360"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b/>
                          <w:sz w:val="36"/>
                          <w:szCs w:val="36"/>
                        </w:rPr>
                        <w:t>5.</w:t>
                      </w:r>
                      <w:r>
                        <w:rPr>
                          <w:rFonts w:hint="eastAsia" w:asciiTheme="minorEastAsia" w:hAnsiTheme="minorEastAsia" w:eastAsiaTheme="minorEastAsia"/>
                          <w:b/>
                          <w:sz w:val="36"/>
                          <w:szCs w:val="36"/>
                        </w:rPr>
                        <w:t xml:space="preserve"> 25亿！益丰大动作：新增3900家门店、建设物流中心…</w:t>
                      </w:r>
                    </w:p>
                    <w:p>
                      <w:pPr>
                        <w:widowControl/>
                        <w:shd w:val="clear" w:color="auto" w:fill="FFFFFF"/>
                        <w:spacing w:after="210" w:line="36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bCs/>
                          <w:sz w:val="36"/>
                          <w:szCs w:val="36"/>
                        </w:rPr>
                      </w:pPr>
                      <w:r>
                        <w:rPr>
                          <w:rFonts w:hint="eastAsia" w:asciiTheme="minorEastAsia" w:hAnsiTheme="minorEastAsia" w:eastAsiaTheme="minorEastAsia"/>
                          <w:b/>
                          <w:sz w:val="36"/>
                          <w:szCs w:val="36"/>
                        </w:rPr>
                        <w:t>6.</w:t>
                      </w:r>
                      <w:r>
                        <w:rPr>
                          <w:rFonts w:hint="eastAsia"/>
                        </w:rPr>
                        <w:t xml:space="preserve"> </w:t>
                      </w:r>
                      <w:r>
                        <w:rPr>
                          <w:rFonts w:hint="eastAsia" w:asciiTheme="minorEastAsia" w:hAnsiTheme="minorEastAsia" w:eastAsiaTheme="minorEastAsia"/>
                          <w:b/>
                          <w:sz w:val="36"/>
                          <w:szCs w:val="36"/>
                        </w:rPr>
                        <w:t>中国零售药店市场数据分析（1-6月）</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1554480</wp:posOffset>
                </wp:positionH>
                <wp:positionV relativeFrom="paragraph">
                  <wp:posOffset>2540</wp:posOffset>
                </wp:positionV>
                <wp:extent cx="4210050" cy="8143875"/>
                <wp:effectExtent l="0" t="0" r="0" b="0"/>
                <wp:wrapNone/>
                <wp:docPr id="50"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wps:spPr>
                      <wps:txbx>
                        <w:txbxContent>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1重磅！国务院：允许网络销售除特殊管理药品以外的处方药</w:t>
                            </w:r>
                          </w:p>
                          <w:p>
                            <w:pPr>
                              <w:widowControl/>
                              <w:shd w:val="clear" w:color="auto" w:fill="FFFFFF"/>
                              <w:spacing w:after="210" w:line="200" w:lineRule="exact"/>
                              <w:jc w:val="left"/>
                              <w:outlineLvl w:val="1"/>
                              <w:rPr>
                                <w:rFonts w:asciiTheme="minorEastAsia" w:hAnsiTheme="minorEastAsia" w:eastAsiaTheme="minorEastAsia"/>
                                <w:b/>
                                <w:szCs w:val="21"/>
                              </w:rPr>
                            </w:pPr>
                          </w:p>
                          <w:p>
                            <w:pPr>
                              <w:widowControl/>
                              <w:shd w:val="clear" w:color="auto" w:fill="FFFFFF"/>
                              <w:spacing w:after="190" w:line="500" w:lineRule="exact"/>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2.进度更新！贵州、黑龙江第四批集采落地时间明确</w:t>
                            </w:r>
                          </w:p>
                          <w:p>
                            <w:pPr>
                              <w:widowControl/>
                              <w:shd w:val="clear" w:color="auto" w:fill="FFFFFF"/>
                              <w:spacing w:after="190" w:line="200" w:lineRule="exact"/>
                              <w:jc w:val="left"/>
                              <w:outlineLvl w:val="1"/>
                              <w:rPr>
                                <w:rFonts w:asciiTheme="minorEastAsia" w:hAnsiTheme="minorEastAsia" w:eastAsiaTheme="minorEastAsia"/>
                                <w:b/>
                                <w:szCs w:val="21"/>
                              </w:rPr>
                            </w:pPr>
                          </w:p>
                          <w:p>
                            <w:pPr>
                              <w:widowControl/>
                              <w:shd w:val="clear" w:color="auto" w:fill="FFFFFF"/>
                              <w:spacing w:after="190" w:line="500" w:lineRule="exact"/>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3.【重磅】受疫情影响，2020我国三大终端六大市场药品销售额16437亿，同比负增长8.5%</w:t>
                            </w:r>
                          </w:p>
                          <w:p>
                            <w:pPr>
                              <w:widowControl/>
                              <w:shd w:val="clear" w:color="auto" w:fill="FFFFFF"/>
                              <w:spacing w:after="210" w:line="200" w:lineRule="exact"/>
                              <w:jc w:val="left"/>
                              <w:outlineLvl w:val="1"/>
                              <w:rPr>
                                <w:rFonts w:asciiTheme="minorEastAsia" w:hAnsiTheme="minorEastAsia" w:eastAsiaTheme="minorEastAsia"/>
                                <w:b/>
                                <w:szCs w:val="21"/>
                              </w:rPr>
                            </w:pPr>
                          </w:p>
                          <w:p>
                            <w:pPr>
                              <w:widowControl/>
                              <w:shd w:val="clear" w:color="auto" w:fill="FFFFFF"/>
                              <w:spacing w:after="190" w:line="500" w:lineRule="exact"/>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4.健之佳上市以来首推股权激励，三年千店扩张提速</w:t>
                            </w:r>
                          </w:p>
                          <w:p>
                            <w:pPr>
                              <w:widowControl/>
                              <w:shd w:val="clear" w:color="auto" w:fill="FFFFFF"/>
                              <w:spacing w:after="190" w:line="200" w:lineRule="exact"/>
                              <w:jc w:val="left"/>
                              <w:outlineLvl w:val="1"/>
                              <w:rPr>
                                <w:rFonts w:asciiTheme="minorEastAsia" w:hAnsiTheme="minorEastAsia" w:eastAsiaTheme="minorEastAsia"/>
                                <w:b/>
                                <w:szCs w:val="21"/>
                              </w:rPr>
                            </w:pPr>
                          </w:p>
                          <w:p>
                            <w:pPr>
                              <w:widowControl/>
                              <w:shd w:val="clear" w:color="auto" w:fill="FFFFFF"/>
                              <w:spacing w:after="190" w:line="500" w:lineRule="exact"/>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bCs/>
                                <w:sz w:val="36"/>
                                <w:szCs w:val="36"/>
                              </w:rPr>
                            </w:pPr>
                            <w:r>
                              <w:rPr>
                                <w:rFonts w:hint="eastAsia"/>
                                <w:b/>
                                <w:sz w:val="36"/>
                                <w:szCs w:val="36"/>
                              </w:rPr>
                              <w:t>5.</w:t>
                            </w:r>
                            <w:r>
                              <w:rPr>
                                <w:rFonts w:hint="eastAsia" w:asciiTheme="minorEastAsia" w:hAnsiTheme="minorEastAsia" w:eastAsiaTheme="minorEastAsia"/>
                                <w:b/>
                                <w:sz w:val="36"/>
                                <w:szCs w:val="36"/>
                              </w:rPr>
                              <w:t xml:space="preserve"> 2021一季度19款新药获批，多款产品创下“中国首个”纪录</w:t>
                            </w:r>
                          </w:p>
                          <w:p>
                            <w:pPr>
                              <w:widowControl/>
                              <w:shd w:val="clear" w:color="auto" w:fill="FFFFFF"/>
                              <w:spacing w:after="210"/>
                              <w:jc w:val="left"/>
                              <w:outlineLvl w:val="1"/>
                              <w:rPr>
                                <w:rFonts w:asciiTheme="minorEastAsia" w:hAnsiTheme="minorEastAsia" w:eastAsiaTheme="minorEastAsia"/>
                                <w:b/>
                                <w:sz w:val="36"/>
                                <w:szCs w:val="36"/>
                              </w:rPr>
                            </w:pPr>
                          </w:p>
                          <w:p>
                            <w:pPr>
                              <w:widowControl/>
                              <w:spacing w:before="100" w:beforeAutospacing="1" w:after="100" w:afterAutospacing="1"/>
                              <w:outlineLvl w:val="1"/>
                              <w:rPr>
                                <w:rFonts w:ascii="微软雅黑" w:hAnsi="微软雅黑" w:eastAsia="微软雅黑" w:cs="宋体"/>
                                <w:color w:val="333333"/>
                                <w:spacing w:val="8"/>
                                <w:kern w:val="0"/>
                                <w:sz w:val="33"/>
                                <w:szCs w:val="33"/>
                              </w:rPr>
                            </w:pPr>
                          </w:p>
                          <w:p>
                            <w:pPr>
                              <w:rPr>
                                <w:b/>
                                <w:sz w:val="44"/>
                                <w:szCs w:val="44"/>
                              </w:rPr>
                            </w:pPr>
                          </w:p>
                        </w:txbxContent>
                      </wps:txbx>
                      <wps:bodyPr upright="1"/>
                    </wps:wsp>
                  </a:graphicData>
                </a:graphic>
              </wp:anchor>
            </w:drawing>
          </mc:Choice>
          <mc:Fallback>
            <w:pict>
              <v:shape id="文本框 14" o:spid="_x0000_s1026" o:spt="202" type="#_x0000_t202" style="position:absolute;left:0pt;margin-left:122.4pt;margin-top:0.2pt;height:641.25pt;width:331.5pt;z-index:251666432;mso-width-relative:page;mso-height-relative:page;" filled="f" stroked="f" coordsize="21600,21600" o:gfxdata="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iN1ttoAAAAJAQAADwAAAAAAAAABACAAAAAiAAAAZHJzL2Rvd25yZXYueG1sUEsBAhQAFAAA&#10;AAgAh07iQH/Hj3+0AQAAWwMAAA4AAAAAAAAAAQAgAAAAKQEAAGRycy9lMm9Eb2MueG1sUEsFBgAA&#10;AAAGAAYAWQEAAE8FAAAAAA==&#10;">
                <v:fill on="f" focussize="0,0"/>
                <v:stroke on="f" weight="1.25pt"/>
                <v:imagedata o:title=""/>
                <o:lock v:ext="edit" aspectratio="f"/>
                <v:textbox>
                  <w:txbxContent>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1重磅！国务院：允许网络销售除特殊管理药品以外的处方药</w:t>
                      </w:r>
                    </w:p>
                    <w:p>
                      <w:pPr>
                        <w:widowControl/>
                        <w:shd w:val="clear" w:color="auto" w:fill="FFFFFF"/>
                        <w:spacing w:after="210" w:line="200" w:lineRule="exact"/>
                        <w:jc w:val="left"/>
                        <w:outlineLvl w:val="1"/>
                        <w:rPr>
                          <w:rFonts w:asciiTheme="minorEastAsia" w:hAnsiTheme="minorEastAsia" w:eastAsiaTheme="minorEastAsia"/>
                          <w:b/>
                          <w:szCs w:val="21"/>
                        </w:rPr>
                      </w:pPr>
                    </w:p>
                    <w:p>
                      <w:pPr>
                        <w:widowControl/>
                        <w:shd w:val="clear" w:color="auto" w:fill="FFFFFF"/>
                        <w:spacing w:after="190" w:line="500" w:lineRule="exact"/>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2.进度更新！贵州、黑龙江第四批集采落地时间明确</w:t>
                      </w:r>
                    </w:p>
                    <w:p>
                      <w:pPr>
                        <w:widowControl/>
                        <w:shd w:val="clear" w:color="auto" w:fill="FFFFFF"/>
                        <w:spacing w:after="190" w:line="200" w:lineRule="exact"/>
                        <w:jc w:val="left"/>
                        <w:outlineLvl w:val="1"/>
                        <w:rPr>
                          <w:rFonts w:asciiTheme="minorEastAsia" w:hAnsiTheme="minorEastAsia" w:eastAsiaTheme="minorEastAsia"/>
                          <w:b/>
                          <w:szCs w:val="21"/>
                        </w:rPr>
                      </w:pPr>
                    </w:p>
                    <w:p>
                      <w:pPr>
                        <w:widowControl/>
                        <w:shd w:val="clear" w:color="auto" w:fill="FFFFFF"/>
                        <w:spacing w:after="190" w:line="500" w:lineRule="exact"/>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3.【重磅】受疫情影响，2020我国三大终端六大市场药品销售额16437亿，同比负增长8.5%</w:t>
                      </w:r>
                    </w:p>
                    <w:p>
                      <w:pPr>
                        <w:widowControl/>
                        <w:shd w:val="clear" w:color="auto" w:fill="FFFFFF"/>
                        <w:spacing w:after="210" w:line="200" w:lineRule="exact"/>
                        <w:jc w:val="left"/>
                        <w:outlineLvl w:val="1"/>
                        <w:rPr>
                          <w:rFonts w:asciiTheme="minorEastAsia" w:hAnsiTheme="minorEastAsia" w:eastAsiaTheme="minorEastAsia"/>
                          <w:b/>
                          <w:szCs w:val="21"/>
                        </w:rPr>
                      </w:pPr>
                    </w:p>
                    <w:p>
                      <w:pPr>
                        <w:widowControl/>
                        <w:shd w:val="clear" w:color="auto" w:fill="FFFFFF"/>
                        <w:spacing w:after="190" w:line="500" w:lineRule="exact"/>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4.健之佳上市以来首推股权激励，三年千店扩张提速</w:t>
                      </w:r>
                    </w:p>
                    <w:p>
                      <w:pPr>
                        <w:widowControl/>
                        <w:shd w:val="clear" w:color="auto" w:fill="FFFFFF"/>
                        <w:spacing w:after="190" w:line="200" w:lineRule="exact"/>
                        <w:jc w:val="left"/>
                        <w:outlineLvl w:val="1"/>
                        <w:rPr>
                          <w:rFonts w:asciiTheme="minorEastAsia" w:hAnsiTheme="minorEastAsia" w:eastAsiaTheme="minorEastAsia"/>
                          <w:b/>
                          <w:szCs w:val="21"/>
                        </w:rPr>
                      </w:pPr>
                    </w:p>
                    <w:p>
                      <w:pPr>
                        <w:widowControl/>
                        <w:shd w:val="clear" w:color="auto" w:fill="FFFFFF"/>
                        <w:spacing w:after="190" w:line="500" w:lineRule="exact"/>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bCs/>
                          <w:sz w:val="36"/>
                          <w:szCs w:val="36"/>
                        </w:rPr>
                      </w:pPr>
                      <w:r>
                        <w:rPr>
                          <w:rFonts w:hint="eastAsia"/>
                          <w:b/>
                          <w:sz w:val="36"/>
                          <w:szCs w:val="36"/>
                        </w:rPr>
                        <w:t>5.</w:t>
                      </w:r>
                      <w:r>
                        <w:rPr>
                          <w:rFonts w:hint="eastAsia" w:asciiTheme="minorEastAsia" w:hAnsiTheme="minorEastAsia" w:eastAsiaTheme="minorEastAsia"/>
                          <w:b/>
                          <w:sz w:val="36"/>
                          <w:szCs w:val="36"/>
                        </w:rPr>
                        <w:t xml:space="preserve"> 2021一季度19款新药获批，多款产品创下“中国首个”纪录</w:t>
                      </w:r>
                    </w:p>
                    <w:p>
                      <w:pPr>
                        <w:widowControl/>
                        <w:shd w:val="clear" w:color="auto" w:fill="FFFFFF"/>
                        <w:spacing w:after="210"/>
                        <w:jc w:val="left"/>
                        <w:outlineLvl w:val="1"/>
                        <w:rPr>
                          <w:rFonts w:asciiTheme="minorEastAsia" w:hAnsiTheme="minorEastAsia" w:eastAsiaTheme="minorEastAsia"/>
                          <w:b/>
                          <w:sz w:val="36"/>
                          <w:szCs w:val="36"/>
                        </w:rPr>
                      </w:pPr>
                    </w:p>
                    <w:p>
                      <w:pPr>
                        <w:widowControl/>
                        <w:spacing w:before="100" w:beforeAutospacing="1" w:after="100" w:afterAutospacing="1"/>
                        <w:outlineLvl w:val="1"/>
                        <w:rPr>
                          <w:rFonts w:ascii="微软雅黑" w:hAnsi="微软雅黑" w:eastAsia="微软雅黑" w:cs="宋体"/>
                          <w:color w:val="333333"/>
                          <w:spacing w:val="8"/>
                          <w:kern w:val="0"/>
                          <w:sz w:val="33"/>
                          <w:szCs w:val="33"/>
                        </w:rPr>
                      </w:pPr>
                    </w:p>
                    <w:p>
                      <w:pPr>
                        <w:rPr>
                          <w:b/>
                          <w:sz w:val="44"/>
                          <w:szCs w:val="44"/>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-788670</wp:posOffset>
                </wp:positionH>
                <wp:positionV relativeFrom="paragraph">
                  <wp:posOffset>40005</wp:posOffset>
                </wp:positionV>
                <wp:extent cx="1982470" cy="3190875"/>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982470" cy="3190875"/>
                        </a:xfrm>
                        <a:prstGeom prst="rect">
                          <a:avLst/>
                        </a:prstGeom>
                        <a:noFill/>
                        <a:ln w="15875">
                          <a:noFill/>
                        </a:ln>
                      </wps:spPr>
                      <wps:txb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（8月第8期）</w:t>
                            </w:r>
                          </w:p>
                        </w:txbxContent>
                      </wps:txbx>
                      <wps:bodyPr upright="1"/>
                    </wps:wsp>
                  </a:graphicData>
                </a:graphic>
              </wp:anchor>
            </w:drawing>
          </mc:Choice>
          <mc:Fallback>
            <w:pict>
              <v:shape id="文本框 11" o:spid="_x0000_s1026" o:spt="202" type="#_x0000_t202" style="position:absolute;left:0pt;margin-left:-62.1pt;margin-top:3.15pt;height:251.25pt;width:156.1pt;z-index:251663360;mso-width-relative:page;mso-height-relative:page;" filled="f" stroked="f" coordsize="21600,21600" o:gfxdata="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YunetwAAAAKAQAADwAAAAAAAAABACAAAAAiAAAAZHJzL2Rvd25yZXYueG1sUEsBAhQA&#10;FAAAAAgAh07iQFnbW4m1AQAAWwMAAA4AAAAAAAAAAQAgAAAAKwEAAGRycy9lMm9Eb2MueG1sUEsF&#10;BgAAAAAGAAYAWQEAAFIFAAAAAA==&#10;">
                <v:fill on="f" focussize="0,0"/>
                <v:stroke on="f" weight="1.25pt"/>
                <v:imagedata o:title=""/>
                <o:lock v:ext="edit" aspectratio="f"/>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（8月第8期）</w:t>
                      </w:r>
                    </w:p>
                  </w:txbxContent>
                </v:textbox>
              </v:shape>
            </w:pict>
          </mc:Fallback>
        </mc:AlternateConten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3360" behindDoc="0" locked="0" layoutInCell="1" allowOverlap="1">
                <wp:simplePos x="0" y="0"/>
                <wp:positionH relativeFrom="column">
                  <wp:posOffset>-857250</wp:posOffset>
                </wp:positionH>
                <wp:positionV relativeFrom="paragraph">
                  <wp:posOffset>120015</wp:posOffset>
                </wp:positionV>
                <wp:extent cx="2143125" cy="635"/>
                <wp:effectExtent l="0" t="19050" r="9525" b="37465"/>
                <wp:wrapNone/>
                <wp:docPr id="48" name="Straight Connector 5"/>
                <wp:cNvGraphicFramePr/>
                <a:graphic xmlns:a="http://schemas.openxmlformats.org/drawingml/2006/main">
                  <a:graphicData uri="http://schemas.microsoft.com/office/word/2010/wordprocessingShape">
                    <wps:wsp>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anchor>
            </w:drawing>
          </mc:Choice>
          <mc:Fallback>
            <w:pict>
              <v:shape id="Straight Connector 5" o:spid="_x0000_s1026" o:spt="32" type="#_x0000_t32" style="position:absolute;left:0pt;margin-left:-67.5pt;margin-top:9.45pt;height:0.05pt;width:168.75pt;z-index:251663360;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Ie3S2AAA&#10;AAoBAAAPAAAAAAAAAAEAIAAAACIAAABkcnMvZG93bnJldi54bWxQSwECFAAUAAAACACHTuJAtpQj&#10;HOUBAADtAwAADgAAAAAAAAABACAAAAAnAQAAZHJzL2Uyb0RvYy54bWxQSwUGAAAAAAYABgBZAQAA&#10;fgUAAAAA&#10;">
                <v:fill on="f" focussize="0,0"/>
                <v:stroke weight="2.75pt" color="#548DD4" joinstyle="round"/>
                <v:imagedata o:title=""/>
                <o:lock v:ext="edit" aspectratio="f"/>
              </v:shape>
            </w:pict>
          </mc:Fallback>
        </mc:AlternateContent>
      </w: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4384" behindDoc="0" locked="0" layoutInCell="1" allowOverlap="1">
                <wp:simplePos x="0" y="0"/>
                <wp:positionH relativeFrom="column">
                  <wp:posOffset>-674370</wp:posOffset>
                </wp:positionH>
                <wp:positionV relativeFrom="paragraph">
                  <wp:posOffset>135255</wp:posOffset>
                </wp:positionV>
                <wp:extent cx="1781175" cy="762000"/>
                <wp:effectExtent l="0" t="0" r="0" b="0"/>
                <wp:wrapNone/>
                <wp:docPr id="47" name="文本框 12"/>
                <wp:cNvGraphicFramePr/>
                <a:graphic xmlns:a="http://schemas.openxmlformats.org/drawingml/2006/main">
                  <a:graphicData uri="http://schemas.microsoft.com/office/word/2010/wordprocessingShape">
                    <wps:wsp>
                      <wps:cNvSpPr txBox="1"/>
                      <wps:spPr>
                        <a:xfrm>
                          <a:off x="0" y="0"/>
                          <a:ext cx="1781175" cy="762000"/>
                        </a:xfrm>
                        <a:prstGeom prst="rect">
                          <a:avLst/>
                        </a:prstGeom>
                        <a:noFill/>
                        <a:ln w="15875">
                          <a:noFill/>
                        </a:ln>
                      </wps:spPr>
                      <wps:txbx>
                        <w:txbxContent>
                          <w:p>
                            <w:pPr>
                              <w:jc w:val="center"/>
                              <w:rPr>
                                <w:sz w:val="44"/>
                                <w:szCs w:val="44"/>
                              </w:rPr>
                            </w:pPr>
                            <w:r>
                              <w:rPr>
                                <w:rFonts w:hint="eastAsia"/>
                                <w:sz w:val="44"/>
                                <w:szCs w:val="44"/>
                              </w:rPr>
                              <w:t>2022.8.29</w:t>
                            </w:r>
                          </w:p>
                        </w:txbxContent>
                      </wps:txbx>
                      <wps:bodyPr upright="1"/>
                    </wps:wsp>
                  </a:graphicData>
                </a:graphic>
              </wp:anchor>
            </w:drawing>
          </mc:Choice>
          <mc:Fallback>
            <w:pict>
              <v:shape id="文本框 12" o:spid="_x0000_s1026" o:spt="202" type="#_x0000_t202" style="position:absolute;left:0pt;margin-left:-53.1pt;margin-top:10.65pt;height:60pt;width:140.25pt;z-index:251664384;mso-width-relative:page;mso-height-relative:page;" filled="f" stroked="f" coordsize="21600,21600" o:gfxdata="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2MqpXcAAAACwEAAA8AAAAAAAAAAQAgAAAAIgAAAGRycy9kb3ducmV2LnhtbFBLAQIU&#10;ABQAAAAIAIdO4kDFDdJhtgEAAFoDAAAOAAAAAAAAAAEAIAAAACsBAABkcnMvZTJvRG9jLnhtbFBL&#10;BQYAAAAABgAGAFkBAABTBQAAAAA=&#10;">
                <v:fill on="f" focussize="0,0"/>
                <v:stroke on="f" weight="1.25pt"/>
                <v:imagedata o:title=""/>
                <o:lock v:ext="edit" aspectratio="f"/>
                <v:textbox>
                  <w:txbxContent>
                    <w:p>
                      <w:pPr>
                        <w:jc w:val="center"/>
                        <w:rPr>
                          <w:sz w:val="44"/>
                          <w:szCs w:val="44"/>
                        </w:rPr>
                      </w:pPr>
                      <w:r>
                        <w:rPr>
                          <w:rFonts w:hint="eastAsia"/>
                          <w:sz w:val="44"/>
                          <w:szCs w:val="44"/>
                        </w:rPr>
                        <w:t>2022.8.29</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5408" behindDoc="0" locked="0" layoutInCell="1" allowOverlap="1">
                <wp:simplePos x="0" y="0"/>
                <wp:positionH relativeFrom="column">
                  <wp:posOffset>-586740</wp:posOffset>
                </wp:positionH>
                <wp:positionV relativeFrom="paragraph">
                  <wp:posOffset>152400</wp:posOffset>
                </wp:positionV>
                <wp:extent cx="1695450" cy="2562225"/>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1695450" cy="2562225"/>
                        </a:xfrm>
                        <a:prstGeom prst="rect">
                          <a:avLst/>
                        </a:prstGeom>
                        <a:noFill/>
                        <a:ln w="15875">
                          <a:noFill/>
                        </a:ln>
                      </wps:spPr>
                      <wps:txbx>
                        <w:txbxContent>
                          <w:p/>
                          <w:p/>
                          <w:p/>
                          <w:p>
                            <w:pPr>
                              <w:rPr>
                                <w:b/>
                                <w:sz w:val="32"/>
                                <w:szCs w:val="32"/>
                              </w:rPr>
                            </w:pPr>
                            <w:r>
                              <w:rPr>
                                <w:rFonts w:hint="eastAsia"/>
                                <w:b/>
                                <w:sz w:val="32"/>
                                <w:szCs w:val="32"/>
                              </w:rPr>
                              <w:t>总  编  朱卫东副总编  杨亚南  责任编</w:t>
                            </w:r>
                            <w:r>
                              <w:rPr>
                                <w:rFonts w:hint="eastAsia"/>
                                <w:b/>
                                <w:spacing w:val="22"/>
                                <w:sz w:val="32"/>
                                <w:szCs w:val="32"/>
                              </w:rPr>
                              <w:t>辑彭</w:t>
                            </w:r>
                            <w:r>
                              <w:rPr>
                                <w:rFonts w:hint="eastAsia"/>
                                <w:b/>
                                <w:sz w:val="32"/>
                                <w:szCs w:val="32"/>
                              </w:rPr>
                              <w:t>宇飞</w:t>
                            </w:r>
                          </w:p>
                        </w:txbxContent>
                      </wps:txbx>
                      <wps:bodyPr upright="1"/>
                    </wps:wsp>
                  </a:graphicData>
                </a:graphic>
              </wp:anchor>
            </w:drawing>
          </mc:Choice>
          <mc:Fallback>
            <w:pict>
              <v:shape id="文本框 13" o:spid="_x0000_s1026" o:spt="202" type="#_x0000_t202" style="position:absolute;left:0pt;margin-left:-46.2pt;margin-top:12pt;height:201.75pt;width:133.5pt;z-index:251665408;mso-width-relative:page;mso-height-relative:page;" filled="f" stroked="f" coordsize="21600,21600" o:gfxdata="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XmEdwAAAAKAQAADwAAAAAAAAABACAAAAAiAAAAZHJzL2Rvd25yZXYueG1sUEsB&#10;AhQAFAAAAAgAh07iQLodRq64AQAAWwMAAA4AAAAAAAAAAQAgAAAAKwEAAGRycy9lMm9Eb2MueG1s&#10;UEsFBgAAAAAGAAYAWQEAAFUFAAAAAA==&#10;">
                <v:fill on="f" focussize="0,0"/>
                <v:stroke on="f" weight="1.25pt"/>
                <v:imagedata o:title=""/>
                <o:lock v:ext="edit" aspectratio="f"/>
                <v:textbox>
                  <w:txbxContent>
                    <w:p/>
                    <w:p/>
                    <w:p/>
                    <w:p>
                      <w:pPr>
                        <w:rPr>
                          <w:b/>
                          <w:sz w:val="32"/>
                          <w:szCs w:val="32"/>
                        </w:rPr>
                      </w:pPr>
                      <w:r>
                        <w:rPr>
                          <w:rFonts w:hint="eastAsia"/>
                          <w:b/>
                          <w:sz w:val="32"/>
                          <w:szCs w:val="32"/>
                        </w:rPr>
                        <w:t>总  编  朱卫东副总编  杨亚南  责任编</w:t>
                      </w:r>
                      <w:r>
                        <w:rPr>
                          <w:rFonts w:hint="eastAsia"/>
                          <w:b/>
                          <w:spacing w:val="22"/>
                          <w:sz w:val="32"/>
                          <w:szCs w:val="32"/>
                        </w:rPr>
                        <w:t>辑彭</w:t>
                      </w:r>
                      <w:r>
                        <w:rPr>
                          <w:rFonts w:hint="eastAsia"/>
                          <w:b/>
                          <w:sz w:val="32"/>
                          <w:szCs w:val="32"/>
                        </w:rPr>
                        <w:t>宇飞</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2336" behindDoc="0" locked="0" layoutInCell="1" allowOverlap="1">
                <wp:simplePos x="0" y="0"/>
                <wp:positionH relativeFrom="column">
                  <wp:posOffset>-857250</wp:posOffset>
                </wp:positionH>
                <wp:positionV relativeFrom="paragraph">
                  <wp:posOffset>488950</wp:posOffset>
                </wp:positionV>
                <wp:extent cx="6781800" cy="635"/>
                <wp:effectExtent l="0" t="19050" r="0" b="37465"/>
                <wp:wrapNone/>
                <wp:docPr id="44" name="Straight Connector 4"/>
                <wp:cNvGraphicFramePr/>
                <a:graphic xmlns:a="http://schemas.openxmlformats.org/drawingml/2006/main">
                  <a:graphicData uri="http://schemas.microsoft.com/office/word/2010/wordprocessingShape">
                    <wps:wsp>
                      <wps:cNvCnPr/>
                      <wps:spPr>
                        <a:xfrm>
                          <a:off x="0" y="0"/>
                          <a:ext cx="6781800"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4" o:spid="_x0000_s1026" o:spt="32" type="#_x0000_t32" style="position:absolute;left:0pt;margin-left:-67.5pt;margin-top:38.5pt;height:0.05pt;width:534pt;z-index:251662336;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hstRc2AAA&#10;AAoBAAAPAAAAAAAAAAEAIAAAACIAAABkcnMvZG93bnJldi54bWxQSwECFAAUAAAACACHTuJAOhep&#10;k+UBAADtAwAADgAAAAAAAAABACAAAAAnAQAAZHJzL2Uyb0RvYy54bWxQSwUGAAAAAAYABgBZAQAA&#10;fgUAAAAA&#10;">
                <v:fill on="f" focussize="0,0"/>
                <v:stroke weight="3pt" color="#548DD4" joinstyle="round"/>
                <v:imagedata o:title=""/>
                <o:lock v:ext="edit" aspectratio="f"/>
              </v:shape>
            </w:pict>
          </mc:Fallback>
        </mc:AlternateContent>
      </w:r>
      <w:r>
        <w:rPr>
          <w:rFonts w:hint="eastAsia"/>
        </w:rPr>
        <w:t xml:space="preserve">                               </w:t>
      </w:r>
    </w:p>
    <w:tbl>
      <w:tblPr>
        <w:tblStyle w:val="10"/>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96" w:type="dxa"/>
            <w:vAlign w:val="center"/>
          </w:tcPr>
          <w:p>
            <w:pPr>
              <w:tabs>
                <w:tab w:val="left" w:pos="7088"/>
              </w:tabs>
              <w:jc w:val="center"/>
              <w:rPr>
                <w:b/>
                <w:sz w:val="30"/>
                <w:szCs w:val="30"/>
              </w:rPr>
            </w:pPr>
            <w:r>
              <w:rPr>
                <w:rFonts w:hint="eastAsia"/>
                <w:b/>
                <w:sz w:val="30"/>
                <w:szCs w:val="30"/>
              </w:rPr>
              <w:t>信息01</w:t>
            </w:r>
          </w:p>
        </w:tc>
        <w:tc>
          <w:tcPr>
            <w:tcW w:w="6877" w:type="dxa"/>
            <w:gridSpan w:val="3"/>
            <w:vAlign w:val="center"/>
          </w:tcPr>
          <w:p>
            <w:pPr>
              <w:rPr>
                <w:b/>
                <w:sz w:val="32"/>
                <w:szCs w:val="32"/>
              </w:rPr>
            </w:pPr>
            <w:r>
              <w:rPr>
                <w:rFonts w:hint="eastAsia"/>
                <w:b/>
                <w:sz w:val="32"/>
                <w:szCs w:val="32"/>
              </w:rPr>
              <w:t>刚刚！国家医保局发文，「最难」集采将开始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2</w:t>
            </w:r>
            <w:r>
              <w:rPr>
                <w:rFonts w:asciiTheme="minorEastAsia" w:hAnsiTheme="minorEastAsia" w:eastAsiaTheme="minorEastAsia"/>
                <w:sz w:val="28"/>
                <w:szCs w:val="28"/>
              </w:rPr>
              <w:t>-</w:t>
            </w:r>
            <w:r>
              <w:rPr>
                <w:rFonts w:hint="eastAsia" w:asciiTheme="minorEastAsia" w:hAnsiTheme="minorEastAsia" w:eastAsiaTheme="minorEastAsia"/>
                <w:sz w:val="28"/>
                <w:szCs w:val="28"/>
              </w:rPr>
              <w:t>8</w:t>
            </w:r>
            <w:r>
              <w:rPr>
                <w:rFonts w:asciiTheme="minorEastAsia" w:hAnsiTheme="minorEastAsia" w:eastAsiaTheme="minorEastAsia"/>
                <w:sz w:val="28"/>
                <w:szCs w:val="28"/>
              </w:rPr>
              <w:t>-</w:t>
            </w:r>
            <w:r>
              <w:rPr>
                <w:rFonts w:hint="eastAsia" w:asciiTheme="minorEastAsia" w:hAnsiTheme="minorEastAsia" w:eastAsiaTheme="minorEastAsia"/>
                <w:sz w:val="28"/>
                <w:szCs w:val="28"/>
              </w:rPr>
              <w:t>18</w:t>
            </w:r>
          </w:p>
        </w:tc>
        <w:tc>
          <w:tcPr>
            <w:tcW w:w="2049" w:type="dxa"/>
            <w:vAlign w:val="center"/>
          </w:tcPr>
          <w:p>
            <w:pPr>
              <w:tabs>
                <w:tab w:val="left" w:pos="7088"/>
              </w:tabs>
              <w:jc w:val="center"/>
              <w:rPr>
                <w:b/>
                <w:sz w:val="28"/>
                <w:szCs w:val="28"/>
              </w:rPr>
            </w:pPr>
            <w:r>
              <w:rPr>
                <w:rFonts w:hint="eastAsia"/>
                <w:b/>
                <w:sz w:val="30"/>
                <w:szCs w:val="30"/>
              </w:rPr>
              <w:t>信息来源</w:t>
            </w:r>
          </w:p>
        </w:tc>
        <w:tc>
          <w:tcPr>
            <w:tcW w:w="2487" w:type="dxa"/>
            <w:vAlign w:val="center"/>
          </w:tcPr>
          <w:p>
            <w:pPr>
              <w:tabs>
                <w:tab w:val="left" w:pos="7088"/>
              </w:tabs>
              <w:jc w:val="center"/>
              <w:rPr>
                <w:sz w:val="28"/>
                <w:szCs w:val="28"/>
              </w:rPr>
            </w:pPr>
            <w:r>
              <w:rPr>
                <w:rFonts w:hint="eastAsia"/>
                <w:sz w:val="28"/>
                <w:szCs w:val="28"/>
              </w:rPr>
              <w:t>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28"/>
                <w:szCs w:val="28"/>
              </w:rPr>
            </w:pPr>
            <w:r>
              <w:rPr>
                <w:rFonts w:hint="eastAsia"/>
                <w:sz w:val="28"/>
                <w:szCs w:val="28"/>
              </w:rPr>
              <w:t>运营管理部</w:t>
            </w:r>
          </w:p>
        </w:tc>
        <w:tc>
          <w:tcPr>
            <w:tcW w:w="2049" w:type="dxa"/>
            <w:vAlign w:val="center"/>
          </w:tcPr>
          <w:p>
            <w:pPr>
              <w:tabs>
                <w:tab w:val="left" w:pos="7088"/>
              </w:tabs>
              <w:jc w:val="center"/>
              <w:rPr>
                <w:b/>
                <w:sz w:val="28"/>
                <w:szCs w:val="28"/>
              </w:rPr>
            </w:pPr>
            <w:r>
              <w:rPr>
                <w:rFonts w:hint="eastAsia"/>
                <w:b/>
                <w:sz w:val="30"/>
                <w:szCs w:val="30"/>
              </w:rPr>
              <w:t>信息确认</w:t>
            </w:r>
          </w:p>
        </w:tc>
        <w:tc>
          <w:tcPr>
            <w:tcW w:w="2487" w:type="dxa"/>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96"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来源：赛柏蓝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医改  集采  口腔  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tcPr>
          <w:p>
            <w:pPr>
              <w:ind w:firstLine="560" w:firstLineChars="200"/>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8月18日，国家医保局发布关于《关于开展口腔种植医疗服务收费和耗材价格专项治理的通知（征求意见稿）》：</w:t>
            </w:r>
          </w:p>
          <w:p>
            <w:pPr>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一、种植牙集采将启动，全国各省均参与</w:t>
            </w:r>
          </w:p>
          <w:p>
            <w:pPr>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二、降价组合拳！种植牙牙冠零差率销售、全面规范服务费...</w:t>
            </w:r>
          </w:p>
          <w:p>
            <w:pPr>
              <w:ind w:left="560"/>
              <w:rPr>
                <w:rFonts w:asciiTheme="minorEastAsia" w:hAnsiTheme="minorEastAsia"/>
                <w:sz w:val="28"/>
                <w:szCs w:val="28"/>
                <w:shd w:val="clear" w:color="auto" w:fill="FFFFFF"/>
              </w:rPr>
            </w:pPr>
          </w:p>
          <w:p>
            <w:pPr>
              <w:ind w:left="560"/>
              <w:rPr>
                <w:rFonts w:asciiTheme="minorEastAsia" w:hAnsiTheme="minorEastAsia"/>
                <w:sz w:val="28"/>
                <w:szCs w:val="28"/>
                <w:shd w:val="clear" w:color="auto" w:fill="FFFFFF"/>
              </w:rPr>
            </w:pPr>
          </w:p>
          <w:p>
            <w:pPr>
              <w:ind w:left="560"/>
              <w:rPr>
                <w:rFonts w:asciiTheme="minorEastAsia" w:hAnsiTheme="minorEastAsia"/>
                <w:sz w:val="28"/>
                <w:szCs w:val="28"/>
                <w:shd w:val="clear" w:color="auto" w:fill="FFFFFF"/>
              </w:rPr>
            </w:pPr>
          </w:p>
          <w:p>
            <w:pPr>
              <w:ind w:left="560"/>
              <w:rPr>
                <w:rFonts w:asciiTheme="minorEastAsia" w:hAnsiTheme="minorEastAsia"/>
                <w:sz w:val="28"/>
                <w:szCs w:val="28"/>
                <w:shd w:val="clear" w:color="auto" w:fill="FFFFFF"/>
              </w:rPr>
            </w:pPr>
          </w:p>
          <w:p>
            <w:pPr>
              <w:ind w:left="560"/>
              <w:rPr>
                <w:rFonts w:asciiTheme="minorEastAsia" w:hAnsiTheme="minorEastAsia"/>
                <w:sz w:val="28"/>
                <w:szCs w:val="28"/>
                <w:shd w:val="clear" w:color="auto" w:fill="FFFFFF"/>
              </w:rPr>
            </w:pPr>
          </w:p>
          <w:p>
            <w:pPr>
              <w:ind w:left="560"/>
              <w:rPr>
                <w:rFonts w:asciiTheme="minorEastAsia" w:hAnsiTheme="minorEastAsia"/>
                <w:sz w:val="28"/>
                <w:szCs w:val="28"/>
                <w:shd w:val="clear" w:color="auto" w:fill="FFFFFF"/>
              </w:rPr>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附件1: 刚刚！国家医保局发文，「最难」集采将开始</w:t>
            </w:r>
          </w:p>
        </w:tc>
      </w:tr>
    </w:tbl>
    <w:p>
      <w:pPr>
        <w:tabs>
          <w:tab w:val="left" w:pos="5245"/>
        </w:tabs>
      </w:pPr>
      <w:r>
        <w:rPr>
          <w:rFonts w:hint="eastAsia"/>
        </w:rPr>
        <w:t xml:space="preserve"> </w:t>
      </w:r>
    </w:p>
    <w:tbl>
      <w:tblPr>
        <w:tblStyle w:val="10"/>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rPr>
                <w:rFonts w:asciiTheme="minorEastAsia" w:hAnsiTheme="minorEastAsia" w:eastAsiaTheme="minorEastAsia"/>
                <w:b/>
                <w:sz w:val="32"/>
                <w:szCs w:val="32"/>
              </w:rPr>
            </w:pPr>
            <w:r>
              <w:rPr>
                <w:rFonts w:hint="eastAsia"/>
                <w:b/>
                <w:sz w:val="32"/>
                <w:szCs w:val="32"/>
              </w:rPr>
              <w:t>重磅！59个上市申请获批！共计129个受理号获批！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410" w:type="dxa"/>
            <w:gridSpan w:val="2"/>
            <w:vAlign w:val="center"/>
          </w:tcPr>
          <w:p>
            <w:pPr>
              <w:widowControl/>
              <w:spacing w:line="300" w:lineRule="atLeast"/>
              <w:jc w:val="center"/>
              <w:rPr>
                <w:rFonts w:asciiTheme="minorEastAsia" w:hAnsiTheme="minorEastAsia" w:eastAsiaTheme="minorEastAsia"/>
                <w:sz w:val="28"/>
                <w:szCs w:val="28"/>
              </w:rPr>
            </w:pPr>
            <w:r>
              <w:rPr>
                <w:rFonts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rPr>
              <w:t>2</w:t>
            </w:r>
            <w:r>
              <w:rPr>
                <w:rFonts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rPr>
              <w:t>8</w:t>
            </w:r>
            <w:r>
              <w:rPr>
                <w:rFonts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rPr>
              <w:t>14</w:t>
            </w:r>
          </w:p>
        </w:tc>
        <w:tc>
          <w:tcPr>
            <w:tcW w:w="1843" w:type="dxa"/>
            <w:vAlign w:val="center"/>
          </w:tcPr>
          <w:p>
            <w:pPr>
              <w:jc w:val="center"/>
              <w:rPr>
                <w:b/>
                <w:sz w:val="30"/>
                <w:szCs w:val="30"/>
              </w:rPr>
            </w:pPr>
            <w:r>
              <w:rPr>
                <w:rFonts w:hint="eastAsia"/>
                <w:b/>
                <w:sz w:val="30"/>
                <w:szCs w:val="30"/>
              </w:rPr>
              <w:t>信息来源</w:t>
            </w:r>
          </w:p>
        </w:tc>
        <w:tc>
          <w:tcPr>
            <w:tcW w:w="2693" w:type="dxa"/>
            <w:gridSpan w:val="2"/>
            <w:vAlign w:val="center"/>
          </w:tcPr>
          <w:p>
            <w:pPr>
              <w:jc w:val="center"/>
              <w:rPr>
                <w:rFonts w:ascii="Helvetica" w:hAnsi="Helvetica" w:cs="Helvetica"/>
                <w:kern w:val="0"/>
                <w:sz w:val="28"/>
                <w:szCs w:val="28"/>
              </w:rPr>
            </w:pPr>
            <w:r>
              <w:rPr>
                <w:rFonts w:hint="eastAsia"/>
                <w:sz w:val="28"/>
                <w:szCs w:val="28"/>
              </w:rPr>
              <w:t>新康界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pPr>
              <w:jc w:val="center"/>
              <w:rPr>
                <w:sz w:val="28"/>
                <w:szCs w:val="28"/>
              </w:rPr>
            </w:pPr>
            <w:r>
              <w:rPr>
                <w:rFonts w:hint="eastAsia"/>
                <w:sz w:val="28"/>
                <w:szCs w:val="28"/>
              </w:rPr>
              <w:t>运营管理部</w:t>
            </w:r>
          </w:p>
        </w:tc>
        <w:tc>
          <w:tcPr>
            <w:tcW w:w="1843" w:type="dxa"/>
            <w:vAlign w:val="center"/>
          </w:tcPr>
          <w:p>
            <w:pPr>
              <w:jc w:val="center"/>
              <w:rPr>
                <w:b/>
                <w:sz w:val="28"/>
                <w:szCs w:val="28"/>
              </w:rPr>
            </w:pPr>
            <w:r>
              <w:rPr>
                <w:rFonts w:hint="eastAsia"/>
                <w:b/>
                <w:sz w:val="30"/>
                <w:szCs w:val="30"/>
              </w:rPr>
              <w:t>信息确认</w:t>
            </w:r>
          </w:p>
        </w:tc>
        <w:tc>
          <w:tcPr>
            <w:tcW w:w="2693" w:type="dxa"/>
            <w:gridSpan w:val="2"/>
            <w:vAlign w:val="center"/>
          </w:tcPr>
          <w:p>
            <w:pPr>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sz w:val="28"/>
                <w:szCs w:val="28"/>
              </w:rPr>
              <w:t>新康界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sz w:val="28"/>
                <w:szCs w:val="28"/>
              </w:rPr>
            </w:pPr>
            <w:r>
              <w:rPr>
                <w:rFonts w:hint="eastAsia" w:asciiTheme="minorEastAsia" w:hAnsiTheme="minorEastAsia"/>
                <w:sz w:val="28"/>
                <w:szCs w:val="28"/>
              </w:rPr>
              <w:t>药监局</w:t>
            </w:r>
            <w:r>
              <w:rPr>
                <w:rFonts w:hint="eastAsia" w:asciiTheme="minorEastAsia" w:hAnsiTheme="minorEastAsia"/>
                <w:sz w:val="28"/>
                <w:szCs w:val="28"/>
                <w:shd w:val="clear" w:color="auto" w:fill="FFFFFF"/>
              </w:rPr>
              <w:t xml:space="preserve">  上市</w:t>
            </w:r>
            <w:r>
              <w:rPr>
                <w:rFonts w:hint="eastAsia" w:asciiTheme="minorEastAsia" w:hAnsiTheme="minorEastAsia"/>
                <w:sz w:val="28"/>
                <w:szCs w:val="28"/>
              </w:rPr>
              <w:t xml:space="preserve">  受理  获批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tcPr>
          <w:p>
            <w:pPr>
              <w:widowControl/>
              <w:spacing w:line="420" w:lineRule="atLeast"/>
              <w:rPr>
                <w:rFonts w:asciiTheme="minorEastAsia" w:hAnsiTheme="minorEastAsia"/>
                <w:sz w:val="28"/>
                <w:szCs w:val="28"/>
                <w:shd w:val="clear" w:color="auto" w:fill="FFFFFF"/>
              </w:rPr>
            </w:pPr>
          </w:p>
          <w:p>
            <w:pPr>
              <w:widowControl/>
              <w:spacing w:line="420" w:lineRule="atLeast"/>
              <w:rPr>
                <w:rFonts w:asciiTheme="minorEastAsia" w:hAnsiTheme="minorEastAsia"/>
                <w:sz w:val="28"/>
                <w:szCs w:val="28"/>
                <w:shd w:val="clear" w:color="auto" w:fill="FFFFFF"/>
              </w:rPr>
            </w:pPr>
          </w:p>
          <w:p>
            <w:pPr>
              <w:widowControl/>
              <w:spacing w:line="420" w:lineRule="atLeast"/>
              <w:ind w:firstLine="700" w:firstLineChars="25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8月12日，国家药监局批准证明文件待领取信息，59个上市申请获批！共计129个受理号获批！</w:t>
            </w:r>
          </w:p>
          <w:p>
            <w:pPr>
              <w:widowControl/>
              <w:spacing w:line="420" w:lineRule="atLeast"/>
              <w:ind w:firstLine="700" w:firstLineChars="250"/>
              <w:rPr>
                <w:rFonts w:asciiTheme="minorEastAsia" w:hAnsiTheme="minorEastAsia"/>
                <w:szCs w:val="21"/>
                <w:shd w:val="clear" w:color="auto" w:fill="FFFFFF"/>
              </w:rPr>
            </w:pPr>
            <w:r>
              <w:rPr>
                <w:rFonts w:hint="eastAsia" w:asciiTheme="minorEastAsia" w:hAnsiTheme="minorEastAsia"/>
                <w:sz w:val="28"/>
                <w:szCs w:val="28"/>
                <w:shd w:val="clear" w:color="auto" w:fill="FFFFFF"/>
              </w:rPr>
              <w:t>后附具体明细。</w:t>
            </w: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附件2：重磅！59个上市申请获批！共计129个受理号获批！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jc w:val="center"/>
              <w:rPr>
                <w:b/>
                <w:sz w:val="30"/>
                <w:szCs w:val="30"/>
              </w:rPr>
            </w:pPr>
            <w:r>
              <w:rPr>
                <w:rFonts w:hint="eastAsia"/>
                <w:b/>
                <w:sz w:val="30"/>
                <w:szCs w:val="30"/>
              </w:rPr>
              <w:t>信息03</w:t>
            </w:r>
          </w:p>
        </w:tc>
        <w:tc>
          <w:tcPr>
            <w:tcW w:w="6946" w:type="dxa"/>
            <w:gridSpan w:val="5"/>
            <w:vAlign w:val="center"/>
          </w:tcPr>
          <w:p>
            <w:pPr>
              <w:rPr>
                <w:b/>
                <w:sz w:val="32"/>
                <w:szCs w:val="32"/>
              </w:rPr>
            </w:pPr>
            <w:r>
              <w:rPr>
                <w:rFonts w:hint="eastAsia"/>
                <w:b/>
                <w:sz w:val="32"/>
                <w:szCs w:val="32"/>
              </w:rPr>
              <w:t>一文读懂｜“十四五”期间医疗器材市场政策环境分析及市场竞争规模前景评估预测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widowControl/>
              <w:spacing w:line="300" w:lineRule="atLeast"/>
              <w:ind w:firstLine="280" w:firstLineChars="100"/>
              <w:jc w:val="left"/>
              <w:rPr>
                <w:rFonts w:asciiTheme="minorEastAsia" w:hAnsiTheme="minorEastAsia" w:eastAsiaTheme="minorEastAsia"/>
                <w:sz w:val="28"/>
                <w:szCs w:val="28"/>
              </w:rPr>
            </w:pPr>
            <w:r>
              <w:rPr>
                <w:rFonts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rPr>
              <w:t>2</w:t>
            </w:r>
            <w:r>
              <w:rPr>
                <w:rFonts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rPr>
              <w:t>8</w:t>
            </w:r>
            <w:r>
              <w:rPr>
                <w:rFonts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rPr>
              <w:t>20</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信息来源</w:t>
            </w:r>
          </w:p>
        </w:tc>
        <w:tc>
          <w:tcPr>
            <w:tcW w:w="2693" w:type="dxa"/>
            <w:gridSpan w:val="2"/>
            <w:tcBorders>
              <w:bottom w:val="single" w:color="auto" w:sz="4" w:space="0"/>
            </w:tcBorders>
            <w:vAlign w:val="center"/>
          </w:tcPr>
          <w:p>
            <w:pPr>
              <w:jc w:val="center"/>
              <w:rPr>
                <w:sz w:val="28"/>
                <w:szCs w:val="28"/>
              </w:rPr>
            </w:pPr>
            <w:r>
              <w:rPr>
                <w:rFonts w:hint="eastAsia"/>
                <w:sz w:val="28"/>
                <w:szCs w:val="28"/>
              </w:rPr>
              <w:t>医药经济报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widowControl/>
              <w:spacing w:line="300" w:lineRule="atLeast"/>
              <w:jc w:val="left"/>
              <w:rPr>
                <w:rFonts w:ascii="Helvetica" w:hAnsi="Helvetica" w:cs="Helvetica"/>
                <w:color w:val="000000" w:themeColor="text1"/>
                <w:kern w:val="0"/>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来源：</w:t>
            </w:r>
            <w:r>
              <w:rPr>
                <w:rFonts w:hint="eastAsia"/>
                <w:sz w:val="28"/>
                <w:szCs w:val="28"/>
              </w:rPr>
              <w:t>医药经济报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jc w:val="center"/>
              <w:rPr>
                <w:b/>
                <w:sz w:val="30"/>
                <w:szCs w:val="30"/>
              </w:rPr>
            </w:pPr>
            <w:r>
              <w:rPr>
                <w:rFonts w:hint="eastAsia"/>
                <w:b/>
                <w:sz w:val="30"/>
                <w:szCs w:val="30"/>
              </w:rPr>
              <w:t>关键词</w:t>
            </w:r>
          </w:p>
        </w:tc>
        <w:tc>
          <w:tcPr>
            <w:tcW w:w="6946" w:type="dxa"/>
            <w:gridSpan w:val="5"/>
            <w:vAlign w:val="center"/>
          </w:tcPr>
          <w:p>
            <w:pPr>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sz w:val="28"/>
                <w:szCs w:val="28"/>
              </w:rPr>
              <w:t>医疗器械  市场现状</w:t>
            </w:r>
            <w:r>
              <w:rPr>
                <w:rFonts w:hint="eastAsia" w:asciiTheme="minorEastAsia" w:hAnsiTheme="minorEastAsia" w:eastAsiaTheme="minorEastAsia"/>
                <w:sz w:val="28"/>
                <w:szCs w:val="28"/>
              </w:rPr>
              <w:t xml:space="preserve">  发展趋势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pPr>
              <w:rPr>
                <w:rFonts w:asciiTheme="minorEastAsia" w:hAnsiTheme="minorEastAsia"/>
                <w:color w:val="333333"/>
                <w:spacing w:val="15"/>
                <w:sz w:val="28"/>
                <w:szCs w:val="28"/>
              </w:rPr>
            </w:pPr>
          </w:p>
          <w:p>
            <w:pPr>
              <w:widowControl/>
              <w:shd w:val="clear" w:color="auto" w:fill="FFFFFF"/>
              <w:spacing w:line="420" w:lineRule="atLeast"/>
              <w:ind w:right="120"/>
              <w:rPr>
                <w:rFonts w:asciiTheme="minorEastAsia" w:hAnsiTheme="minorEastAsia"/>
                <w:color w:val="333333"/>
                <w:spacing w:val="15"/>
                <w:sz w:val="28"/>
                <w:szCs w:val="28"/>
              </w:rPr>
            </w:pPr>
          </w:p>
          <w:p>
            <w:pPr>
              <w:widowControl/>
              <w:shd w:val="clear" w:color="auto" w:fill="FFFFFF"/>
              <w:spacing w:line="420" w:lineRule="atLeast"/>
              <w:ind w:right="120" w:firstLine="620" w:firstLineChars="200"/>
              <w:rPr>
                <w:rFonts w:asciiTheme="minorEastAsia" w:hAnsiTheme="minorEastAsia"/>
                <w:color w:val="333333"/>
                <w:spacing w:val="15"/>
                <w:sz w:val="28"/>
                <w:szCs w:val="28"/>
              </w:rPr>
            </w:pPr>
            <w:r>
              <w:rPr>
                <w:rFonts w:hint="eastAsia" w:asciiTheme="minorEastAsia" w:hAnsiTheme="minorEastAsia"/>
                <w:bCs/>
                <w:color w:val="333333"/>
                <w:spacing w:val="15"/>
                <w:sz w:val="28"/>
                <w:szCs w:val="28"/>
              </w:rPr>
              <w:t>2022年全国医疗器械安全宣传周活动，汇集了来自政、产、学、研各领域专家对医疗器械高质量发展的精彩观点。以宏观的视角对国家层面、地方层面连接医疗器械行业政策的重点内容进行深度解读，对创新医疗器械的审评审批要点进行盘点，以及对中国医疗器械行业市场现状分析及发展趋势预测等等。</w:t>
            </w:r>
          </w:p>
          <w:p>
            <w:pPr>
              <w:rPr>
                <w:rFonts w:asciiTheme="minorEastAsia" w:hAnsiTheme="minorEastAsia" w:eastAsiaTheme="minorEastAsia"/>
                <w:color w:val="000000" w:themeColor="text1"/>
                <w:sz w:val="28"/>
                <w:szCs w:val="28"/>
                <w14:textFill>
                  <w14:solidFill>
                    <w14:schemeClr w14:val="tx1"/>
                  </w14:solidFill>
                </w14:textFill>
              </w:rPr>
            </w:pPr>
          </w:p>
          <w:p>
            <w:pPr>
              <w:rPr>
                <w:rFonts w:asciiTheme="minorEastAsia" w:hAnsiTheme="minorEastAsia" w:eastAsiaTheme="minorEastAsia"/>
                <w:color w:val="000000" w:themeColor="text1"/>
                <w:sz w:val="28"/>
                <w:szCs w:val="28"/>
                <w14:textFill>
                  <w14:solidFill>
                    <w14:schemeClr w14:val="tx1"/>
                  </w14:solidFill>
                </w14:textFill>
              </w:rPr>
            </w:pPr>
          </w:p>
          <w:p>
            <w:pPr>
              <w:rPr>
                <w:rFonts w:asciiTheme="minorEastAsia" w:hAnsiTheme="minorEastAsia" w:eastAsiaTheme="minorEastAsia"/>
                <w:color w:val="000000" w:themeColor="text1"/>
                <w:sz w:val="28"/>
                <w:szCs w:val="28"/>
                <w14:textFill>
                  <w14:solidFill>
                    <w14:schemeClr w14:val="tx1"/>
                  </w14:solidFill>
                </w14:textFill>
              </w:rPr>
            </w:pPr>
          </w:p>
          <w:p>
            <w:pPr>
              <w:rPr>
                <w:rFonts w:asciiTheme="minorEastAsia" w:hAnsiTheme="minorEastAsia" w:eastAsiaTheme="minorEastAsia"/>
                <w:color w:val="000000" w:themeColor="text1"/>
                <w:sz w:val="28"/>
                <w:szCs w:val="28"/>
                <w14:textFill>
                  <w14:solidFill>
                    <w14:schemeClr w14:val="tx1"/>
                  </w14:solidFill>
                </w14:textFill>
              </w:rPr>
            </w:pPr>
          </w:p>
          <w:p>
            <w:pPr>
              <w:widowControl/>
              <w:spacing w:before="100" w:beforeAutospacing="1" w:after="100" w:afterAutospacing="1"/>
              <w:outlineLvl w:val="1"/>
              <w:rPr>
                <w:rFonts w:ascii="微软雅黑" w:hAnsi="微软雅黑" w:eastAsia="微软雅黑" w:cs="宋体"/>
                <w:color w:val="333333"/>
                <w:spacing w:val="8"/>
                <w:kern w:val="0"/>
                <w:sz w:val="33"/>
                <w:szCs w:val="33"/>
              </w:rPr>
            </w:pPr>
            <w:r>
              <w:rPr>
                <w:rFonts w:hint="eastAsia" w:asciiTheme="minorEastAsia" w:hAnsiTheme="minorEastAsia" w:eastAsiaTheme="minorEastAsia"/>
                <w:color w:val="000000" w:themeColor="text1"/>
                <w:szCs w:val="21"/>
                <w14:textFill>
                  <w14:solidFill>
                    <w14:schemeClr w14:val="tx1"/>
                  </w14:solidFill>
                </w14:textFill>
              </w:rPr>
              <w:t>附件3：一文读懂｜“十四五”期间医疗器材市场政策环境分析及市场竞争规模前景评估预测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b/>
                <w:sz w:val="32"/>
                <w:szCs w:val="32"/>
              </w:rPr>
            </w:pPr>
            <w:r>
              <w:rPr>
                <w:rFonts w:hint="eastAsia"/>
                <w:b/>
                <w:sz w:val="32"/>
                <w:szCs w:val="32"/>
              </w:rPr>
              <w:t>上市连锁发起冲锋，剑指专业药房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2</w:t>
            </w:r>
            <w:r>
              <w:rPr>
                <w:rFonts w:asciiTheme="minorEastAsia" w:hAnsiTheme="minorEastAsia" w:eastAsiaTheme="minorEastAsia"/>
                <w:sz w:val="28"/>
                <w:szCs w:val="28"/>
              </w:rPr>
              <w:t>-</w:t>
            </w:r>
            <w:r>
              <w:rPr>
                <w:rFonts w:hint="eastAsia" w:asciiTheme="minorEastAsia" w:hAnsiTheme="minorEastAsia" w:eastAsiaTheme="minorEastAsia"/>
                <w:sz w:val="28"/>
                <w:szCs w:val="28"/>
              </w:rPr>
              <w:t>8</w:t>
            </w:r>
            <w:r>
              <w:rPr>
                <w:rFonts w:asciiTheme="minorEastAsia" w:hAnsiTheme="minorEastAsia" w:eastAsiaTheme="minorEastAsia"/>
                <w:sz w:val="28"/>
                <w:szCs w:val="28"/>
              </w:rPr>
              <w:t>-</w:t>
            </w:r>
            <w:r>
              <w:rPr>
                <w:rFonts w:hint="eastAsia" w:asciiTheme="minorEastAsia" w:hAnsiTheme="minorEastAsia" w:eastAsiaTheme="minorEastAsia"/>
                <w:sz w:val="28"/>
                <w:szCs w:val="28"/>
              </w:rPr>
              <w:t>22</w:t>
            </w:r>
          </w:p>
        </w:tc>
        <w:tc>
          <w:tcPr>
            <w:tcW w:w="1985" w:type="dxa"/>
            <w:gridSpan w:val="2"/>
            <w:tcBorders>
              <w:top w:val="inset" w:color="auto" w:sz="6" w:space="0"/>
            </w:tcBorders>
            <w:vAlign w:val="center"/>
          </w:tcPr>
          <w:p>
            <w:pPr>
              <w:tabs>
                <w:tab w:val="left" w:pos="7088"/>
              </w:tabs>
              <w:jc w:val="center"/>
              <w:rPr>
                <w:b/>
                <w:sz w:val="30"/>
                <w:szCs w:val="30"/>
              </w:rPr>
            </w:pPr>
            <w:r>
              <w:rPr>
                <w:rFonts w:hint="eastAsia"/>
                <w:b/>
                <w:sz w:val="30"/>
                <w:szCs w:val="30"/>
              </w:rPr>
              <w:t>信息来源</w:t>
            </w:r>
          </w:p>
        </w:tc>
        <w:tc>
          <w:tcPr>
            <w:tcW w:w="2409"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30"/>
                <w:szCs w:val="30"/>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8" w:hRule="atLeast"/>
        </w:trPr>
        <w:tc>
          <w:tcPr>
            <w:tcW w:w="2127" w:type="dxa"/>
            <w:tcBorders>
              <w:bottom w:val="single" w:color="auto" w:sz="4" w:space="0"/>
            </w:tcBorders>
            <w:vAlign w:val="center"/>
          </w:tcPr>
          <w:p>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rPr>
              <w:t>来源：</w:t>
            </w:r>
            <w:r>
              <w:rPr>
                <w:rFonts w:hint="eastAsia"/>
                <w:sz w:val="28"/>
                <w:szCs w:val="28"/>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 xml:space="preserve">   关键词</w:t>
            </w:r>
            <w:r>
              <w:rPr>
                <w:rFonts w:hint="eastAsia"/>
                <w:b/>
                <w:sz w:val="30"/>
                <w:szCs w:val="30"/>
              </w:rPr>
              <w:tab/>
            </w:r>
            <w:r>
              <w:rPr>
                <w:rFonts w:hint="eastAsia"/>
                <w:b/>
                <w:sz w:val="30"/>
                <w:szCs w:val="30"/>
              </w:rPr>
              <w:t>药政重点 二票制</w:t>
            </w:r>
          </w:p>
        </w:tc>
        <w:tc>
          <w:tcPr>
            <w:tcW w:w="6662" w:type="dxa"/>
            <w:gridSpan w:val="4"/>
            <w:tcBorders>
              <w:top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sz w:val="28"/>
                <w:szCs w:val="28"/>
              </w:rPr>
              <w:t>DTP  规模  模式  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内容概要</w:t>
            </w:r>
          </w:p>
        </w:tc>
        <w:tc>
          <w:tcPr>
            <w:tcW w:w="6662" w:type="dxa"/>
            <w:gridSpan w:val="4"/>
            <w:vAlign w:val="center"/>
          </w:tcPr>
          <w:p>
            <w:pPr>
              <w:rPr>
                <w:rFonts w:cs="宋体" w:asciiTheme="minorEastAsia" w:hAnsiTheme="minorEastAsia" w:eastAsiaTheme="minorEastAsia"/>
                <w:kern w:val="0"/>
                <w:sz w:val="28"/>
                <w:szCs w:val="28"/>
              </w:rPr>
            </w:pPr>
          </w:p>
          <w:p>
            <w:pPr>
              <w:rPr>
                <w:rFonts w:cs="宋体" w:asciiTheme="minorEastAsia" w:hAnsiTheme="minorEastAsia" w:eastAsiaTheme="minorEastAsia"/>
                <w:kern w:val="0"/>
                <w:sz w:val="28"/>
                <w:szCs w:val="28"/>
              </w:rPr>
            </w:pPr>
          </w:p>
          <w:p>
            <w:pPr>
              <w:ind w:firstLine="620" w:firstLineChars="200"/>
              <w:rPr>
                <w:rFonts w:cs="宋体" w:asciiTheme="minorEastAsia" w:hAnsiTheme="minorEastAsia"/>
                <w:bCs/>
                <w:color w:val="333333"/>
                <w:spacing w:val="15"/>
                <w:kern w:val="0"/>
                <w:sz w:val="28"/>
                <w:szCs w:val="28"/>
              </w:rPr>
            </w:pPr>
            <w:r>
              <w:rPr>
                <w:rFonts w:hint="eastAsia" w:cs="宋体" w:asciiTheme="minorEastAsia" w:hAnsiTheme="minorEastAsia"/>
                <w:bCs/>
                <w:color w:val="333333"/>
                <w:spacing w:val="15"/>
                <w:kern w:val="0"/>
                <w:sz w:val="28"/>
                <w:szCs w:val="28"/>
              </w:rPr>
              <w:t>一、《第一药店财智》综合柳药集团、鹭燕医药、达嘉维康2022年上半年财报对比分析DTP业务表现</w:t>
            </w:r>
          </w:p>
          <w:p>
            <w:pPr>
              <w:ind w:firstLine="620" w:firstLineChars="200"/>
              <w:rPr>
                <w:rFonts w:cs="宋体" w:asciiTheme="minorEastAsia" w:hAnsiTheme="minorEastAsia"/>
                <w:bCs/>
                <w:color w:val="333333"/>
                <w:spacing w:val="15"/>
                <w:kern w:val="0"/>
                <w:sz w:val="28"/>
                <w:szCs w:val="28"/>
              </w:rPr>
            </w:pPr>
            <w:r>
              <w:rPr>
                <w:rFonts w:hint="eastAsia" w:cs="宋体" w:asciiTheme="minorEastAsia" w:hAnsiTheme="minorEastAsia"/>
                <w:bCs/>
                <w:color w:val="333333"/>
                <w:spacing w:val="15"/>
                <w:kern w:val="0"/>
                <w:sz w:val="28"/>
                <w:szCs w:val="28"/>
              </w:rPr>
              <w:t>二、分析DTP药房现状</w:t>
            </w:r>
          </w:p>
          <w:p>
            <w:pPr>
              <w:ind w:firstLine="620" w:firstLineChars="200"/>
              <w:rPr>
                <w:rFonts w:cs="宋体" w:asciiTheme="minorEastAsia" w:hAnsiTheme="minorEastAsia"/>
                <w:bCs/>
                <w:color w:val="333333"/>
                <w:spacing w:val="15"/>
                <w:kern w:val="0"/>
                <w:sz w:val="28"/>
                <w:szCs w:val="28"/>
              </w:rPr>
            </w:pPr>
            <w:r>
              <w:rPr>
                <w:rFonts w:hint="eastAsia" w:cs="宋体" w:asciiTheme="minorEastAsia" w:hAnsiTheme="minorEastAsia"/>
                <w:bCs/>
                <w:color w:val="333333"/>
                <w:spacing w:val="15"/>
                <w:kern w:val="0"/>
                <w:sz w:val="28"/>
                <w:szCs w:val="28"/>
              </w:rPr>
              <w:t>三、DTP药房经营需具备的核心能力</w:t>
            </w:r>
          </w:p>
          <w:p>
            <w:pPr>
              <w:ind w:firstLine="620" w:firstLineChars="200"/>
              <w:rPr>
                <w:rFonts w:cs="宋体" w:asciiTheme="minorEastAsia" w:hAnsiTheme="minorEastAsia"/>
                <w:bCs/>
                <w:color w:val="333333"/>
                <w:spacing w:val="15"/>
                <w:kern w:val="0"/>
                <w:sz w:val="28"/>
                <w:szCs w:val="28"/>
              </w:rPr>
            </w:pPr>
            <w:r>
              <w:rPr>
                <w:rFonts w:hint="eastAsia" w:cs="宋体" w:asciiTheme="minorEastAsia" w:hAnsiTheme="minorEastAsia"/>
                <w:bCs/>
                <w:color w:val="333333"/>
                <w:spacing w:val="15"/>
                <w:kern w:val="0"/>
                <w:sz w:val="28"/>
                <w:szCs w:val="28"/>
              </w:rPr>
              <w:t>四、DTP市场规模展望</w:t>
            </w:r>
          </w:p>
          <w:p>
            <w:pPr>
              <w:rPr>
                <w:rFonts w:ascii="宋体" w:hAnsi="宋体" w:cs="宋体"/>
                <w:kern w:val="0"/>
                <w:sz w:val="28"/>
                <w:szCs w:val="28"/>
              </w:rPr>
            </w:pPr>
          </w:p>
          <w:p>
            <w:pPr>
              <w:rPr>
                <w:rFonts w:ascii="宋体" w:hAnsi="宋体" w:cs="宋体"/>
                <w:kern w:val="0"/>
                <w:sz w:val="28"/>
                <w:szCs w:val="28"/>
              </w:rPr>
            </w:pPr>
          </w:p>
          <w:p>
            <w:pPr>
              <w:rPr>
                <w:rFonts w:ascii="宋体" w:hAnsi="宋体" w:cs="宋体"/>
                <w:kern w:val="0"/>
                <w:sz w:val="28"/>
                <w:szCs w:val="28"/>
              </w:rPr>
            </w:pPr>
          </w:p>
          <w:p>
            <w:pPr>
              <w:rPr>
                <w:rFonts w:ascii="宋体" w:hAnsi="宋体" w:cs="宋体"/>
                <w:kern w:val="0"/>
                <w:sz w:val="28"/>
                <w:szCs w:val="28"/>
              </w:rPr>
            </w:pPr>
          </w:p>
          <w:p>
            <w:pPr>
              <w:rPr>
                <w:rFonts w:ascii="宋体" w:hAnsi="宋体" w:cs="宋体"/>
                <w:kern w:val="0"/>
                <w:sz w:val="28"/>
                <w:szCs w:val="28"/>
              </w:rPr>
            </w:pPr>
          </w:p>
          <w:p>
            <w:pPr>
              <w:rPr>
                <w:rFonts w:ascii="宋体" w:hAnsi="宋体" w:cs="宋体"/>
                <w:kern w:val="0"/>
                <w:sz w:val="28"/>
                <w:szCs w:val="28"/>
              </w:rPr>
            </w:pPr>
          </w:p>
          <w:p>
            <w:pPr>
              <w:rPr>
                <w:szCs w:val="21"/>
              </w:rPr>
            </w:pPr>
            <w:r>
              <w:rPr>
                <w:rFonts w:hint="eastAsia" w:ascii="宋体" w:hAnsi="宋体" w:cs="宋体"/>
                <w:kern w:val="0"/>
                <w:szCs w:val="21"/>
              </w:rPr>
              <w:t>附件4：上市连锁发起冲锋，剑指专业药房</w:t>
            </w:r>
          </w:p>
        </w:tc>
      </w:tr>
    </w:tbl>
    <w:tbl>
      <w:tblPr>
        <w:tblStyle w:val="10"/>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1"/>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rPr>
                <w:b/>
                <w:bCs/>
                <w:sz w:val="32"/>
                <w:szCs w:val="32"/>
              </w:rPr>
            </w:pPr>
            <w:r>
              <w:rPr>
                <w:rFonts w:hint="eastAsia"/>
                <w:b/>
                <w:sz w:val="32"/>
                <w:szCs w:val="32"/>
              </w:rPr>
              <w:t>25亿！益丰大动作：新增3900家门店、建设物流中心…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rPr>
                <w:sz w:val="30"/>
                <w:szCs w:val="30"/>
              </w:rP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30"/>
                <w:szCs w:val="30"/>
              </w:rPr>
            </w:pPr>
            <w:r>
              <w:rPr>
                <w:rFonts w:asciiTheme="minorEastAsia" w:hAnsiTheme="minorEastAsia" w:eastAsiaTheme="minorEastAsia"/>
                <w:sz w:val="30"/>
                <w:szCs w:val="30"/>
              </w:rPr>
              <w:t>202</w:t>
            </w:r>
            <w:r>
              <w:rPr>
                <w:rFonts w:hint="eastAsia" w:asciiTheme="minorEastAsia" w:hAnsiTheme="minorEastAsia" w:eastAsiaTheme="minorEastAsia"/>
                <w:sz w:val="30"/>
                <w:szCs w:val="30"/>
              </w:rPr>
              <w:t>2</w:t>
            </w:r>
            <w:r>
              <w:rPr>
                <w:rFonts w:asciiTheme="minorEastAsia" w:hAnsiTheme="minorEastAsia" w:eastAsiaTheme="minorEastAsia"/>
                <w:sz w:val="30"/>
                <w:szCs w:val="30"/>
              </w:rPr>
              <w:t>-</w:t>
            </w:r>
            <w:r>
              <w:rPr>
                <w:rFonts w:hint="eastAsia" w:asciiTheme="minorEastAsia" w:hAnsiTheme="minorEastAsia" w:eastAsiaTheme="minorEastAsia"/>
                <w:sz w:val="30"/>
                <w:szCs w:val="30"/>
              </w:rPr>
              <w:t>8</w:t>
            </w:r>
            <w:r>
              <w:rPr>
                <w:rFonts w:asciiTheme="minorEastAsia" w:hAnsiTheme="minorEastAsia" w:eastAsiaTheme="minorEastAsia"/>
                <w:sz w:val="30"/>
                <w:szCs w:val="30"/>
              </w:rPr>
              <w:t>-</w:t>
            </w:r>
            <w:r>
              <w:rPr>
                <w:rFonts w:hint="eastAsia" w:asciiTheme="minorEastAsia" w:hAnsiTheme="minorEastAsia" w:eastAsiaTheme="minorEastAsia"/>
                <w:sz w:val="30"/>
                <w:szCs w:val="30"/>
              </w:rPr>
              <w:t>11</w:t>
            </w:r>
          </w:p>
        </w:tc>
        <w:tc>
          <w:tcPr>
            <w:tcW w:w="2341" w:type="dxa"/>
            <w:vAlign w:val="center"/>
          </w:tcPr>
          <w:p>
            <w:pPr>
              <w:tabs>
                <w:tab w:val="left" w:pos="7088"/>
              </w:tabs>
              <w:jc w:val="center"/>
              <w:rPr>
                <w:b/>
                <w:sz w:val="30"/>
                <w:szCs w:val="30"/>
              </w:rPr>
            </w:pPr>
            <w:r>
              <w:rPr>
                <w:rFonts w:hint="eastAsia"/>
                <w:b/>
                <w:sz w:val="30"/>
                <w:szCs w:val="30"/>
              </w:rPr>
              <w:t>信息来源</w:t>
            </w:r>
          </w:p>
        </w:tc>
        <w:tc>
          <w:tcPr>
            <w:tcW w:w="2195" w:type="dxa"/>
            <w:vAlign w:val="center"/>
          </w:tcPr>
          <w:p>
            <w:pPr>
              <w:tabs>
                <w:tab w:val="left" w:pos="7088"/>
              </w:tabs>
              <w:jc w:val="center"/>
              <w:rPr>
                <w:sz w:val="28"/>
                <w:szCs w:val="28"/>
              </w:rPr>
            </w:pPr>
            <w:r>
              <w:rPr>
                <w:rFonts w:hint="eastAsia"/>
                <w:sz w:val="28"/>
                <w:szCs w:val="28"/>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30"/>
                <w:szCs w:val="30"/>
              </w:rPr>
            </w:pPr>
            <w:r>
              <w:rPr>
                <w:rFonts w:hint="eastAsia"/>
                <w:b/>
                <w:sz w:val="30"/>
                <w:szCs w:val="30"/>
              </w:rPr>
              <w:t>信息确认</w:t>
            </w:r>
          </w:p>
        </w:tc>
        <w:tc>
          <w:tcPr>
            <w:tcW w:w="2195" w:type="dxa"/>
            <w:vAlign w:val="center"/>
          </w:tcPr>
          <w:p>
            <w:pPr>
              <w:tabs>
                <w:tab w:val="left" w:pos="7088"/>
              </w:tabs>
              <w:jc w:val="center"/>
              <w:rPr>
                <w:sz w:val="30"/>
                <w:szCs w:val="30"/>
              </w:rPr>
            </w:pPr>
            <w:r>
              <w:rPr>
                <w:rFonts w:hint="eastAsia"/>
                <w:sz w:val="30"/>
                <w:szCs w:val="30"/>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28"/>
                <w:szCs w:val="28"/>
              </w:rPr>
            </w:pPr>
            <w:r>
              <w:rPr>
                <w:rFonts w:hint="eastAsia"/>
                <w:sz w:val="28"/>
                <w:szCs w:val="28"/>
              </w:rPr>
              <w:t>来源：第一药店财智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asciiTheme="minorEastAsia" w:hAnsiTheme="minorEastAsia"/>
                <w:sz w:val="28"/>
                <w:szCs w:val="28"/>
                <w:shd w:val="clear" w:color="auto" w:fill="FFFFFF"/>
              </w:rPr>
              <w:t>规划</w:t>
            </w:r>
            <w:r>
              <w:rPr>
                <w:rFonts w:hint="eastAsia" w:cs="宋体" w:asciiTheme="majorEastAsia" w:hAnsiTheme="majorEastAsia" w:eastAsiaTheme="majorEastAsia"/>
                <w:kern w:val="0"/>
                <w:sz w:val="30"/>
                <w:szCs w:val="30"/>
              </w:rPr>
              <w:t xml:space="preserve">  </w:t>
            </w:r>
            <w:r>
              <w:rPr>
                <w:rFonts w:hint="eastAsia" w:asciiTheme="minorEastAsia" w:hAnsiTheme="minorEastAsia"/>
                <w:sz w:val="28"/>
                <w:szCs w:val="28"/>
                <w:shd w:val="clear" w:color="auto" w:fill="FFFFFF"/>
              </w:rPr>
              <w:t>扩张</w:t>
            </w:r>
            <w:r>
              <w:rPr>
                <w:rFonts w:hint="eastAsia" w:cs="宋体" w:asciiTheme="majorEastAsia" w:hAnsiTheme="majorEastAsia" w:eastAsiaTheme="majorEastAsia"/>
                <w:kern w:val="0"/>
                <w:sz w:val="30"/>
                <w:szCs w:val="30"/>
              </w:rPr>
              <w:t xml:space="preserve">  </w:t>
            </w:r>
            <w:r>
              <w:rPr>
                <w:rFonts w:hint="eastAsia" w:asciiTheme="minorEastAsia" w:hAnsiTheme="minorEastAsia"/>
                <w:sz w:val="28"/>
                <w:szCs w:val="28"/>
                <w:shd w:val="clear" w:color="auto" w:fill="FFFFFF"/>
              </w:rPr>
              <w:t>配送网络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rPr>
                <w:rFonts w:asciiTheme="minorEastAsia" w:hAnsiTheme="minorEastAsia"/>
                <w:sz w:val="28"/>
                <w:szCs w:val="28"/>
              </w:rPr>
            </w:pPr>
          </w:p>
          <w:p>
            <w:pPr>
              <w:rPr>
                <w:rFonts w:asciiTheme="minorEastAsia" w:hAnsiTheme="minorEastAsia"/>
                <w:sz w:val="28"/>
                <w:szCs w:val="28"/>
              </w:rPr>
            </w:pPr>
          </w:p>
          <w:p>
            <w:pPr>
              <w:ind w:firstLine="560" w:firstLineChars="200"/>
              <w:rPr>
                <w:rFonts w:asciiTheme="minorEastAsia" w:hAnsiTheme="minorEastAsia"/>
                <w:sz w:val="28"/>
                <w:szCs w:val="28"/>
              </w:rPr>
            </w:pPr>
            <w:r>
              <w:rPr>
                <w:rFonts w:hint="eastAsia" w:asciiTheme="minorEastAsia" w:hAnsiTheme="minorEastAsia"/>
                <w:sz w:val="28"/>
                <w:szCs w:val="28"/>
              </w:rPr>
              <w:t>8月10日晚间，益丰大药房连锁股份有限公司（下简称“益丰药房”）发布公告，拟发行可转债募集资金总额不超过25.47亿元，扣除发行费用后用于江苏二期、湖北及河北物流中心建设项目、益丰数字化平台升级项目、新建连锁药店项目、补充流动资金项目。</w:t>
            </w:r>
          </w:p>
          <w:p>
            <w:pPr>
              <w:ind w:firstLine="560" w:firstLineChars="200"/>
              <w:rPr>
                <w:rFonts w:asciiTheme="minorEastAsia" w:hAnsiTheme="minorEastAsia"/>
                <w:sz w:val="28"/>
                <w:szCs w:val="28"/>
              </w:rPr>
            </w:pPr>
            <w:r>
              <w:rPr>
                <w:rFonts w:hint="eastAsia" w:asciiTheme="minorEastAsia" w:hAnsiTheme="minorEastAsia"/>
                <w:sz w:val="28"/>
                <w:szCs w:val="28"/>
              </w:rPr>
              <w:t>1、3年计划新增3900家店</w:t>
            </w:r>
          </w:p>
          <w:p>
            <w:pPr>
              <w:ind w:firstLine="560" w:firstLineChars="200"/>
              <w:rPr>
                <w:rFonts w:asciiTheme="minorEastAsia" w:hAnsiTheme="minorEastAsia"/>
                <w:sz w:val="28"/>
                <w:szCs w:val="28"/>
              </w:rPr>
            </w:pPr>
            <w:r>
              <w:rPr>
                <w:rFonts w:hint="eastAsia" w:asciiTheme="minorEastAsia" w:hAnsiTheme="minorEastAsia"/>
                <w:sz w:val="28"/>
                <w:szCs w:val="28"/>
              </w:rPr>
              <w:t>2、升级物流仓储配送网络</w:t>
            </w: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Cs w:val="21"/>
              </w:rPr>
            </w:pPr>
          </w:p>
          <w:p>
            <w:pPr>
              <w:spacing w:line="400" w:lineRule="exact"/>
              <w:rPr>
                <w:b/>
                <w:sz w:val="32"/>
                <w:szCs w:val="32"/>
              </w:rPr>
            </w:pPr>
            <w:r>
              <w:rPr>
                <w:rFonts w:hint="eastAsia" w:ascii="宋体" w:hAnsi="宋体" w:cs="宋体"/>
                <w:kern w:val="0"/>
                <w:szCs w:val="21"/>
              </w:rPr>
              <w:t>附件5:</w:t>
            </w:r>
            <w:r>
              <w:rPr>
                <w:rFonts w:hint="eastAsia" w:ascii="宋体" w:hAnsi="宋体" w:cs="宋体"/>
                <w:b/>
                <w:kern w:val="0"/>
                <w:szCs w:val="21"/>
              </w:rPr>
              <w:t xml:space="preserve"> </w:t>
            </w:r>
            <w:r>
              <w:rPr>
                <w:rFonts w:hint="eastAsia"/>
              </w:rPr>
              <w:t>25亿！益丰大动作：新增3900家门店、建设物流中心…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96" w:type="dxa"/>
            <w:vAlign w:val="center"/>
          </w:tcPr>
          <w:p>
            <w:pPr>
              <w:tabs>
                <w:tab w:val="left" w:pos="7088"/>
              </w:tabs>
              <w:jc w:val="center"/>
              <w:rPr>
                <w:b/>
                <w:sz w:val="30"/>
                <w:szCs w:val="30"/>
              </w:rPr>
            </w:pPr>
            <w:r>
              <w:rPr>
                <w:rFonts w:hint="eastAsia"/>
                <w:b/>
                <w:sz w:val="30"/>
                <w:szCs w:val="30"/>
              </w:rPr>
              <w:t>信息06</w:t>
            </w:r>
          </w:p>
        </w:tc>
        <w:tc>
          <w:tcPr>
            <w:tcW w:w="6877" w:type="dxa"/>
            <w:gridSpan w:val="3"/>
            <w:vAlign w:val="center"/>
          </w:tcPr>
          <w:p>
            <w:pPr>
              <w:rPr>
                <w:b/>
                <w:bCs/>
                <w:sz w:val="32"/>
                <w:szCs w:val="32"/>
              </w:rPr>
            </w:pPr>
            <w:r>
              <w:rPr>
                <w:rFonts w:hint="eastAsia"/>
                <w:b/>
                <w:sz w:val="32"/>
                <w:szCs w:val="32"/>
              </w:rPr>
              <w:t>中国零售药店市场数据分析（1-6月）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rPr>
                <w:sz w:val="30"/>
                <w:szCs w:val="30"/>
              </w:rP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30"/>
                <w:szCs w:val="30"/>
              </w:rPr>
            </w:pPr>
            <w:r>
              <w:rPr>
                <w:rFonts w:asciiTheme="minorEastAsia" w:hAnsiTheme="minorEastAsia" w:eastAsiaTheme="minorEastAsia"/>
                <w:sz w:val="30"/>
                <w:szCs w:val="30"/>
              </w:rPr>
              <w:t>202</w:t>
            </w:r>
            <w:r>
              <w:rPr>
                <w:rFonts w:hint="eastAsia" w:asciiTheme="minorEastAsia" w:hAnsiTheme="minorEastAsia" w:eastAsiaTheme="minorEastAsia"/>
                <w:sz w:val="30"/>
                <w:szCs w:val="30"/>
              </w:rPr>
              <w:t>2</w:t>
            </w:r>
            <w:r>
              <w:rPr>
                <w:rFonts w:asciiTheme="minorEastAsia" w:hAnsiTheme="minorEastAsia" w:eastAsiaTheme="minorEastAsia"/>
                <w:sz w:val="30"/>
                <w:szCs w:val="30"/>
              </w:rPr>
              <w:t>-</w:t>
            </w:r>
            <w:r>
              <w:rPr>
                <w:rFonts w:hint="eastAsia" w:asciiTheme="minorEastAsia" w:hAnsiTheme="minorEastAsia" w:eastAsiaTheme="minorEastAsia"/>
                <w:sz w:val="30"/>
                <w:szCs w:val="30"/>
              </w:rPr>
              <w:t>8</w:t>
            </w:r>
            <w:r>
              <w:rPr>
                <w:rFonts w:asciiTheme="minorEastAsia" w:hAnsiTheme="minorEastAsia" w:eastAsiaTheme="minorEastAsia"/>
                <w:sz w:val="30"/>
                <w:szCs w:val="30"/>
              </w:rPr>
              <w:t>-</w:t>
            </w:r>
            <w:r>
              <w:rPr>
                <w:rFonts w:hint="eastAsia" w:asciiTheme="minorEastAsia" w:hAnsiTheme="minorEastAsia" w:eastAsiaTheme="minorEastAsia"/>
                <w:sz w:val="30"/>
                <w:szCs w:val="30"/>
              </w:rPr>
              <w:t>19</w:t>
            </w:r>
          </w:p>
        </w:tc>
        <w:tc>
          <w:tcPr>
            <w:tcW w:w="2341" w:type="dxa"/>
            <w:vAlign w:val="center"/>
          </w:tcPr>
          <w:p>
            <w:pPr>
              <w:tabs>
                <w:tab w:val="left" w:pos="7088"/>
              </w:tabs>
              <w:jc w:val="center"/>
              <w:rPr>
                <w:b/>
                <w:sz w:val="30"/>
                <w:szCs w:val="30"/>
              </w:rPr>
            </w:pPr>
            <w:r>
              <w:rPr>
                <w:rFonts w:hint="eastAsia"/>
                <w:b/>
                <w:sz w:val="30"/>
                <w:szCs w:val="30"/>
              </w:rPr>
              <w:t>信息来源</w:t>
            </w:r>
          </w:p>
        </w:tc>
        <w:tc>
          <w:tcPr>
            <w:tcW w:w="2195" w:type="dxa"/>
            <w:vAlign w:val="center"/>
          </w:tcPr>
          <w:p>
            <w:pPr>
              <w:tabs>
                <w:tab w:val="left" w:pos="7088"/>
              </w:tabs>
              <w:jc w:val="center"/>
              <w:rPr>
                <w:sz w:val="28"/>
                <w:szCs w:val="28"/>
              </w:rPr>
            </w:pPr>
            <w:r>
              <w:rPr>
                <w:rFonts w:hint="eastAsia"/>
                <w:sz w:val="28"/>
                <w:szCs w:val="28"/>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30"/>
                <w:szCs w:val="30"/>
              </w:rPr>
            </w:pPr>
            <w:r>
              <w:rPr>
                <w:rFonts w:hint="eastAsia"/>
                <w:b/>
                <w:sz w:val="30"/>
                <w:szCs w:val="30"/>
              </w:rPr>
              <w:t>信息确认</w:t>
            </w:r>
          </w:p>
        </w:tc>
        <w:tc>
          <w:tcPr>
            <w:tcW w:w="2195" w:type="dxa"/>
            <w:vAlign w:val="center"/>
          </w:tcPr>
          <w:p>
            <w:pPr>
              <w:tabs>
                <w:tab w:val="left" w:pos="7088"/>
              </w:tabs>
              <w:jc w:val="center"/>
              <w:rPr>
                <w:sz w:val="30"/>
                <w:szCs w:val="30"/>
              </w:rPr>
            </w:pPr>
            <w:r>
              <w:rPr>
                <w:rFonts w:hint="eastAsia"/>
                <w:sz w:val="30"/>
                <w:szCs w:val="30"/>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28"/>
                <w:szCs w:val="28"/>
              </w:rPr>
            </w:pPr>
            <w:r>
              <w:rPr>
                <w:rFonts w:hint="eastAsia"/>
                <w:sz w:val="28"/>
                <w:szCs w:val="28"/>
              </w:rPr>
              <w:t>来源：第一药店财智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asciiTheme="minorEastAsia" w:hAnsiTheme="minorEastAsia"/>
                <w:sz w:val="28"/>
                <w:szCs w:val="28"/>
                <w:shd w:val="clear" w:color="auto" w:fill="FFFFFF"/>
              </w:rPr>
              <w:t>零售药店</w:t>
            </w:r>
            <w:r>
              <w:rPr>
                <w:rFonts w:hint="eastAsia" w:cs="宋体" w:asciiTheme="majorEastAsia" w:hAnsiTheme="majorEastAsia" w:eastAsiaTheme="majorEastAsia"/>
                <w:kern w:val="0"/>
                <w:sz w:val="30"/>
                <w:szCs w:val="30"/>
              </w:rPr>
              <w:t xml:space="preserve">  </w:t>
            </w:r>
            <w:r>
              <w:rPr>
                <w:rFonts w:hint="eastAsia" w:asciiTheme="minorEastAsia" w:hAnsiTheme="minorEastAsia"/>
                <w:sz w:val="28"/>
                <w:szCs w:val="28"/>
                <w:shd w:val="clear" w:color="auto" w:fill="FFFFFF"/>
              </w:rPr>
              <w:t>市场</w:t>
            </w:r>
            <w:r>
              <w:rPr>
                <w:rFonts w:hint="eastAsia" w:cs="宋体" w:asciiTheme="majorEastAsia" w:hAnsiTheme="majorEastAsia" w:eastAsiaTheme="majorEastAsia"/>
                <w:kern w:val="0"/>
                <w:sz w:val="30"/>
                <w:szCs w:val="30"/>
              </w:rPr>
              <w:t xml:space="preserve">  </w:t>
            </w:r>
            <w:r>
              <w:rPr>
                <w:rFonts w:hint="eastAsia" w:asciiTheme="minorEastAsia" w:hAnsiTheme="minorEastAsia"/>
                <w:sz w:val="28"/>
                <w:szCs w:val="28"/>
                <w:shd w:val="clear" w:color="auto" w:fill="FFFFFF"/>
              </w:rPr>
              <w:t>增速  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rPr>
                <w:rFonts w:asciiTheme="minorEastAsia" w:hAnsiTheme="minorEastAsia"/>
                <w:sz w:val="28"/>
                <w:szCs w:val="28"/>
              </w:rPr>
            </w:pPr>
          </w:p>
          <w:p>
            <w:pPr>
              <w:rPr>
                <w:rFonts w:asciiTheme="minorEastAsia" w:hAnsiTheme="minorEastAsia"/>
                <w:sz w:val="28"/>
                <w:szCs w:val="28"/>
              </w:rPr>
            </w:pPr>
          </w:p>
          <w:p>
            <w:pPr>
              <w:ind w:firstLine="560" w:firstLineChars="200"/>
              <w:rPr>
                <w:rFonts w:asciiTheme="minorEastAsia" w:hAnsiTheme="minorEastAsia"/>
                <w:sz w:val="28"/>
                <w:szCs w:val="28"/>
              </w:rPr>
            </w:pPr>
            <w:r>
              <w:rPr>
                <w:rFonts w:hint="eastAsia" w:asciiTheme="minorEastAsia" w:hAnsiTheme="minorEastAsia"/>
                <w:sz w:val="28"/>
                <w:szCs w:val="28"/>
              </w:rPr>
              <w:t>近日，中康CMH《中国零售药店市场分析（上半年数据）》（下称《上半年零售市场分析》）新鲜出炉，《第一药店财智》梳理发现，多项数据表现可圈可点。数据背后所揭示的市场动态，对药店发展极具参考意义。</w:t>
            </w: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Cs w:val="21"/>
              </w:rPr>
            </w:pPr>
          </w:p>
          <w:p>
            <w:pPr>
              <w:spacing w:line="400" w:lineRule="exact"/>
              <w:rPr>
                <w:b/>
                <w:sz w:val="32"/>
                <w:szCs w:val="32"/>
              </w:rPr>
            </w:pPr>
            <w:r>
              <w:rPr>
                <w:rFonts w:hint="eastAsia" w:ascii="宋体" w:hAnsi="宋体" w:cs="宋体"/>
                <w:kern w:val="0"/>
                <w:szCs w:val="21"/>
              </w:rPr>
              <w:t>附件6:</w:t>
            </w:r>
            <w:r>
              <w:rPr>
                <w:rFonts w:hint="eastAsia" w:ascii="宋体" w:hAnsi="宋体" w:cs="宋体"/>
                <w:b/>
                <w:kern w:val="0"/>
                <w:szCs w:val="21"/>
              </w:rPr>
              <w:t xml:space="preserve"> </w:t>
            </w:r>
            <w:r>
              <w:rPr>
                <w:rFonts w:hint="eastAsia"/>
              </w:rPr>
              <w:t>中国零售药店市场数据分析（1-6月）</w:t>
            </w:r>
          </w:p>
        </w:tc>
      </w:tr>
    </w:tbl>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附件1</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刚刚！国家医保局发文，「最难」集采将开始</w:t>
      </w:r>
    </w:p>
    <w:p>
      <w:pPr>
        <w:jc w:val="left"/>
      </w:pPr>
    </w:p>
    <w:p>
      <w:pPr>
        <w:jc w:val="left"/>
      </w:pPr>
      <w:r>
        <w:rPr>
          <w:rFonts w:hint="eastAsia"/>
        </w:rPr>
        <w:t>原创 郑瑶 汪艺 罗春昊  赛柏蓝  2022-08-18</w:t>
      </w:r>
    </w:p>
    <w:p>
      <w:pPr>
        <w:jc w:val="left"/>
        <w:rPr>
          <w:rStyle w:val="12"/>
          <w:rFonts w:cs="Helvetica" w:asciiTheme="minorEastAsia" w:hAnsiTheme="minorEastAsia"/>
          <w:b w:val="0"/>
          <w:spacing w:val="15"/>
          <w:sz w:val="28"/>
          <w:szCs w:val="28"/>
        </w:rPr>
      </w:pPr>
    </w:p>
    <w:p>
      <w:pPr>
        <w:widowControl/>
        <w:shd w:val="clear" w:color="auto" w:fill="FFFFFF"/>
        <w:spacing w:line="384" w:lineRule="atLeast"/>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Helvetica"/>
          <w:b/>
          <w:bCs/>
          <w:i/>
          <w:iCs/>
          <w:color w:val="000000"/>
          <w:spacing w:val="30"/>
          <w:kern w:val="0"/>
          <w:sz w:val="30"/>
          <w:szCs w:val="30"/>
          <w:u w:val="single"/>
        </w:rPr>
        <w:t>01</w:t>
      </w:r>
      <w:r>
        <w:rPr>
          <w:rFonts w:hint="eastAsia" w:ascii="微软雅黑" w:hAnsi="微软雅黑" w:eastAsia="微软雅黑" w:cs="宋体"/>
          <w:color w:val="333333"/>
          <w:spacing w:val="8"/>
          <w:kern w:val="0"/>
          <w:sz w:val="23"/>
          <w:szCs w:val="23"/>
        </w:rPr>
        <w:t> </w:t>
      </w:r>
    </w:p>
    <w:p>
      <w:pPr>
        <w:widowControl/>
        <w:shd w:val="clear" w:color="auto" w:fill="FFFFFF"/>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1F4ABC"/>
          <w:spacing w:val="8"/>
          <w:kern w:val="0"/>
          <w:sz w:val="30"/>
          <w:szCs w:val="30"/>
        </w:rPr>
        <w:t>种植牙集采将启动，全国各省均参与</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刚刚，国家医保局发布关于《关于开展口腔种植医疗服务收费和耗材价格专项治理的通知（征求意见稿）》（以下简称“《征求意见稿》”）公开征求意见的公告。</w:t>
      </w:r>
    </w:p>
    <w:p>
      <w:pPr>
        <w:jc w:val="center"/>
        <w:rPr>
          <w:rStyle w:val="12"/>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4723765" cy="1932305"/>
            <wp:effectExtent l="0" t="0" r="635" b="0"/>
            <wp:docPr id="2" name="图片 2" descr="C:\Users\Administrator\Documents\WeChat Files\ppdeboke\FileStorage\Temp\12fd2c36c8a27a0e9fa73bd49cf82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ppdeboke\FileStorage\Temp\12fd2c36c8a27a0e9fa73bd49cf82af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37912" cy="1937952"/>
                    </a:xfrm>
                    <a:prstGeom prst="rect">
                      <a:avLst/>
                    </a:prstGeom>
                    <a:noFill/>
                    <a:ln>
                      <a:noFill/>
                    </a:ln>
                  </pic:spPr>
                </pic:pic>
              </a:graphicData>
            </a:graphic>
          </wp:inline>
        </w:drawing>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《征求意见稿》明确，由四川省医保局牵头组建种植牙耗材省际采购联盟，各省份均应参加。具体的采购方案由四川省医保局会同各联盟省份医保局部门制定并组织实施。</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今年的2月11日，国务院政策例行吹风会传出种植牙集采消息，现在方案基本成熟。</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有专家分析指出，种植牙集采形式上是四川牵头的省际采购联盟，但是由于各省份均应参加，实际上相当于国采，其进一步对赛柏蓝表示，预计种植牙集采不久后就将启动。</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值得注意的是，国家医保局副局长陈金甫曾表示，实际上国家组织集采，就是地方联盟集采。</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省级联盟应该说是集中采购的主体。在这个基础上，对一些大品种、对一些探索集中带量采购改革比较困难的领域，采取了国家组织省级联盟的形式，这个招标叫做'国家组织、联盟采购、平台操作'。联盟招采是一个主体，就是省级联盟。国家代表全国省级联盟，组织对某些品种开展采购，药品由上海药事所进行操作，耗材由天津医药采购中心进行操作，实际上联盟主体还是省。”</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根据《征求意见稿》，集中采购以成套的种植体系统为单元，包含种植体、修复基台，以及覆盖螺丝、愈合基台、转移杆、替代体等配件。</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一直以来，种植牙因为价格高昂，业内不少人称“一口牙抵县城一套房”，如今“天价”种植牙终于迎来集采。</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根据《征求意见稿》，公立医疗机构是本次种植牙耗材集采的主力军，民营医疗机构同样需要参加——各地对辖区内具备种植牙服务能力的医疗机构进行广泛动员，组织公立医疗机构（含军队医疗机构）全部参加种植牙耗材集中采购，全力动员民营医疗机构参加。同时，医疗机构需书面回复参加或不参加本次集采，不参加的要说明原因。</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医疗机构具体参与的比例：原则上各统筹地区参加本次集采的医疗机构数（含民营）占开展种植牙服务医疗机构的比例应达40%以上，或本区域报送需求总量占上年度实际使用总量的比例达50%以上。</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在具体采购量上，国家医保局要求各省参加的公立以及民营医疗机构填报需求量原则上不低于上一年度实际采购量。</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为了更好的实现以价换量，保证供应，《征求意见稿》提出，对开展种植牙服务但拒不报量或报量率不足上年度实际使用量80%的公立医疗机构实行差异化价格政策，其中，种植体植入和牙冠置入手术实行政府指导价管理的地区，上述公立医疗机构实际收费不得超过政府指导价的80%；实行自主定价管理的地区，上述公立医疗机构实际收费不得超过本地区公立医疗机构自主定价平均水平的80%。</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 xml:space="preserve">一直以来，民营医疗机构是种植牙医疗服务的主要提供场所，这也被视为种植牙集采难以开展的原因，因为种植牙一般不涉及医保报销，民营医院很可能没有动力参与种植牙集采。 </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一位民营口腔医院院长对赛柏蓝表示，“种植牙集采，只能说医院有参与度，但没有很大的积极性。”</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他认为原因有三点：第一，一些医院自付盈亏，种植牙集采后，可能会直接影响这些医院的生存；第二，一旦种植牙费用比做根管治疗还便宜，价格诱导下，患者可能要求拔除天然牙换成种植牙，这既不符合医疗原则，也会对患者的健康产生不利影响，再者种植牙里包括牙冠，而牙冠是否进医保就成了一个新问题；第三，集采对国产种植体是个好消息，国产植体的成长也需要一定的时间来检验，而种植治疗属于消费医疗，而对种植体品牌的选择，患者也有自己的想法和需求。</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针对医疗机构参与积极度如何保证的问题，《征求意见稿》给出了解决方案——各地医疗保障部门要以地市为单位建立口腔种植的价格异常警示制度，将价格投诉举报较多、定价明显高于当地平均水平、拒绝或消极参与种植牙集采的各级各类医疗机构列入价格异常警示名单，并每季度在当地医疗保障局官方网站公开通报。年内多次进入警示名单的医疗机构，由省级医疗保障部门集中通报；情节恶劣的，由国家医疗保障局统一曝光。</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在偏市场的集采品类上，医保局也采取了偏市场的处理方法——通过影响患者自主选择的方式让更多医院主动参与集采。因为当患者自动选择价格低的参与集采的医疗机构后，那些未参与集采的医院会面临客流减少的损失，那么，将主动参与集采。</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“对于区域内种植牙集采报量率高、中选产品使用率高、口腔种植费用经济性优势突出、评价排名靠前的民营医疗机构，由各地医疗保障局在官方网站上展示价格和费用情况，为患者提供就医指引。”</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有专家对赛柏蓝分析指出，目前种植牙市场，虽然企业不多，但是欧美日韩以及国内企业齐聚，且国产企业也亟待提高市场占有率；同时种植牙医疗服务的竞争也比较激烈，如果参与集采能给医院和药企提供更多客源和订单，集采通过撬动报量主体和竞价企业的内部竞争，仍然有望获得不错的反馈。</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不过，如果本身的利润空间非常可观，抵抗情绪也不会小。</w:t>
      </w:r>
    </w:p>
    <w:p>
      <w:pPr>
        <w:widowControl/>
        <w:shd w:val="clear" w:color="auto" w:fill="FFFFFF"/>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Helvetica"/>
          <w:b/>
          <w:bCs/>
          <w:i/>
          <w:iCs/>
          <w:color w:val="000000"/>
          <w:spacing w:val="30"/>
          <w:kern w:val="0"/>
          <w:sz w:val="30"/>
          <w:szCs w:val="30"/>
          <w:u w:val="single"/>
        </w:rPr>
        <w:t>02</w:t>
      </w:r>
    </w:p>
    <w:p>
      <w:pPr>
        <w:widowControl/>
        <w:shd w:val="clear" w:color="auto" w:fill="FFFFFF"/>
        <w:ind w:left="240" w:right="24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1F4ABC"/>
          <w:spacing w:val="8"/>
          <w:kern w:val="0"/>
          <w:sz w:val="30"/>
          <w:szCs w:val="30"/>
        </w:rPr>
        <w:t>降价组合拳！种植牙牙冠零差率销售、全面规范服务费...</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除集采之外，为引导种植牙牙冠形成合理价格，《征求意见稿》提出，种植牙牙冠实行挂网采购，公立医疗机构根据临床需求自主选择，并按实际采购价格“零差率”销售。</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对于利润不菲的牙科耗材提出“零差率”销售，对于产业和医疗机构的压力自不待言。</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根据《征求意见稿》，四川医保局将在省内对临床主流的全瓷牙冠组织竞价挂网，通过竞争形成合理市场价格，其他材质参照全瓷冠的价格挂网。</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随后，国家医保局指导其他省份实施价格联动，限价挂网，促进牙冠价格阳光透明。</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对于种植牙的高昂收费，医疗服务费是被诟病最多的一环。</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灼识咨询高级咨询顾问刘宇琪对赛柏蓝表示，“种植牙账单拆解的话，当中有经销商这个环节，大概占到10～25%，这部分很难被拿掉，最后到患者手中，我们看到价格较高，实际上是从医疗服务费用上加来的，医疗服务费占比50～60%。其实，种植牙出厂价本身在整个价格体系里，也就占到20～30%。”</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《征求意见稿》此次对于医疗服务费也提出了系列整顿措施：合并项目收费，实行服务和耗材分开收费，打包进行种植牙全流程价格调控，持续开展口腔种植价格专项调查检查。</w:t>
      </w:r>
    </w:p>
    <w:p>
      <w:pPr>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合并项目收费：</w:t>
      </w:r>
    </w:p>
    <w:p>
      <w:pPr>
        <w:rPr>
          <w:rStyle w:val="12"/>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2075180"/>
            <wp:effectExtent l="0" t="0" r="2540" b="1270"/>
            <wp:docPr id="66" name="图片 66" descr="C:\Users\Administrator\Documents\WeChat Files\ppdeboke\FileStorage\Temp\20b570cf020aa1e32658a4aaac9d1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strator\Documents\WeChat Files\ppdeboke\FileStorage\Temp\20b570cf020aa1e32658a4aaac9d1f9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075722"/>
                    </a:xfrm>
                    <a:prstGeom prst="rect">
                      <a:avLst/>
                    </a:prstGeom>
                    <a:noFill/>
                    <a:ln>
                      <a:noFill/>
                    </a:ln>
                  </pic:spPr>
                </pic:pic>
              </a:graphicData>
            </a:graphic>
          </wp:inline>
        </w:drawing>
      </w:r>
    </w:p>
    <w:p>
      <w:pPr>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实行服务和耗材分开收费：</w:t>
      </w:r>
    </w:p>
    <w:p>
      <w:pPr>
        <w:rPr>
          <w:rStyle w:val="12"/>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1076325"/>
            <wp:effectExtent l="0" t="0" r="2540" b="9525"/>
            <wp:docPr id="4" name="图片 4" descr="C:\Users\Administrator\Documents\WeChat Files\ppdeboke\FileStorage\Temp\8957d0b84a238e28ecc1b86c76d0d3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WeChat Files\ppdeboke\FileStorage\Temp\8957d0b84a238e28ecc1b86c76d0d3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1076917"/>
                    </a:xfrm>
                    <a:prstGeom prst="rect">
                      <a:avLst/>
                    </a:prstGeom>
                    <a:noFill/>
                    <a:ln>
                      <a:noFill/>
                    </a:ln>
                  </pic:spPr>
                </pic:pic>
              </a:graphicData>
            </a:graphic>
          </wp:inline>
        </w:drawing>
      </w:r>
    </w:p>
    <w:p>
      <w:pPr>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进行全流程价格调控：</w:t>
      </w:r>
    </w:p>
    <w:p>
      <w:pPr>
        <w:rPr>
          <w:rStyle w:val="12"/>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1623060"/>
            <wp:effectExtent l="0" t="0" r="2540" b="0"/>
            <wp:docPr id="5" name="图片 5" descr="C:\Users\Administrator\Documents\WeChat Files\ppdeboke\FileStorage\Temp\c5a654fad3a47af6c6d235f26de6e6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ppdeboke\FileStorage\Temp\c5a654fad3a47af6c6d235f26de6e6d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1623130"/>
                    </a:xfrm>
                    <a:prstGeom prst="rect">
                      <a:avLst/>
                    </a:prstGeom>
                    <a:noFill/>
                    <a:ln>
                      <a:noFill/>
                    </a:ln>
                  </pic:spPr>
                </pic:pic>
              </a:graphicData>
            </a:graphic>
          </wp:inline>
        </w:drawing>
      </w:r>
    </w:p>
    <w:p>
      <w:pPr>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从上述规定可以看到，耗材基本在全流程价格中只占到30%。</w:t>
      </w:r>
    </w:p>
    <w:p>
      <w:pPr>
        <w:rPr>
          <w:rStyle w:val="12"/>
          <w:rFonts w:cs="Helvetica" w:asciiTheme="minorEastAsia" w:hAnsiTheme="minorEastAsia"/>
          <w:b w:val="0"/>
          <w:spacing w:val="15"/>
          <w:sz w:val="28"/>
          <w:szCs w:val="28"/>
        </w:rPr>
      </w:pPr>
      <w:r>
        <w:rPr>
          <w:rStyle w:val="12"/>
          <w:rFonts w:cs="Helvetica" w:asciiTheme="minorEastAsia" w:hAnsiTheme="minorEastAsia"/>
          <w:b w:val="0"/>
          <w:spacing w:val="15"/>
          <w:sz w:val="28"/>
          <w:szCs w:val="28"/>
        </w:rPr>
        <w:t xml:space="preserve"> </w:t>
      </w:r>
    </w:p>
    <w:p>
      <w:pPr>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持续开展专项检查：</w:t>
      </w:r>
    </w:p>
    <w:p>
      <w:pPr>
        <w:rPr>
          <w:rStyle w:val="12"/>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2418080"/>
            <wp:effectExtent l="0" t="0" r="2540" b="1270"/>
            <wp:docPr id="67" name="图片 67" descr="C:\Users\Administrator\Documents\WeChat Files\ppdeboke\FileStorage\Temp\dc0389eb20fc5e30409823692b424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strator\Documents\WeChat Files\ppdeboke\FileStorage\Temp\dc0389eb20fc5e30409823692b42485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418613"/>
                    </a:xfrm>
                    <a:prstGeom prst="rect">
                      <a:avLst/>
                    </a:prstGeom>
                    <a:noFill/>
                    <a:ln>
                      <a:noFill/>
                    </a:ln>
                  </pic:spPr>
                </pic:pic>
              </a:graphicData>
            </a:graphic>
          </wp:inline>
        </w:drawing>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业内人士认为，在价格和费用都透明化后，将会直接倒逼医疗机构医疗服务费的下降。</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此前，多地已经探索种植牙集采及医保限价工作，并取得不错的成效。2022年4月，浙江省宁波市发布《种植牙医保限价支付政策“五问五答”》，对“约定品牌的”种植牙的全过程限定国产品牌3000元/颗，进口品牌3500元/颗。</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安徽省蚌埠市则借鉴浙江宁波市经验，种植牙按照种一颗牙齿三级医院不高于2200元、二级医院不高于2000元、一级及以下医院（含口腔门诊）不高于1800元的标准收费。</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经集中议价谈判，种植牙材料（含牙冠、植体一套）费用平均降幅84.17%，最高降幅达89.5%，其中价格最低的种植牙只需950元。</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2021年9月，国家医保局对《关于规范种植牙材料费用，并将其治疗和服务费用纳入医保的建议》给予回复，根据规定，各省（区、市）对眼镜、义齿、义眼等器具均不纳入基本医保支付范围。有条件的地方根据自身经济发展水平和基金承受能力，制定合理的支付标准；充分发挥商业保险的作用，研究探索将牙科项目纳入商务保险支付范围的可行路径。</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国海证券在一份研报中指出，按发达国家渗透率每万人约200颗，价格以目前的50%计算，我国种植牙市场空间可达1060亿元，未来十年种植牙赛道高速增长确定性强。</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30%的耗材开展带量采购，70%的服务部分费用开展综合价格治理，“灵魂砍价之手”已经指向种植牙，很快，千亿口腔赛道将迎来集采的冲击。</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随着种植牙集采的启动在即，业内也再次传出了集采无禁区的声音。</w:t>
      </w: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附件2</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重磅！59个上市申请获批！共计129个受理号获批！</w:t>
      </w:r>
    </w:p>
    <w:p>
      <w:pPr>
        <w:jc w:val="left"/>
      </w:pPr>
    </w:p>
    <w:p>
      <w:pPr>
        <w:jc w:val="left"/>
      </w:pPr>
      <w:r>
        <w:rPr>
          <w:rFonts w:hint="eastAsia"/>
        </w:rPr>
        <w:t>新康界  2022-08-14</w:t>
      </w:r>
    </w:p>
    <w:p>
      <w:pPr>
        <w:jc w:val="left"/>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8月12日，国家药监局批准证明文件待领取信息，59个上市申请获批！共计129个受理号获批！</w:t>
      </w:r>
    </w:p>
    <w:p>
      <w:pPr>
        <w:jc w:val="center"/>
        <w:rPr>
          <w:rStyle w:val="12"/>
          <w:rFonts w:cs="Helvetica" w:asciiTheme="minorEastAsia" w:hAnsiTheme="minorEastAsia"/>
          <w:b w:val="0"/>
          <w:spacing w:val="15"/>
          <w:sz w:val="28"/>
          <w:szCs w:val="28"/>
        </w:rPr>
      </w:pPr>
    </w:p>
    <w:p>
      <w:pPr>
        <w:jc w:val="center"/>
        <w:rPr>
          <w:rStyle w:val="12"/>
          <w:rFonts w:cs="Helvetica" w:asciiTheme="minorEastAsia" w:hAnsiTheme="minorEastAsia"/>
          <w:b w:val="0"/>
          <w:spacing w:val="15"/>
          <w:sz w:val="28"/>
          <w:szCs w:val="28"/>
        </w:rPr>
      </w:pPr>
    </w:p>
    <w:p>
      <w:pPr>
        <w:jc w:val="center"/>
        <w:rPr>
          <w:rStyle w:val="12"/>
          <w:rFonts w:cs="Helvetica" w:asciiTheme="minorEastAsia" w:hAnsiTheme="minorEastAsia"/>
          <w:b w:val="0"/>
          <w:spacing w:val="15"/>
          <w:sz w:val="28"/>
          <w:szCs w:val="28"/>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附件3</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一文读懂｜“十四五”期间医疗器材市场政策环境分析及市场竞争规模前景评估预测</w:t>
      </w:r>
    </w:p>
    <w:p/>
    <w:p>
      <w:pPr>
        <w:jc w:val="left"/>
      </w:pPr>
      <w:r>
        <w:rPr>
          <w:rFonts w:hint="eastAsia"/>
        </w:rPr>
        <w:t xml:space="preserve">原创 陈淑文 陈泽生  医药经济报 </w:t>
      </w:r>
      <w:r>
        <w:t>2022-08-20</w:t>
      </w:r>
    </w:p>
    <w:p>
      <w:pPr>
        <w:jc w:val="left"/>
        <w:rPr>
          <w:rStyle w:val="12"/>
          <w:rFonts w:cs="Helvetica" w:asciiTheme="minorEastAsia" w:hAnsiTheme="minorEastAsia"/>
          <w:b w:val="0"/>
          <w:spacing w:val="15"/>
          <w:sz w:val="28"/>
          <w:szCs w:val="28"/>
        </w:rPr>
      </w:pP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2022年全国医疗器械安全宣传周——“广东省医疗器械高质量发展助力乡村振兴行”活动，于8月18日-19日在梅州兴宁市举办。活动紧扣“安全用械共治共享”主题，汇聚各方智慧和力量，共推广东省医疗器械产业创新和高质量发展，助力梅州兴宁乡村全面振兴。</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本次活动上，汇集了来自政、产、学、研各领域专家对医疗器械高质量发展的精彩观点。以宏观的视角对国家层面、地方层面连接医疗器械行业政策的重点内容进行深度解读，对创新医疗器械的审评审批要点进行盘点，以及对中国医疗器械行业市场现状分析及发展趋势预测等等。</w:t>
      </w:r>
    </w:p>
    <w:p>
      <w:pPr>
        <w:rPr>
          <w:rStyle w:val="12"/>
          <w:rFonts w:cs="Helvetica" w:asciiTheme="minorEastAsia" w:hAnsiTheme="minorEastAsia"/>
          <w:b w:val="0"/>
          <w:spacing w:val="15"/>
          <w:sz w:val="28"/>
          <w:szCs w:val="28"/>
          <w:shd w:val="pct10" w:color="auto" w:fill="FFFFFF"/>
        </w:rPr>
      </w:pPr>
      <w:r>
        <w:rPr>
          <w:rStyle w:val="12"/>
          <w:rFonts w:hint="eastAsia" w:cs="Helvetica" w:asciiTheme="minorEastAsia" w:hAnsiTheme="minorEastAsia"/>
          <w:b w:val="0"/>
          <w:spacing w:val="15"/>
          <w:sz w:val="28"/>
          <w:szCs w:val="28"/>
          <w:shd w:val="pct10" w:color="auto" w:fill="FFFFFF"/>
        </w:rPr>
        <w:t>王昕</w:t>
      </w:r>
    </w:p>
    <w:p>
      <w:pPr>
        <w:rPr>
          <w:rStyle w:val="12"/>
          <w:rFonts w:cs="Helvetica" w:asciiTheme="minorEastAsia" w:hAnsiTheme="minorEastAsia"/>
          <w:b w:val="0"/>
          <w:spacing w:val="15"/>
          <w:sz w:val="28"/>
          <w:szCs w:val="28"/>
          <w:shd w:val="pct10" w:color="auto" w:fill="FFFFFF"/>
        </w:rPr>
      </w:pPr>
      <w:r>
        <w:rPr>
          <w:rStyle w:val="12"/>
          <w:rFonts w:hint="eastAsia" w:cs="Helvetica" w:asciiTheme="minorEastAsia" w:hAnsiTheme="minorEastAsia"/>
          <w:b w:val="0"/>
          <w:spacing w:val="15"/>
          <w:sz w:val="28"/>
          <w:szCs w:val="28"/>
          <w:shd w:val="pct10" w:color="auto" w:fill="FFFFFF"/>
        </w:rPr>
        <w:t>完善监管法规制度体系，助推医疗器械产业发展</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国家药品监督管理局器械监管司测抽验处处长王昕在题为《中国医疗器械产业现状及监管法规制度体系》的报告中指出，《医疗器械监督管理条例》实施一周年以来，相关配套文件陆续出台，中国医疗器械监管法规体系建设不断取得新成绩。随着医疗器械指导原则、指南等规范性文持续完善、质量管理制度与规范标准、医疗器械监督管理部门规章与管理条例的制定，中国医疗器械监管法规制度体系日趋完善。</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王昕表示，《医疗器械监督管理条例》立法思路是落实药品医疗器械审评审批制度改革要求；夯实企业主体责任，巩固“放管服”改革成果，释放市场创新活力；加强对医疗器械全生命周期和全过程监管，提高监管效能；加大对违法行为的处罚力度，提高违法成本。</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新修订的《医疗器械监督管理条例》实施以来，中国医疗器械产业发展迅猛、日新月异，新时代医疗器械发展的创新大潮澎湃向前。</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近年来，境内医疗器械产品备案/注册期末实有数量持续高速增长，年均增速高达183%。据统计，2021年，国家药品监督管理局共批准医疗器械注册11314项，有35个创新医疗器械上市，创下历史之最。</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据国家药品监督管理局南方医药经济研究所分析，我国的医疗器械行业正处于高速发展的阶段，中国已经成为仅次于美国的全球第二大医疗器械市场。数据显示，中国医疗器械行业市场规模由2017年的4435亿元增长至2020年的7555亿元，年均复合增长率为18.9%。预测，2022年我国医疗器械行业市场规模将达11710亿元。</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值得一提的是，新冠疫情暴发以来，众多企业积极转产扩产，保障疫情防护类医疗器械供应，医疗器械生产、经营企业数量大幅增加。</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截至2022年6月底，全国实有医疗器械生产企业3.07万家，其中可生产一类产品的企业1.8万家，可生产二类产品的企业1.4万家，可生产三类产品的企业2357家。仅经营二类的企业75.5万家，仅经营三类的企业8.4万家，同时经营二、三类的企业30.1万家，合计114.0万家。</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站在医疗器械行业发展的“风口”,我国四大产业聚集区为医药器械创新发展掀起一股新的浪潮。2014-2021年共有134个创新医疗器械获批，其中长三角城市群、粤港澳大湾区以及京津冀城市群、三地的创新医疗器械获批产品和企业数量最多，占全部已批准产品的81%。</w:t>
      </w:r>
    </w:p>
    <w:p>
      <w:pPr>
        <w:rPr>
          <w:rStyle w:val="12"/>
          <w:rFonts w:cs="Helvetica" w:asciiTheme="minorEastAsia" w:hAnsiTheme="minorEastAsia"/>
          <w:b w:val="0"/>
          <w:spacing w:val="15"/>
          <w:sz w:val="28"/>
          <w:szCs w:val="28"/>
          <w:shd w:val="pct10" w:color="auto" w:fill="FFFFFF"/>
        </w:rPr>
      </w:pPr>
      <w:r>
        <w:rPr>
          <w:rStyle w:val="12"/>
          <w:rFonts w:hint="eastAsia" w:cs="Helvetica" w:asciiTheme="minorEastAsia" w:hAnsiTheme="minorEastAsia"/>
          <w:b w:val="0"/>
          <w:spacing w:val="15"/>
          <w:sz w:val="28"/>
          <w:szCs w:val="28"/>
          <w:shd w:val="pct10" w:color="auto" w:fill="FFFFFF"/>
        </w:rPr>
        <w:t>张锋</w:t>
      </w:r>
    </w:p>
    <w:p>
      <w:pPr>
        <w:rPr>
          <w:rStyle w:val="12"/>
          <w:rFonts w:cs="Helvetica" w:asciiTheme="minorEastAsia" w:hAnsiTheme="minorEastAsia"/>
          <w:b w:val="0"/>
          <w:spacing w:val="15"/>
          <w:sz w:val="28"/>
          <w:szCs w:val="28"/>
          <w:shd w:val="pct10" w:color="auto" w:fill="FFFFFF"/>
        </w:rPr>
      </w:pPr>
      <w:r>
        <w:rPr>
          <w:rStyle w:val="12"/>
          <w:rFonts w:hint="eastAsia" w:cs="Helvetica" w:asciiTheme="minorEastAsia" w:hAnsiTheme="minorEastAsia"/>
          <w:b w:val="0"/>
          <w:spacing w:val="15"/>
          <w:sz w:val="28"/>
          <w:szCs w:val="28"/>
          <w:shd w:val="pct10" w:color="auto" w:fill="FFFFFF"/>
        </w:rPr>
        <w:t>多措并举全力促进医疗器械产业高质量发展</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广东省药品监督管理局医疗器械监管处处长张锋在“广东省医疗器械高质量发展助力乡村振兴行”活动上，介绍了广东省药品监督管理局推动医疗器械产业高质量发展相关举措和目前展开工作的情况。</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张锋表示，《广东省推动医疗器械产业高质量发展实施方案》（以下简称：《实施方案》）中的八大举措全力推进医疗器械高质量发展，八大举措分别有：一是提高医疗器械创新链整体效能；二是推动医疗器械产业链优化升级；三是实施医疗器械企业梯次培育；四是大力支持企业做优做强；五是推动国际交流合；六是加快医疗器械技术引进和人才培养；七是优化医疗器械营商环境；八是打造专业化医疗器械产业园区。</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广东省是医疗器械产业发达地区，产业集中度较高，初步形成了具有一定影响力和竞争力的医疗器械产业链，2017-2021年广东省医疗器械产值复合增长率为32.19%，2021年全省生产企业总数突破5000家。产业规模与产品出口位居全国首位，在全国医疗器械制造业中具有举足轻重的地位。</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为做好《实施方案》的贯彻落实，2月24日，广东省药品监督管理局召开推动医疗器械产业高质量发展新闻发布会，将结合医疗器械产业发展实际，充分发挥广东省医疗器械产业既有优势，围绕实施方案中有关重点任务，采取多项举措推动广东省医疗器械产业高质量发展。</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其中，为进一步推动医疗器械产业高质量协调发展，广东省药品监督管理局成立产业促进办公室。依托广东省食品药品安全与高质量发展委员会及省政府生物医药与健康产业集群“链长制”工作推进机制，建立促进医疗器械产业高质量发展协调机制，协调各部门加强战略谋划和资源调配，统筹协调广东省医疗器械产业高质量发展全局性工作。</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为了建立促进高质量发展工作协调机制，3月15日，广东省药品监督管理局召集相关的18个单位召开协调推进会，积极推动出台一系列鼓励广东省医疗器械产业高质量发展的政策文件。</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全力推动政策落细落实，部署各地落实《实施方案》工作，4月7日，印发《广东省药品监督管理局办公室关于进一步推动全省医疗器械产业高质量发展工作的通知》。要求相关部门每季度结合医疗器械区域风险研判会，召开1次推动高质量发展专题分析会；每半年，召开一次小结会，总结半年工作情况；每年底召开总结会，按年度评估工作成效，全面总结工作经验、提炼成功案例，分析研判问题，改进和完善工作方法。</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持续优化二类医疗器械审评审批，5月11日，印发《广东省药品监督管理局关于优化第二类医疗器械注册审评审批的若干措施》，全面优化提速医疗器械注册审评审批，将实现产品注册技术审评时限比法定时限平均提速50%以上，行政审批时限提速50%。</w:t>
      </w:r>
    </w:p>
    <w:p>
      <w:pPr>
        <w:rPr>
          <w:rStyle w:val="12"/>
          <w:rFonts w:cs="Helvetica" w:asciiTheme="minorEastAsia" w:hAnsiTheme="minorEastAsia"/>
          <w:b w:val="0"/>
          <w:spacing w:val="15"/>
          <w:sz w:val="28"/>
          <w:szCs w:val="28"/>
          <w:shd w:val="pct10" w:color="auto" w:fill="FFFFFF"/>
        </w:rPr>
      </w:pPr>
      <w:r>
        <w:rPr>
          <w:rStyle w:val="12"/>
          <w:rFonts w:hint="eastAsia" w:cs="Helvetica" w:asciiTheme="minorEastAsia" w:hAnsiTheme="minorEastAsia"/>
          <w:b w:val="0"/>
          <w:spacing w:val="15"/>
          <w:sz w:val="28"/>
          <w:szCs w:val="28"/>
          <w:shd w:val="pct10" w:color="auto" w:fill="FFFFFF"/>
        </w:rPr>
        <w:t>黄秀义</w:t>
      </w:r>
    </w:p>
    <w:p>
      <w:pPr>
        <w:rPr>
          <w:rStyle w:val="12"/>
          <w:rFonts w:cs="Helvetica" w:asciiTheme="minorEastAsia" w:hAnsiTheme="minorEastAsia"/>
          <w:b w:val="0"/>
          <w:spacing w:val="15"/>
          <w:sz w:val="28"/>
          <w:szCs w:val="28"/>
          <w:shd w:val="pct10" w:color="auto" w:fill="FFFFFF"/>
        </w:rPr>
      </w:pPr>
      <w:r>
        <w:rPr>
          <w:rStyle w:val="12"/>
          <w:rFonts w:hint="eastAsia" w:cs="Helvetica" w:asciiTheme="minorEastAsia" w:hAnsiTheme="minorEastAsia"/>
          <w:b w:val="0"/>
          <w:spacing w:val="15"/>
          <w:sz w:val="28"/>
          <w:szCs w:val="28"/>
          <w:shd w:val="pct10" w:color="auto" w:fill="FFFFFF"/>
        </w:rPr>
        <w:t>优化审评审批服务，有效促进器械创新发展</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为贯彻落实《广东省推动医疗器械产业高质量发展实施方案》，推进广东省医疗器械监管综合改革，创新审评审批服务方式，不断提高审评审批质量和效率，激发企业发展动力和市场活力，推动医疗器械产业高质量发展，更好满足公众安全用械需求，5月11日，广东省药品监督管理局正式印发《广东省药品监督管理局关于优化第二类医疗器械注册审评审批的若干措施》（以下简称：《措施》）。</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措施》发布是新的历史时期广东省先行先试，深入贯彻落实省政府推动我省医疗器械高质量发展决策部署。”广东省药品监督管理局行政许可处副处长黄秀义在在“广东省医疗器械高质量发展助力乡村振兴行”活动上指出，《措施》针对创新型医疗器械的审评审批流程优化改革措施20条，助力医疗器械企业创新。从而激发企业发展动力和市场活力，推动高质量发展，有助于促进广东省医疗器械产业实现新的发展，继续走在全国前列。</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广东省快速的产业发展伴随的是不断增长的产品申报量，2021年我省二类医疗器械注册受理共5253笔，处于近年来的高峰期。黄秀义指出，《措施》的出台也回应社会关切及时解决企业发展诉求，企业持续发展需要快速可预期的时限保障。</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创新是实现从制械大省到制械强省的转变的必由之路，而产业创新发展需要高效的准入机制以及企业持续发展需要快速可预期的时限保障，因此医疗器械产品上市准入前的审评审批时间，受到社会的普遍关注。</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《措施》明确提到在优化改革后，将实现产品检测周期平均压减至3个月，产品注册周期平均压缩至4个月左右。总体产品注册技术审评时限比法定时限平均要压缩50%以上。</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除了流程时限优化外，《措施》还从服务水平，检测效率，监管机制等方面出发，全方位支持处理医疗械企创新。</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助力创新不止于口号，而是长久高质发展的常态和趋势。展望未来，有关部门还会继续落实流程压缩时限，适时开展体系评估，以评促建，以评促改，建立从注册受理日到最终发证日的审评审批效率评估体系，推动改革举措全面落地，营造公开、公正、可预期的良好营商环境，打造广东省医疗器械创新、创业、高质量发展的良好品牌形象。</w:t>
      </w:r>
    </w:p>
    <w:p>
      <w:pPr>
        <w:rPr>
          <w:rStyle w:val="12"/>
          <w:rFonts w:cs="Helvetica" w:asciiTheme="minorEastAsia" w:hAnsiTheme="minorEastAsia"/>
          <w:b w:val="0"/>
          <w:spacing w:val="15"/>
          <w:sz w:val="28"/>
          <w:szCs w:val="28"/>
          <w:shd w:val="pct10" w:color="auto" w:fill="FFFFFF"/>
        </w:rPr>
      </w:pPr>
      <w:r>
        <w:rPr>
          <w:rStyle w:val="12"/>
          <w:rFonts w:hint="eastAsia" w:cs="Helvetica" w:asciiTheme="minorEastAsia" w:hAnsiTheme="minorEastAsia"/>
          <w:b w:val="0"/>
          <w:spacing w:val="15"/>
          <w:sz w:val="28"/>
          <w:szCs w:val="28"/>
          <w:shd w:val="pct10" w:color="auto" w:fill="FFFFFF"/>
        </w:rPr>
        <w:t>李丹荣</w:t>
      </w:r>
    </w:p>
    <w:p>
      <w:pPr>
        <w:rPr>
          <w:rStyle w:val="12"/>
          <w:rFonts w:cs="Helvetica" w:asciiTheme="minorEastAsia" w:hAnsiTheme="minorEastAsia"/>
          <w:b w:val="0"/>
          <w:spacing w:val="15"/>
          <w:sz w:val="28"/>
          <w:szCs w:val="28"/>
          <w:shd w:val="pct10" w:color="auto" w:fill="FFFFFF"/>
        </w:rPr>
      </w:pPr>
      <w:r>
        <w:rPr>
          <w:rStyle w:val="12"/>
          <w:rFonts w:hint="eastAsia" w:cs="Helvetica" w:asciiTheme="minorEastAsia" w:hAnsiTheme="minorEastAsia"/>
          <w:b w:val="0"/>
          <w:spacing w:val="15"/>
          <w:sz w:val="28"/>
          <w:szCs w:val="28"/>
          <w:shd w:val="pct10" w:color="auto" w:fill="FFFFFF"/>
        </w:rPr>
        <w:t>疫情之下，中国医疗器械行业因“硬性抗疫”逆势增长</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国家药品监督管理局南方医药经济研究所首席研究员李丹荣《疫情背景下医疗器械创新驱动产业变革》的报告对后疫情时代医疗器械创新主体在机遇与挑战并存的环境下，如何破茧新生提出了建议和新思路。</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新冠疫情发生后，全球经济低迷，但医疗器械制造业的营业收入增长高达29.7%。中国医疗器械行业因“硬性抗疫”逆势增长2020年我国医疗器械出口额达到1015亿美元，同比增长244%，国产呼吸机等进入海外顶级医疗机构。2021年1-2月我国出口的最大亮点是抗原自测产品，出口额达到130.93亿美元，同比增长135.37%。</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李丹荣表示，这说明，医疗器械行业具有很强的增长韧劲。全力支持医疗器械产业高质量发展，既服务当前全国经济发展大局，又推动医疗器械强国建设迈上更高台阶。</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根据国家药品监督管理南方医药经济研究所预测，2020年－2025年的年复合增长率约为12.5%，到2025年销售收入预计突破18000亿元，实现比2020年翻一番的目标，达到《中国制造2025重点领域技术路线图》所提出的“到2030年，我国医疗器械产业规模达到3万亿元”的中期目标。</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国家政策持续赋能，力促产业高质量创新发展。”李丹荣表示，国家药品监督管理局通过构建创新医疗器械优先审评审批绿色通道等措施，助力创新医疗器械快速获准上市。企业创新积极性高涨。2014-2021年，共有351个产品进入创新医疗器械绿色通道。其中，2021年共有62个产品进入创新医疗器械绿色通道，创新高。</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李丹荣建议医疗器械产业高质量发展要立足科技创新，寻找差距，补好短板，努力提升国际竞争力。并指出我国医疗器械产业发展存在的问题有：科技创新成果转化率低，我国每年重大科技成果平均转化率仅为20%，其中医学科技成果转化率低于8%，而美国和日本该比率则接近70%。</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产业化资本市场体制不健全，我国科技成果转化资金企业自筹的占56%，国家科技拨款占26.8%，风险投资仅占2.3%。欧美发达国家，风险投资则达到50%。</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技术研究与市场需求不匹配，专利申请量位列全球第一，但一些技术在立项时没有考虑商业化前景，科研和市场的联系不够紧密。</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建议完善创新体系，提升创新能力。在政府层面着力完善创新体制、开发医疗创新资源、科技成果转化机制、政产学研协同机制等。在企业层面，企业是创新的主体和推动创新的主力军，坚持创新引领发展。</w:t>
      </w:r>
    </w:p>
    <w:p>
      <w:pPr>
        <w:rPr>
          <w:rStyle w:val="12"/>
          <w:rFonts w:cs="Helvetica" w:asciiTheme="minorEastAsia" w:hAnsiTheme="minorEastAsia"/>
          <w:b w:val="0"/>
          <w:spacing w:val="15"/>
          <w:sz w:val="28"/>
          <w:szCs w:val="28"/>
          <w:shd w:val="pct10" w:color="auto" w:fill="FFFFFF"/>
        </w:rPr>
      </w:pPr>
      <w:r>
        <w:rPr>
          <w:rStyle w:val="12"/>
          <w:rFonts w:hint="eastAsia" w:cs="Helvetica" w:asciiTheme="minorEastAsia" w:hAnsiTheme="minorEastAsia"/>
          <w:b w:val="0"/>
          <w:spacing w:val="15"/>
          <w:sz w:val="28"/>
          <w:szCs w:val="28"/>
          <w:shd w:val="pct10" w:color="auto" w:fill="FFFFFF"/>
        </w:rPr>
        <w:t>结尾&gt;&gt;&gt;</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我国医疗器械行业发展起步相对较晚，但随着国家支持力度不断加大，中国医疗器械行业获得了突飞猛进的发展。目前我国医疗器械行业已初步建成了专业门类齐全、产业链条完善、产业基础雄厚的产业体系，成为了一个创新能力不断增强、市场需求旺盛的朝阳产业。</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“广东省医疗器械高质量发展助力乡村振兴行”活动汇聚自政、产、学、研各领域专家，为医疗器械高质量发展把脉支招。必将为行业创新发展拓展新的领域和方向，提供新的引擎和动力。</w:t>
      </w: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附件4</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上市连锁发起冲锋，剑指专业药房</w:t>
      </w:r>
    </w:p>
    <w:p>
      <w:pPr>
        <w:jc w:val="left"/>
      </w:pPr>
    </w:p>
    <w:p>
      <w:pPr>
        <w:jc w:val="left"/>
      </w:pPr>
      <w:r>
        <w:rPr>
          <w:rFonts w:hint="eastAsia"/>
        </w:rPr>
        <w:t>原创 小天  第一药店财智  2022-08-22</w:t>
      </w:r>
    </w:p>
    <w:p>
      <w:pPr>
        <w:jc w:val="left"/>
        <w:rPr>
          <w:rStyle w:val="12"/>
          <w:rFonts w:cs="Helvetica" w:asciiTheme="minorEastAsia" w:hAnsiTheme="minorEastAsia"/>
          <w:b w:val="0"/>
          <w:spacing w:val="15"/>
          <w:sz w:val="28"/>
          <w:szCs w:val="28"/>
        </w:rPr>
      </w:pPr>
    </w:p>
    <w:p>
      <w:pPr>
        <w:ind w:firstLine="452" w:firstLineChars="200"/>
        <w:rPr>
          <w:rStyle w:val="13"/>
          <w:rFonts w:ascii="微软雅黑" w:hAnsi="微软雅黑" w:eastAsia="微软雅黑"/>
          <w:color w:val="888888"/>
          <w:spacing w:val="8"/>
          <w:szCs w:val="21"/>
          <w:shd w:val="clear" w:color="auto" w:fill="F7F7F7"/>
        </w:rPr>
      </w:pPr>
      <w:r>
        <w:rPr>
          <w:rStyle w:val="13"/>
          <w:rFonts w:hint="eastAsia" w:ascii="微软雅黑" w:hAnsi="微软雅黑" w:eastAsia="微软雅黑"/>
          <w:color w:val="888888"/>
          <w:spacing w:val="8"/>
          <w:szCs w:val="21"/>
          <w:shd w:val="clear" w:color="auto" w:fill="F7F7F7"/>
        </w:rPr>
        <w:t>DTP专业药房贡献了营收大头，在争取双通道资质后，市场规模有望再增长。</w:t>
      </w:r>
    </w:p>
    <w:p>
      <w:pPr>
        <w:widowControl/>
        <w:shd w:val="clear" w:color="auto" w:fill="FFFFFF"/>
        <w:spacing w:line="420" w:lineRule="atLeast"/>
        <w:ind w:left="120" w:right="120"/>
        <w:jc w:val="left"/>
        <w:rPr>
          <w:rFonts w:ascii="微软雅黑" w:hAnsi="微软雅黑" w:eastAsia="微软雅黑" w:cs="宋体"/>
          <w:color w:val="222222"/>
          <w:spacing w:val="8"/>
          <w:kern w:val="0"/>
          <w:szCs w:val="21"/>
        </w:rPr>
      </w:pPr>
      <w:r>
        <w:rPr>
          <w:rFonts w:hint="eastAsia" w:ascii="微软雅黑" w:hAnsi="微软雅黑" w:eastAsia="微软雅黑" w:cs="宋体"/>
          <w:b/>
          <w:bCs/>
          <w:color w:val="CD0202"/>
          <w:spacing w:val="8"/>
          <w:kern w:val="0"/>
          <w:sz w:val="60"/>
          <w:szCs w:val="60"/>
          <w:shd w:val="clear" w:color="auto" w:fill="FFFFFF"/>
        </w:rPr>
        <w:t>01 </w:t>
      </w:r>
    </w:p>
    <w:p>
      <w:pPr>
        <w:rPr>
          <w:rFonts w:ascii="宋体" w:hAnsi="宋体" w:cs="宋体"/>
          <w:b/>
          <w:bCs/>
          <w:spacing w:val="30"/>
          <w:kern w:val="0"/>
          <w:sz w:val="23"/>
          <w:szCs w:val="23"/>
        </w:rPr>
      </w:pPr>
      <w:r>
        <w:rPr>
          <w:rFonts w:ascii="宋体" w:hAnsi="宋体" w:cs="宋体"/>
          <w:b/>
          <w:bCs/>
          <w:spacing w:val="30"/>
          <w:kern w:val="0"/>
          <w:sz w:val="23"/>
          <w:szCs w:val="23"/>
        </w:rPr>
        <w:t>早期布局DTP业务实现盈利</w:t>
      </w:r>
    </w:p>
    <w:p>
      <w:pPr>
        <w:rPr>
          <w:rFonts w:ascii="宋体" w:hAnsi="宋体" w:cs="宋体"/>
          <w:b/>
          <w:bCs/>
          <w:spacing w:val="30"/>
          <w:kern w:val="0"/>
          <w:sz w:val="23"/>
          <w:szCs w:val="23"/>
        </w:rPr>
      </w:pPr>
      <w:r>
        <w:rPr>
          <w:rFonts w:ascii="宋体" w:hAnsi="宋体" w:cs="宋体"/>
          <w:b/>
          <w:bCs/>
          <w:spacing w:val="30"/>
          <w:kern w:val="0"/>
          <w:sz w:val="23"/>
          <w:szCs w:val="23"/>
        </w:rPr>
        <w:t>达嘉维康DTP营收增长25.72%</w:t>
      </w:r>
    </w:p>
    <w:p>
      <w:pPr>
        <w:rPr>
          <w:rStyle w:val="12"/>
          <w:rFonts w:cs="Helvetica" w:asciiTheme="minorEastAsia" w:hAnsiTheme="minorEastAsia"/>
          <w:b w:val="0"/>
          <w:spacing w:val="15"/>
          <w:sz w:val="28"/>
          <w:szCs w:val="28"/>
        </w:rPr>
      </w:pP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近日，三家批零一体的区域龙头企业——柳药集团、鹭燕医药、达嘉维康均发布2022年上半年财报。从零售业务来看，三家企业在DTP业务上表现依然突出，《第一药店财智》综合三家财报进行对比。</w:t>
      </w:r>
    </w:p>
    <w:p>
      <w:pPr>
        <w:rPr>
          <w:rStyle w:val="12"/>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45100" cy="1837690"/>
            <wp:effectExtent l="0" t="0" r="0" b="0"/>
            <wp:docPr id="68" name="图片 68" descr="C:\Users\Administrator\Documents\WeChat Files\ppdeboke\FileStorage\Temp\5ddca09c0a86259babaf55bb8472a2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Documents\WeChat Files\ppdeboke\FileStorage\Temp\5ddca09c0a86259babaf55bb8472a29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45100" cy="1837690"/>
                    </a:xfrm>
                    <a:prstGeom prst="rect">
                      <a:avLst/>
                    </a:prstGeom>
                    <a:noFill/>
                    <a:ln>
                      <a:noFill/>
                    </a:ln>
                  </pic:spPr>
                </pic:pic>
              </a:graphicData>
            </a:graphic>
          </wp:inline>
        </w:drawing>
      </w:r>
    </w:p>
    <w:p>
      <w:pPr>
        <w:jc w:val="center"/>
        <w:rPr>
          <w:rFonts w:ascii="微软雅黑" w:hAnsi="微软雅黑" w:eastAsia="微软雅黑"/>
          <w:color w:val="888888"/>
          <w:spacing w:val="8"/>
          <w:sz w:val="18"/>
          <w:szCs w:val="18"/>
          <w:shd w:val="clear" w:color="auto" w:fill="FFFFFF"/>
        </w:rPr>
      </w:pPr>
      <w:r>
        <w:rPr>
          <w:rFonts w:hint="eastAsia" w:ascii="微软雅黑" w:hAnsi="微软雅黑" w:eastAsia="微软雅黑"/>
          <w:color w:val="888888"/>
          <w:spacing w:val="8"/>
          <w:sz w:val="18"/>
          <w:szCs w:val="18"/>
          <w:shd w:val="clear" w:color="auto" w:fill="FFFFFF"/>
        </w:rPr>
        <w:t>数据来源上市公司财报，</w:t>
      </w:r>
      <w:r>
        <w:rPr>
          <w:rFonts w:hint="eastAsia" w:ascii="微软雅黑" w:hAnsi="微软雅黑" w:eastAsia="微软雅黑"/>
          <w:color w:val="D92142"/>
          <w:spacing w:val="8"/>
          <w:sz w:val="18"/>
          <w:szCs w:val="18"/>
          <w:shd w:val="clear" w:color="auto" w:fill="FFFFFF"/>
        </w:rPr>
        <w:t>↑</w:t>
      </w:r>
      <w:r>
        <w:rPr>
          <w:rFonts w:hint="eastAsia" w:ascii="微软雅黑" w:hAnsi="微软雅黑" w:eastAsia="微软雅黑"/>
          <w:color w:val="888888"/>
          <w:spacing w:val="8"/>
          <w:sz w:val="18"/>
          <w:szCs w:val="18"/>
          <w:shd w:val="clear" w:color="auto" w:fill="FFFFFF"/>
        </w:rPr>
        <w:t>的箭头代表同比增长</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从体量来看，柳药集团、鹭燕医药作为区域性医药流通龙头企业，总营收能力旗鼓相当。其零售业务在传统药房基础上，DTP药房数量在区域都是领先。其中，桂中大药房DTP药房数量最多，超过100多家。鹭燕大药房零售业务弱增长，其DTP药房占比总门店达到32.3%。</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从营收增速来看，虽然体量较小，但民企达嘉维康在上市后，其零售业务增长非常迅猛，且DTP销售额增速跑赢了零售业务大盘。这得益于其DTP品种数量的增长。</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达嘉维康称，截至2022年6月底，其销售DTP品规372个，叠加客流增加与品种优化，DTP销售额较去年同期增长25.72%，DTP专业药房业务是目前零售业务增长引擎。</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不过，除达嘉维康外，大部分批零一体的企业如华润医药、上药控股、国药控股旗下的连锁DTP药房实力雄厚，以及鹭燕医药、柳药集团相对具有渠道和品种优势，但DTP营收都只是“小头”，还未成为核心业务。</w:t>
      </w:r>
    </w:p>
    <w:p>
      <w:pPr>
        <w:rPr>
          <w:rStyle w:val="12"/>
          <w:rFonts w:ascii="微软雅黑" w:hAnsi="微软雅黑" w:eastAsia="微软雅黑"/>
          <w:color w:val="CD0202"/>
          <w:spacing w:val="8"/>
          <w:sz w:val="60"/>
          <w:szCs w:val="60"/>
          <w:shd w:val="clear" w:color="auto" w:fill="FFFFFF"/>
        </w:rPr>
      </w:pPr>
      <w:r>
        <w:rPr>
          <w:rFonts w:hint="eastAsia" w:ascii="微软雅黑" w:hAnsi="微软雅黑" w:eastAsia="微软雅黑"/>
          <w:b/>
          <w:bCs/>
          <w:color w:val="CD0202"/>
          <w:spacing w:val="8"/>
          <w:sz w:val="60"/>
          <w:szCs w:val="60"/>
          <w:shd w:val="clear" w:color="auto" w:fill="FFFFFF"/>
        </w:rPr>
        <w:t>02 </w:t>
      </w:r>
      <w:r>
        <w:rPr>
          <w:rStyle w:val="12"/>
          <w:rFonts w:hint="eastAsia" w:asciiTheme="minorEastAsia" w:hAnsiTheme="minorEastAsia"/>
          <w:color w:val="333333"/>
          <w:sz w:val="23"/>
          <w:szCs w:val="23"/>
        </w:rPr>
        <w:t>多数DTP药房处于亏损，“流血”冲刺上市</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随着DTP药店在特药销售扮演着越来越重要的角色，且创新药在上市时大多需患者自费，进医院非常困难，且受零加成的影响等等，使得DTP药店对于特药渠道方面非常重要。</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然而，DTP药房目前仍面临毛利率低、运营成本高、人才培养的投入高等压力，所以DTP业务整体的利润率还是比较低。</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大部分中小型DTP业务并不具备体量优势，想要盈利面临的挑战艰巨。其中，DTP药房的新三系以圆心科技、思派大药房、零氪科技为主，虽然，短短三年间异军突起，却难逃亏损状态。</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如冲刺上市的圆心科技，公司于2017年展开药品批发服务，通过提供新特药的竞争优势，向第三方零售药房和药品经销商提供若干新特药，以配合零售药房业务。在2019-2021年，其净亏损分别为2.01亿元、3.63亿元、7.57亿元，三年间累计亏损高达13.21亿元。且毛利率不断降低，同期分别为10.6%、9.2%、9.0%。</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思派健康在2019至2021年，公司期内亏损分别为5.96亿元、10.42亿元和37.49亿元。短短几年时间内，公司期内亏损扩大了5倍有余，三年合计亏损超过53亿元，其中2021年的净亏损率达到-107.90%。</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零氪科技则在今年4月份撤回美国IPO计划。2019年和2020年其营收分别为4.99亿元和9.42亿元，同比增长89%，净亏损分别为4.34亿元和4.89亿元；到了2021年第一季度营收为2.23亿元，净亏损达到1.38亿元。</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目前，除了早期布局DTP业务的企业，大多数新开办的DTP药房是亏损状态。大批DTP药房面临转型，其中有的积极争取“双通道”资质。</w:t>
      </w:r>
    </w:p>
    <w:p>
      <w:pPr>
        <w:rPr>
          <w:rStyle w:val="12"/>
          <w:sz w:val="23"/>
          <w:szCs w:val="23"/>
        </w:rPr>
      </w:pPr>
      <w:r>
        <w:rPr>
          <w:rFonts w:hint="eastAsia" w:ascii="微软雅黑" w:hAnsi="微软雅黑" w:eastAsia="微软雅黑"/>
          <w:b/>
          <w:bCs/>
          <w:color w:val="CD0202"/>
          <w:spacing w:val="8"/>
          <w:sz w:val="60"/>
          <w:szCs w:val="60"/>
          <w:shd w:val="clear" w:color="auto" w:fill="FFFFFF"/>
        </w:rPr>
        <w:t>03 </w:t>
      </w:r>
      <w:r>
        <w:rPr>
          <w:rStyle w:val="12"/>
          <w:sz w:val="23"/>
          <w:szCs w:val="23"/>
        </w:rPr>
        <w:t>DTP业务核心在于具备三大能力</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DTP药店能否成功且具备长期“续航”的能力，关键在于：企业的“开源”能力、品类扩展能力和处方来源。</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首先，具备“开源”能力很难。与国外的专业药房依靠医保和商保来驱动特药销售不同，国内大部分DTP药房仍以高值的自费药品为主，药品多为大病用药，如肿瘤药、血液用药、精神用药等。这些高值的药品毛利率较低，即使部分DTP药房获得双通道资质后，由于双通道的药品是零差率，尽管有医保覆盖，但医保报销给到店的额度非常有限。</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如2022年上半年，达嘉维康零售业务的毛利率是13.34%，其中DTP业务的整体毛利率在9-10%，大病医保的毛利率是6%左右。</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其次，从品类拓展来看，DTP业务能够做强做大，取决于与上游厂家稳定、深度的合作关系。一方面，不断引进新特药品种，尤其新药的毛利会稍微高些。另一方面，随着医药行业政策趋势，进入双通道目录的大病品种越来越多，未来毛利可能会有下降趋势，但是毛利额贡献会越来越大。上述三家企业之所以在DTP专业药房长袖善舞，得益于突出的渠道资源和批零一体化优势。</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如桂中大药房在2022年6月底，公司在广西已导入系统的国采第六批国谈集采品种配送点击率达100%，导入广西集团采购服务平台品种中配送点击率达 98%以上，省级挂网联盟采品种中配送点击率达97%以上，并在广西率先引进新冠特效药，有着渠道优势和运营实力。同时在创新药领域，公司与辉瑞、赛诺菲、罗氏制药等合作，成为其核心产品、重磅新品在广西的主分销商，公司品种优势进一步扩大。</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最后，在处方药来源上，取决于医院业务的强弱配合能力。上述三家区域龙头企业因较早布局DTP业务，且依托渠道优势实现了盈利。</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鹭燕医药于2009年实现了对福建省二级以上医疗机构100%覆盖；经过多年深耕以县级医院为龙头的农村三级医疗卫生服务网，销售终端已覆盖各级医院、卫生站、诊所及终端药店。截至2022年6月底，鹭燕大药房的门店基本覆盖福建全省三级医疗机构。</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而柳药集团的医院销售业务是公司批发业务的核心，2022年上半年医院销售业务实现营收68.48亿元，占公司主营业务收入的74.60%。</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达嘉维康作为湖南省首批处方外流与监管平台联网的“处方流转药房”，在开通了湖南省肿瘤医院、湖南省中医药研究院附属医院等7家医院的电子处方流转服务后，2022年上半年陆续与中南大学湘雅医院、岳阳市人民医院互联网医院等合作处方流转业务；药店零售终端依托良好的医院优势，有序承接处方外流，成为政策的重要受益者。</w:t>
      </w:r>
    </w:p>
    <w:p>
      <w:pPr>
        <w:rPr>
          <w:rStyle w:val="12"/>
          <w:rFonts w:asciiTheme="minorEastAsia" w:hAnsiTheme="minorEastAsia"/>
          <w:color w:val="333333"/>
          <w:sz w:val="23"/>
          <w:szCs w:val="23"/>
        </w:rPr>
      </w:pPr>
      <w:r>
        <w:rPr>
          <w:rFonts w:hint="eastAsia" w:ascii="微软雅黑" w:hAnsi="微软雅黑" w:eastAsia="微软雅黑"/>
          <w:b/>
          <w:bCs/>
          <w:color w:val="CD0202"/>
          <w:spacing w:val="8"/>
          <w:sz w:val="60"/>
          <w:szCs w:val="60"/>
          <w:shd w:val="clear" w:color="auto" w:fill="FFFFFF"/>
        </w:rPr>
        <w:t>04 </w:t>
      </w:r>
      <w:r>
        <w:rPr>
          <w:rStyle w:val="12"/>
          <w:rFonts w:hint="eastAsia" w:asciiTheme="minorEastAsia" w:hAnsiTheme="minorEastAsia"/>
          <w:color w:val="333333"/>
          <w:sz w:val="23"/>
          <w:szCs w:val="23"/>
        </w:rPr>
        <w:t>2025年DTP药房市场规模有望达2200亿</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尽管利润难求，但大多数上市公司仍将DTP品种作为引流产品，做大营收。根据中康CMH数据，2021年DTP市场销售规模达507亿元，占整个药品零售终端的13.1%，DTP门店数量和总体规模均保持双位数快速增长。</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在规模增长的过程中，DTP业务已经实现从1.0发展到3.0阶段：批零一体、连锁及区域连锁DTP、新三系同台竞争；随着2021年京东DTP全国布局，电商巨头携新物种跨界入场。</w:t>
      </w:r>
    </w:p>
    <w:p>
      <w:pPr>
        <w:rPr>
          <w:rStyle w:val="12"/>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2369185"/>
            <wp:effectExtent l="0" t="0" r="2540" b="0"/>
            <wp:docPr id="69" name="图片 69" descr="C:\Users\Administrator\Documents\WeChat Files\ppdeboke\FileStorage\Temp\1ddbdcb88458ef14553110a0827a8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Documents\WeChat Files\ppdeboke\FileStorage\Temp\1ddbdcb88458ef14553110a0827a8d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369811"/>
                    </a:xfrm>
                    <a:prstGeom prst="rect">
                      <a:avLst/>
                    </a:prstGeom>
                    <a:noFill/>
                    <a:ln>
                      <a:noFill/>
                    </a:ln>
                  </pic:spPr>
                </pic:pic>
              </a:graphicData>
            </a:graphic>
          </wp:inline>
        </w:drawing>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在“双通道”政策的加持下，DTP药房必然会继续增加市场规模。中国医药物资协会DTP委员会秘书长张小平表示，预计到2025年，我国DTP及专业药房的市场规模将达到2200亿。“双通道”政策的逐步落实将深刻影响我国专业药房业态。预计到2030年，零售药房渠道占中国药品终端市场的比例将达到25%左右。</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而双通道政策对DTP药房运营也提出了更高的需求和挑战，那就是——DTP药房必须以患者为中心，服务必须要做到专业化，要让服务相关方真切感受到专业价值。</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也就是说，未来，零售药房仍需进一步打磨DTP药房核心的竞争实力——专业度。一方面专业度能带来很多的数据反哺，平台能监测对于创新药不良反应精细化的管理，对于特殊的疾病用药管理的全面满足。另一方面，也促使药店在患者和医生的服务上探索更多创新服务模式。</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从药企角度来说，未来跟DTP药店还需探索更多互利互惠的合作，未来特药还是要有一定的利润空间可以支持药店为患者做更多服务，支持药店获取一定利润。</w:t>
      </w: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附件5</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25亿！益丰大动作：新增3900家门店、建设物流中心…</w:t>
      </w:r>
    </w:p>
    <w:p>
      <w:pPr>
        <w:jc w:val="left"/>
      </w:pPr>
    </w:p>
    <w:p>
      <w:pPr>
        <w:jc w:val="left"/>
      </w:pPr>
      <w:r>
        <w:rPr>
          <w:rFonts w:hint="eastAsia"/>
        </w:rPr>
        <w:t>第一药店财智  2022-08-11</w:t>
      </w:r>
    </w:p>
    <w:p>
      <w:pPr>
        <w:jc w:val="left"/>
        <w:rPr>
          <w:rStyle w:val="12"/>
          <w:rFonts w:cs="Helvetica" w:asciiTheme="minorEastAsia" w:hAnsiTheme="minorEastAsia"/>
          <w:b w:val="0"/>
          <w:spacing w:val="15"/>
          <w:sz w:val="28"/>
          <w:szCs w:val="28"/>
        </w:rPr>
      </w:pP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益丰药房，“三年规划”来了。</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8月10日晚间，益丰大药房连锁股份有限公司（下简称“益丰药房”）发布公告，拟发行可转债募集资金总额不超过25.47亿元，扣除发行费用后用于江苏二期、湖北及河北物流中心建设项目、益丰数字化平台升级项目、新建连锁药店项目、补充流动资金项目。</w:t>
      </w:r>
    </w:p>
    <w:p>
      <w:pPr>
        <w:rPr>
          <w:rStyle w:val="12"/>
          <w:spacing w:val="30"/>
          <w:sz w:val="28"/>
          <w:szCs w:val="28"/>
        </w:rPr>
      </w:pPr>
      <w:r>
        <w:rPr>
          <w:rFonts w:hint="eastAsia" w:ascii="微软雅黑" w:hAnsi="微软雅黑" w:eastAsia="微软雅黑"/>
          <w:b/>
          <w:bCs/>
          <w:color w:val="CD0202"/>
          <w:spacing w:val="8"/>
          <w:sz w:val="60"/>
          <w:szCs w:val="60"/>
          <w:shd w:val="clear" w:color="auto" w:fill="FFFFFF"/>
        </w:rPr>
        <w:t>01</w:t>
      </w:r>
      <w:r>
        <w:rPr>
          <w:rStyle w:val="12"/>
          <w:spacing w:val="30"/>
          <w:sz w:val="28"/>
          <w:szCs w:val="28"/>
        </w:rPr>
        <w:t>3年计划新增3900家店</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随着我国零售药店的市场规模持续增长，近年来我国中大型连锁药店企业正在不断加大营销网络建设，积极布局全国市场。</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面对日益激烈的市场竞争格局，益丰药房也在加快门店扩张速度，提高市场占有率。为进一步巩固在市场中的优势地位，益丰药房拟通过本次募投项目扩大渠道布局，总投资金额高达20.15亿元，用于新建连锁门店。</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益丰药房披露，在项目3年建设期内，拟在湖南、上海、江苏、江西、湖北、广东、河北、浙江、天津九省市合计新建连锁门店3900家，及时抢占上述区域的高价值门店资源，在激烈的市场竞争中取得规模领先优势，增强益丰品牌影响力。</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本项目总投资20.15亿元，其中拟使用募集资金为12.85亿元。</w:t>
      </w:r>
    </w:p>
    <w:p>
      <w:pPr>
        <w:rPr>
          <w:rStyle w:val="12"/>
          <w:rFonts w:cs="Helvetica" w:asciiTheme="minorEastAsia" w:hAnsiTheme="minorEastAsia"/>
          <w:b w:val="0"/>
          <w:spacing w:val="15"/>
          <w:sz w:val="28"/>
          <w:szCs w:val="28"/>
        </w:rPr>
      </w:pPr>
    </w:p>
    <w:p>
      <w:pPr>
        <w:ind w:firstLine="620" w:firstLineChars="200"/>
        <w:rPr>
          <w:rStyle w:val="12"/>
          <w:rFonts w:cs="Helvetica" w:asciiTheme="minorEastAsia" w:hAnsiTheme="minorEastAsia"/>
          <w:b w:val="0"/>
          <w:spacing w:val="15"/>
          <w:sz w:val="28"/>
          <w:szCs w:val="28"/>
        </w:rPr>
      </w:pPr>
      <w:bookmarkStart w:id="0" w:name="_GoBack"/>
      <w:bookmarkEnd w:id="0"/>
      <w:r>
        <w:rPr>
          <w:rStyle w:val="12"/>
          <w:rFonts w:hint="eastAsia" w:cs="Helvetica" w:asciiTheme="minorEastAsia" w:hAnsiTheme="minorEastAsia"/>
          <w:b w:val="0"/>
          <w:spacing w:val="15"/>
          <w:sz w:val="28"/>
          <w:szCs w:val="28"/>
        </w:rPr>
        <w:t>对于该项目的必要性，益丰药房表示，一方面，新建连锁药店项目是抓住行业发展新契机，提高综合竞争力的必然选择。另一方面，扩大连锁药店数量有助于益丰药房进一步促进规模效益实现，降低采购成本。这是益丰药房全国性布局战略的进一步推进，有利于保持公司区域市场领先地位。</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根据益丰药房2021年财报，截至2021年末，益丰药房在全国范围内已拥有7809家门店。</w:t>
      </w:r>
    </w:p>
    <w:p>
      <w:pPr>
        <w:ind w:firstLine="620" w:firstLineChars="200"/>
        <w:rPr>
          <w:rStyle w:val="12"/>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4817110" cy="3778250"/>
            <wp:effectExtent l="0" t="0" r="0" b="0"/>
            <wp:docPr id="72" name="图片 72" descr="C:\Users\Administrator\Documents\WeChat Files\ppdeboke\FileStorage\Temp\54bee3a58876c632193519ebf3904b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strator\Documents\WeChat Files\ppdeboke\FileStorage\Temp\54bee3a58876c632193519ebf3904b2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20524" cy="3780928"/>
                    </a:xfrm>
                    <a:prstGeom prst="rect">
                      <a:avLst/>
                    </a:prstGeom>
                    <a:noFill/>
                    <a:ln>
                      <a:noFill/>
                    </a:ln>
                  </pic:spPr>
                </pic:pic>
              </a:graphicData>
            </a:graphic>
          </wp:inline>
        </w:drawing>
      </w:r>
    </w:p>
    <w:p>
      <w:pPr>
        <w:widowControl/>
        <w:jc w:val="center"/>
        <w:rPr>
          <w:rFonts w:ascii="宋体" w:hAnsi="宋体" w:cs="宋体"/>
          <w:color w:val="888888"/>
          <w:spacing w:val="30"/>
          <w:kern w:val="0"/>
          <w:sz w:val="18"/>
          <w:szCs w:val="18"/>
        </w:rPr>
      </w:pPr>
      <w:r>
        <w:rPr>
          <w:rFonts w:ascii="宋体" w:hAnsi="宋体" w:cs="宋体"/>
          <w:color w:val="888888"/>
          <w:spacing w:val="30"/>
          <w:kern w:val="0"/>
          <w:sz w:val="18"/>
          <w:szCs w:val="18"/>
        </w:rPr>
        <w:t>来源：益丰药房官网</w:t>
      </w:r>
    </w:p>
    <w:p>
      <w:pPr>
        <w:widowControl/>
        <w:jc w:val="center"/>
        <w:rPr>
          <w:rFonts w:ascii="宋体" w:hAnsi="宋体" w:cs="宋体"/>
          <w:b/>
          <w:bCs/>
          <w:spacing w:val="30"/>
          <w:kern w:val="0"/>
          <w:szCs w:val="21"/>
        </w:rPr>
      </w:pPr>
    </w:p>
    <w:p>
      <w:pPr>
        <w:widowControl/>
        <w:jc w:val="center"/>
        <w:rPr>
          <w:rFonts w:ascii="宋体" w:hAnsi="宋体" w:cs="宋体"/>
          <w:kern w:val="0"/>
          <w:sz w:val="24"/>
          <w:szCs w:val="24"/>
        </w:rPr>
      </w:pPr>
      <w:r>
        <w:rPr>
          <w:rFonts w:ascii="宋体" w:hAnsi="宋体" w:cs="宋体"/>
          <w:b/>
          <w:bCs/>
          <w:spacing w:val="30"/>
          <w:kern w:val="0"/>
          <w:szCs w:val="21"/>
        </w:rPr>
        <w:t>益丰药房门店网络变化情况</w:t>
      </w:r>
    </w:p>
    <w:p>
      <w:pPr>
        <w:widowControl/>
        <w:shd w:val="clear" w:color="auto" w:fill="FFFFFF"/>
        <w:jc w:val="center"/>
        <w:rPr>
          <w:rFonts w:ascii="微软雅黑" w:hAnsi="微软雅黑" w:eastAsia="微软雅黑" w:cs="宋体"/>
          <w:color w:val="333333"/>
          <w:kern w:val="0"/>
          <w:sz w:val="26"/>
          <w:szCs w:val="26"/>
        </w:rPr>
      </w:pPr>
      <w:r>
        <w:rPr>
          <w:rFonts w:ascii="微软雅黑" w:hAnsi="微软雅黑" w:eastAsia="微软雅黑" w:cs="宋体"/>
          <w:color w:val="333333"/>
          <w:kern w:val="0"/>
          <w:sz w:val="26"/>
          <w:szCs w:val="26"/>
        </w:rPr>
        <w:drawing>
          <wp:inline distT="0" distB="0" distL="0" distR="0">
            <wp:extent cx="5279390" cy="1552575"/>
            <wp:effectExtent l="0" t="0" r="0" b="952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390" cy="1552575"/>
                    </a:xfrm>
                    <a:prstGeom prst="rect">
                      <a:avLst/>
                    </a:prstGeom>
                    <a:noFill/>
                    <a:ln>
                      <a:noFill/>
                    </a:ln>
                  </pic:spPr>
                </pic:pic>
              </a:graphicData>
            </a:graphic>
          </wp:inline>
        </w:drawing>
      </w:r>
    </w:p>
    <w:p>
      <w:pPr>
        <w:jc w:val="center"/>
        <w:rPr>
          <w:rFonts w:ascii="宋体" w:hAnsi="宋体" w:cs="宋体"/>
          <w:color w:val="888888"/>
          <w:spacing w:val="30"/>
          <w:kern w:val="0"/>
          <w:sz w:val="18"/>
          <w:szCs w:val="18"/>
        </w:rPr>
      </w:pPr>
      <w:r>
        <w:rPr>
          <w:rFonts w:ascii="宋体" w:hAnsi="宋体" w:cs="宋体"/>
          <w:color w:val="888888"/>
          <w:spacing w:val="30"/>
          <w:kern w:val="0"/>
          <w:sz w:val="18"/>
          <w:szCs w:val="18"/>
        </w:rPr>
        <w:t>来源：益丰药房2021年财报</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长期以来，益丰药房在湖南、湖北、上海、江苏、江西、浙江、广东、河北、北京九省市区域密集开店，形成了旗舰店、区域中心店、中型社区店和小型社区店的多层次门店网络布局，深度耕耘区域市场，通过深度扩展和品牌渗透，逐步取得市场领先优势。</w:t>
      </w:r>
    </w:p>
    <w:p>
      <w:pPr>
        <w:rPr>
          <w:rStyle w:val="12"/>
          <w:spacing w:val="30"/>
          <w:sz w:val="28"/>
          <w:szCs w:val="28"/>
        </w:rPr>
      </w:pPr>
      <w:r>
        <w:rPr>
          <w:rFonts w:hint="eastAsia" w:ascii="微软雅黑" w:hAnsi="微软雅黑" w:eastAsia="微软雅黑"/>
          <w:b/>
          <w:bCs/>
          <w:color w:val="CD0202"/>
          <w:spacing w:val="8"/>
          <w:sz w:val="60"/>
          <w:szCs w:val="60"/>
          <w:shd w:val="clear" w:color="auto" w:fill="FFFFFF"/>
        </w:rPr>
        <w:t>02</w:t>
      </w:r>
      <w:r>
        <w:rPr>
          <w:rStyle w:val="12"/>
          <w:spacing w:val="30"/>
          <w:sz w:val="28"/>
          <w:szCs w:val="28"/>
        </w:rPr>
        <w:t>升级物流仓储配送网络</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过去五年，益丰药房门店数量保持连年高速增长，年复合增长率为 38.87%。而伴随门店数量不断增加，覆盖范围不断扩大，对仓储配送系统的要求也在不断提高。</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益丰药房表示，目前公司已有的仓储物流中心平台在产品存储容量、配送规模、配送半径及配送效率等方面已无法满足其经营需求。</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基于此，益丰药房拟总投资4.39亿元，在湖北武汉、江苏南京及河北石家庄等地建立现代化医药仓储物流中心，其中江苏二期物流中心、湖北物流中心建设期为3年，河北物流中心建设期2年，项目具体投资情况如下：</w:t>
      </w:r>
    </w:p>
    <w:p>
      <w:pPr>
        <w:rPr>
          <w:rStyle w:val="12"/>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1154430"/>
            <wp:effectExtent l="0" t="0" r="2540" b="7620"/>
            <wp:docPr id="73" name="图片 73" descr="C:\Users\Administrator\Documents\WeChat Files\ppdeboke\FileStorage\Temp\d1685834cf509b96b15587946be454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Documents\WeChat Files\ppdeboke\FileStorage\Temp\d1685834cf509b96b15587946be454d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1154588"/>
                    </a:xfrm>
                    <a:prstGeom prst="rect">
                      <a:avLst/>
                    </a:prstGeom>
                    <a:noFill/>
                    <a:ln>
                      <a:noFill/>
                    </a:ln>
                  </pic:spPr>
                </pic:pic>
              </a:graphicData>
            </a:graphic>
          </wp:inline>
        </w:drawing>
      </w:r>
    </w:p>
    <w:p>
      <w:pPr>
        <w:rPr>
          <w:rStyle w:val="12"/>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1430020"/>
            <wp:effectExtent l="0" t="0" r="2540" b="0"/>
            <wp:docPr id="11" name="图片 11" descr="C:\Users\Administrator\Documents\WeChat Files\ppdeboke\FileStorage\Temp\f82cd37130638678f453b6e917299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WeChat Files\ppdeboke\FileStorage\Temp\f82cd37130638678f453b6e9172998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1430547"/>
                    </a:xfrm>
                    <a:prstGeom prst="rect">
                      <a:avLst/>
                    </a:prstGeom>
                    <a:noFill/>
                    <a:ln>
                      <a:noFill/>
                    </a:ln>
                  </pic:spPr>
                </pic:pic>
              </a:graphicData>
            </a:graphic>
          </wp:inline>
        </w:drawing>
      </w:r>
    </w:p>
    <w:p>
      <w:pPr>
        <w:jc w:val="center"/>
        <w:rPr>
          <w:rFonts w:ascii="微软雅黑" w:hAnsi="微软雅黑" w:eastAsia="微软雅黑"/>
          <w:color w:val="888888"/>
          <w:spacing w:val="30"/>
          <w:sz w:val="18"/>
          <w:szCs w:val="18"/>
          <w:shd w:val="clear" w:color="auto" w:fill="FFFFFF"/>
        </w:rPr>
      </w:pPr>
      <w:r>
        <w:rPr>
          <w:rFonts w:hint="eastAsia" w:ascii="微软雅黑" w:hAnsi="微软雅黑" w:eastAsia="微软雅黑"/>
          <w:color w:val="888888"/>
          <w:spacing w:val="30"/>
          <w:sz w:val="18"/>
          <w:szCs w:val="18"/>
          <w:shd w:val="clear" w:color="auto" w:fill="FFFFFF"/>
        </w:rPr>
        <w:t>来源：益丰药房公告</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益丰药房介绍，将在湖北武汉新建物流中心，并打造成国内医药零售行业智能仓储物流标杆，同时对南京和石家庄现有的仓储物流中心场地进行扩容，实现在武汉、南京、石家庄区域物流资源集中及配送的优化，从而有效满足中南、华东及华北及周边地区门店配送需求，完善公司全国物流仓储配送网络，为公司业务规模快速扩张提供有力的支撑。</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在数字化转型方面，益丰药房拟投资8064.20万元启动数字化平台升级项目，促进实现“以顾客为中心”数字化转型战略，打造医药零售产业新模式，同时高效利用数字资源，提升公司管理效率及决策科学性。</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除了以上投资，益丰药房还拟以7.5亿元的募集资金补充流动资金，以保障公司业务的持续较快增长。</w:t>
      </w:r>
    </w:p>
    <w:p>
      <w:pPr>
        <w:ind w:firstLine="620" w:firstLineChars="200"/>
        <w:rPr>
          <w:rStyle w:val="12"/>
          <w:rFonts w:cs="Helvetica" w:asciiTheme="minorEastAsia" w:hAnsiTheme="minorEastAsia"/>
          <w:b w:val="0"/>
          <w:spacing w:val="15"/>
          <w:sz w:val="28"/>
          <w:szCs w:val="28"/>
        </w:rPr>
      </w:pPr>
    </w:p>
    <w:p>
      <w:pPr>
        <w:jc w:val="left"/>
        <w:rPr>
          <w:rStyle w:val="12"/>
          <w:rFonts w:cs="Helvetica" w:asciiTheme="minorEastAsia" w:hAnsiTheme="minorEastAsia"/>
          <w:b w:val="0"/>
          <w:spacing w:val="15"/>
          <w:sz w:val="28"/>
          <w:szCs w:val="28"/>
          <w:shd w:val="pct10" w:color="auto" w:fill="FFFFFF"/>
        </w:rPr>
      </w:pPr>
      <w:r>
        <w:rPr>
          <w:rStyle w:val="12"/>
          <w:rFonts w:hint="eastAsia" w:cs="Helvetica" w:asciiTheme="minorEastAsia" w:hAnsiTheme="minorEastAsia"/>
          <w:b w:val="0"/>
          <w:spacing w:val="15"/>
          <w:sz w:val="28"/>
          <w:szCs w:val="28"/>
          <w:shd w:val="pct10" w:color="auto" w:fill="FFFFFF"/>
        </w:rPr>
        <w:t>链接：近两年上市公司募资简况</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2022年4月，漱玉平民发布公告，拟募资拟向不特定对象发行总额不超过8亿元可转换公司债券，拟投资于漱玉平民现代物流项目（二期）、漱玉（枣庄）现代化医药物流项目、数字化建设项目及补充流动资金。</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2022年2月，老百姓发布公告称，公司以非公开发行股票方式向特定投资者发行人民币普通股，募集资金总额为17.4亿元，扣除发行费用后募集资金净额为17.3亿元，上述募集资金已于1月27日全部到位。根据此前披露的定增方案显示，老百姓募投资金将用于新建连锁药店项目、华东医药产品分拣加工项目、企业数字化平台及新零售建设项目等。</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2021年9月，健之佳发布公告称，公司拟通过非公开发行募集资金4.2亿元投入健之佳广西现代物流中心工程项目（拟投入8000万）和补充流动资金（拟投入3.4亿）。</w:t>
      </w: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rPr>
          <w:rStyle w:val="12"/>
          <w:rFonts w:cs="Helvetica" w:asciiTheme="minorEastAsia" w:hAnsiTheme="minorEastAsia"/>
          <w:b w:val="0"/>
          <w:spacing w:val="15"/>
          <w:sz w:val="28"/>
          <w:szCs w:val="28"/>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附件6</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中国零售药店市场数据分析（1-6月）</w:t>
      </w:r>
    </w:p>
    <w:p>
      <w:pPr>
        <w:jc w:val="left"/>
      </w:pPr>
    </w:p>
    <w:p>
      <w:pPr>
        <w:jc w:val="left"/>
      </w:pPr>
      <w:r>
        <w:rPr>
          <w:rFonts w:hint="eastAsia"/>
        </w:rPr>
        <w:t xml:space="preserve">第一药店财智  </w:t>
      </w:r>
      <w:r>
        <w:t>2022-08-19</w:t>
      </w:r>
    </w:p>
    <w:p>
      <w:pPr>
        <w:ind w:firstLine="620" w:firstLineChars="200"/>
        <w:rPr>
          <w:rStyle w:val="12"/>
          <w:rFonts w:cs="Helvetica" w:asciiTheme="minorEastAsia" w:hAnsiTheme="minorEastAsia"/>
          <w:b w:val="0"/>
          <w:spacing w:val="15"/>
          <w:sz w:val="28"/>
          <w:szCs w:val="28"/>
        </w:rPr>
      </w:pPr>
    </w:p>
    <w:p>
      <w:pPr>
        <w:ind w:firstLine="580" w:firstLineChars="200"/>
        <w:rPr>
          <w:rStyle w:val="12"/>
          <w:rFonts w:cs="Helvetica" w:asciiTheme="minorEastAsia" w:hAnsiTheme="minorEastAsia"/>
          <w:b w:val="0"/>
          <w:spacing w:val="15"/>
          <w:sz w:val="28"/>
          <w:szCs w:val="28"/>
        </w:rPr>
      </w:pPr>
      <w:r>
        <w:rPr>
          <w:rStyle w:val="13"/>
          <w:rFonts w:hint="eastAsia" w:ascii="微软雅黑" w:hAnsi="微软雅黑" w:eastAsia="微软雅黑"/>
          <w:color w:val="888888"/>
          <w:spacing w:val="30"/>
          <w:sz w:val="23"/>
          <w:szCs w:val="23"/>
          <w:shd w:val="clear" w:color="auto" w:fill="F7F7F7"/>
        </w:rPr>
        <w:t>中康CMH发布中国零售药店市场上半年数据，在市场承压大环境下，零售药店增长虽然缓慢，但整体优于医药制造业，处方药增速高于OTC，维矿类、糖尿病用药、皮肤用药规模双位提升……</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近日，中康CMH《中国零售药店市场分析（上半年数据）》（下称《上半年零售市场分析》）新鲜出炉，《第一药店财智》梳理发现，多项数据表现可圈可点。数据背后所揭示的市场动态，对药店发展极具参考意义。</w:t>
      </w:r>
    </w:p>
    <w:p>
      <w:pPr>
        <w:pStyle w:val="8"/>
        <w:shd w:val="clear" w:color="auto" w:fill="FFFFFF"/>
        <w:spacing w:before="0" w:beforeAutospacing="0" w:after="0" w:afterAutospacing="0" w:line="420" w:lineRule="atLeast"/>
        <w:ind w:left="120" w:right="120"/>
        <w:jc w:val="both"/>
        <w:rPr>
          <w:rFonts w:ascii="微软雅黑" w:hAnsi="微软雅黑" w:eastAsia="微软雅黑"/>
          <w:color w:val="333333"/>
          <w:sz w:val="26"/>
          <w:szCs w:val="26"/>
        </w:rPr>
      </w:pPr>
      <w:r>
        <w:rPr>
          <w:rFonts w:hint="eastAsia" w:ascii="微软雅黑" w:hAnsi="微软雅黑" w:eastAsia="微软雅黑"/>
          <w:b/>
          <w:bCs/>
          <w:color w:val="CD0202"/>
          <w:spacing w:val="8"/>
          <w:sz w:val="60"/>
          <w:szCs w:val="60"/>
          <w:shd w:val="clear" w:color="auto" w:fill="FFFFFF"/>
        </w:rPr>
        <w:t>01</w:t>
      </w:r>
    </w:p>
    <w:p>
      <w:pPr>
        <w:pStyle w:val="8"/>
        <w:shd w:val="clear" w:color="auto" w:fill="FFFFFF"/>
        <w:spacing w:before="0" w:beforeAutospacing="0" w:after="0" w:afterAutospacing="0"/>
        <w:ind w:left="120" w:right="120"/>
        <w:jc w:val="both"/>
        <w:rPr>
          <w:rFonts w:ascii="微软雅黑" w:hAnsi="微软雅黑" w:eastAsia="微软雅黑"/>
          <w:color w:val="222222"/>
          <w:spacing w:val="8"/>
          <w:sz w:val="26"/>
          <w:szCs w:val="26"/>
        </w:rPr>
      </w:pPr>
      <w:r>
        <w:rPr>
          <w:rStyle w:val="12"/>
          <w:rFonts w:hint="eastAsia" w:ascii="微软雅黑" w:hAnsi="微软雅黑" w:eastAsia="微软雅黑"/>
          <w:color w:val="222222"/>
          <w:spacing w:val="30"/>
          <w:shd w:val="clear" w:color="auto" w:fill="FFFFFF"/>
        </w:rPr>
        <w:t>负重前行，零售市场优于医药制造业</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近年来，受大环境景气下降影响，医药零售行业承压日重已是不争事实。“西普指数”披露，2022年Q1药品零售行业发展指数为108.8，回落到2021年前三季度的平均水平。</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然而，由于受益于“带量采购”、“双通道”、“DRG支付改革”等政策红利，药品零售行业将保持螺旋上升趋势。</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零售行业在震荡中上升这一表现，与《上半年零售市场分析》的数据不谋而合。</w:t>
      </w:r>
    </w:p>
    <w:p>
      <w:pPr>
        <w:ind w:firstLine="620" w:firstLineChars="200"/>
        <w:rPr>
          <w:rStyle w:val="12"/>
          <w:rFonts w:cs="Helvetica" w:asciiTheme="minorEastAsia" w:hAnsiTheme="minorEastAsia"/>
          <w:b w:val="0"/>
          <w:spacing w:val="15"/>
          <w:sz w:val="28"/>
          <w:szCs w:val="28"/>
        </w:rPr>
      </w:pPr>
      <w:r>
        <w:rPr>
          <w:rStyle w:val="12"/>
          <w:rFonts w:hint="eastAsia" w:cs="Helvetica" w:asciiTheme="minorEastAsia" w:hAnsiTheme="minorEastAsia"/>
          <w:b w:val="0"/>
          <w:spacing w:val="15"/>
          <w:sz w:val="28"/>
          <w:szCs w:val="28"/>
        </w:rPr>
        <w:t>国家统计局数据显示，2022年上半年，医药制造业增加值同比增长0.9%，增速明显放缓。相比之下，上半年中国零售药店总销售额为2480亿元，同比增长3.4%，增速明显快于医药制造业。而单从6月份表现来看，数据更加亮眼，全国零售药店规模同比增长6.5%。</w:t>
      </w:r>
    </w:p>
    <w:p>
      <w:r>
        <w:drawing>
          <wp:inline distT="0" distB="0" distL="0" distR="0">
            <wp:extent cx="5274310" cy="3813810"/>
            <wp:effectExtent l="0" t="0" r="2540" b="0"/>
            <wp:docPr id="6" name="图片 6" descr="C:\Users\Administrator\Documents\WeChat Files\ppdeboke\FileStorage\Temp\4faa7d46f66c306c8541ce8f12306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ppdeboke\FileStorage\Temp\4faa7d46f66c306c8541ce8f123064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3814416"/>
                    </a:xfrm>
                    <a:prstGeom prst="rect">
                      <a:avLst/>
                    </a:prstGeom>
                    <a:noFill/>
                    <a:ln>
                      <a:noFill/>
                    </a:ln>
                  </pic:spPr>
                </pic:pic>
              </a:graphicData>
            </a:graphic>
          </wp:inline>
        </w:drawing>
      </w:r>
    </w:p>
    <w:p>
      <w:pPr>
        <w:rPr>
          <w:rFonts w:ascii="微软雅黑" w:hAnsi="微软雅黑" w:eastAsia="微软雅黑"/>
          <w:color w:val="888888"/>
          <w:spacing w:val="30"/>
          <w:sz w:val="18"/>
          <w:szCs w:val="18"/>
          <w:shd w:val="clear" w:color="auto" w:fill="FFFFFF"/>
        </w:rPr>
      </w:pPr>
      <w:r>
        <w:rPr>
          <w:rFonts w:hint="eastAsia" w:ascii="微软雅黑" w:hAnsi="微软雅黑" w:eastAsia="微软雅黑"/>
          <w:color w:val="888888"/>
          <w:spacing w:val="30"/>
          <w:sz w:val="18"/>
          <w:szCs w:val="18"/>
          <w:shd w:val="clear" w:color="auto" w:fill="FFFFFF"/>
        </w:rPr>
        <w:t>数据来源：中康CMH</w:t>
      </w:r>
    </w:p>
    <w:p>
      <w:pPr>
        <w:ind w:firstLine="560" w:firstLineChars="200"/>
        <w:rPr>
          <w:rFonts w:asciiTheme="minorEastAsia" w:hAnsiTheme="minorEastAsia"/>
          <w:sz w:val="28"/>
          <w:szCs w:val="28"/>
        </w:rPr>
      </w:pPr>
      <w:r>
        <w:rPr>
          <w:rFonts w:hint="eastAsia" w:asciiTheme="minorEastAsia" w:hAnsiTheme="minorEastAsia" w:eastAsiaTheme="minorEastAsia"/>
          <w:sz w:val="28"/>
          <w:szCs w:val="28"/>
        </w:rPr>
        <w:t>具体到商品属性上，2022上半年，药品与非药品整体销售额同比增速均为3.4%，呈现低速增长。其中，中成药、中药饮片在6月份的销售额有所提升，增长向好。</w:t>
      </w:r>
    </w:p>
    <w:p>
      <w:pPr>
        <w:pStyle w:val="8"/>
        <w:shd w:val="clear" w:color="auto" w:fill="FFFFFF"/>
        <w:spacing w:before="0" w:beforeAutospacing="0" w:after="0" w:afterAutospacing="0" w:line="420" w:lineRule="atLeast"/>
        <w:ind w:left="120" w:right="120"/>
        <w:jc w:val="both"/>
        <w:rPr>
          <w:rFonts w:ascii="微软雅黑" w:hAnsi="微软雅黑" w:eastAsia="微软雅黑"/>
          <w:color w:val="333333"/>
          <w:sz w:val="26"/>
          <w:szCs w:val="26"/>
        </w:rPr>
      </w:pPr>
      <w:r>
        <w:rPr>
          <w:rFonts w:hint="eastAsia" w:ascii="微软雅黑" w:hAnsi="微软雅黑" w:eastAsia="微软雅黑"/>
          <w:b/>
          <w:bCs/>
          <w:color w:val="CD0202"/>
          <w:spacing w:val="8"/>
          <w:sz w:val="60"/>
          <w:szCs w:val="60"/>
          <w:shd w:val="clear" w:color="auto" w:fill="FFFFFF"/>
        </w:rPr>
        <w:t>02</w:t>
      </w:r>
    </w:p>
    <w:p>
      <w:pPr>
        <w:pStyle w:val="8"/>
        <w:shd w:val="clear" w:color="auto" w:fill="FFFFFF"/>
        <w:spacing w:before="0" w:beforeAutospacing="0" w:after="0" w:afterAutospacing="0"/>
        <w:ind w:left="120" w:right="120"/>
        <w:jc w:val="both"/>
        <w:rPr>
          <w:rFonts w:ascii="微软雅黑" w:hAnsi="微软雅黑" w:eastAsia="微软雅黑"/>
          <w:color w:val="333333"/>
          <w:sz w:val="26"/>
          <w:szCs w:val="26"/>
        </w:rPr>
      </w:pPr>
      <w:r>
        <w:rPr>
          <w:rStyle w:val="12"/>
          <w:rFonts w:hint="eastAsia" w:ascii="微软雅黑" w:hAnsi="微软雅黑" w:eastAsia="微软雅黑"/>
          <w:color w:val="333333"/>
          <w:spacing w:val="30"/>
          <w:shd w:val="clear" w:color="auto" w:fill="FFFFFF"/>
        </w:rPr>
        <w:t>政策加持，处方药增速高于OTC</w:t>
      </w:r>
    </w:p>
    <w:p>
      <w:pPr>
        <w:ind w:firstLine="560" w:firstLineChars="200"/>
        <w:rPr>
          <w:rFonts w:asciiTheme="minorEastAsia" w:hAnsiTheme="minorEastAsia"/>
          <w:sz w:val="28"/>
          <w:szCs w:val="28"/>
        </w:rPr>
      </w:pPr>
      <w:r>
        <w:rPr>
          <w:rFonts w:hint="eastAsia" w:asciiTheme="minorEastAsia" w:hAnsiTheme="minorEastAsia"/>
          <w:sz w:val="28"/>
          <w:szCs w:val="28"/>
        </w:rPr>
        <w:t>随着一个名词“处方外流”逐渐成为医药圈乃至社会大众关注的焦点，药店也逐渐迎来了发展的新机遇。所谓处方外流，简单理解是指医院对外开放处方单，患者因此可以凭借处方单，到零售药店购买处方药。</w:t>
      </w:r>
    </w:p>
    <w:p>
      <w:pPr>
        <w:ind w:firstLine="560" w:firstLineChars="200"/>
        <w:rPr>
          <w:rFonts w:asciiTheme="minorEastAsia" w:hAnsiTheme="minorEastAsia"/>
          <w:sz w:val="28"/>
          <w:szCs w:val="28"/>
        </w:rPr>
      </w:pPr>
      <w:r>
        <w:rPr>
          <w:rFonts w:hint="eastAsia" w:asciiTheme="minorEastAsia" w:hAnsiTheme="minorEastAsia"/>
          <w:sz w:val="28"/>
          <w:szCs w:val="28"/>
        </w:rPr>
        <w:t>这一政策的推行，对于药店发展而言无疑是意义重大的。</w:t>
      </w:r>
    </w:p>
    <w:p>
      <w:pPr>
        <w:ind w:firstLine="560" w:firstLineChars="200"/>
        <w:rPr>
          <w:rFonts w:asciiTheme="minorEastAsia" w:hAnsiTheme="minorEastAsia"/>
          <w:sz w:val="28"/>
          <w:szCs w:val="28"/>
        </w:rPr>
      </w:pPr>
      <w:r>
        <w:rPr>
          <w:rFonts w:hint="eastAsia" w:asciiTheme="minorEastAsia" w:hAnsiTheme="minorEastAsia"/>
          <w:sz w:val="28"/>
          <w:szCs w:val="28"/>
        </w:rPr>
        <w:t>《上半年零售市场分析》指出，聚焦于药品市场，2022年上半年，处方药销售额占比达57.8%，比OTC份额高出将近16个百分点，表现亮眼。虽然从增速上来看，处方药与OTC均维持低速增长，但前者增速依然以4%略快于后者的3%。</w:t>
      </w:r>
    </w:p>
    <w:p>
      <w:pPr>
        <w:rPr>
          <w:rFonts w:asciiTheme="minorEastAsia" w:hAnsiTheme="minorEastAsia"/>
          <w:sz w:val="28"/>
          <w:szCs w:val="28"/>
        </w:rPr>
      </w:pPr>
      <w:r>
        <w:rPr>
          <w:rFonts w:asciiTheme="minorEastAsia" w:hAnsiTheme="minorEastAsia"/>
          <w:sz w:val="28"/>
          <w:szCs w:val="28"/>
        </w:rPr>
        <w:drawing>
          <wp:inline distT="0" distB="0" distL="0" distR="0">
            <wp:extent cx="5274310" cy="3623945"/>
            <wp:effectExtent l="0" t="0" r="2540" b="0"/>
            <wp:docPr id="12" name="图片 12" descr="C:\Users\Administrator\Documents\WeChat Files\ppdeboke\FileStorage\Temp\4affcd1590a30b8804001be2949d7d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WeChat Files\ppdeboke\FileStorage\Temp\4affcd1590a30b8804001be2949d7db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624136"/>
                    </a:xfrm>
                    <a:prstGeom prst="rect">
                      <a:avLst/>
                    </a:prstGeom>
                    <a:noFill/>
                    <a:ln>
                      <a:noFill/>
                    </a:ln>
                  </pic:spPr>
                </pic:pic>
              </a:graphicData>
            </a:graphic>
          </wp:inline>
        </w:drawing>
      </w:r>
    </w:p>
    <w:p>
      <w:pPr>
        <w:rPr>
          <w:rFonts w:ascii="微软雅黑" w:hAnsi="微软雅黑" w:eastAsia="微软雅黑"/>
          <w:color w:val="888888"/>
          <w:spacing w:val="30"/>
          <w:sz w:val="18"/>
          <w:szCs w:val="18"/>
          <w:shd w:val="clear" w:color="auto" w:fill="FFFFFF"/>
        </w:rPr>
      </w:pPr>
      <w:r>
        <w:rPr>
          <w:rFonts w:hint="eastAsia" w:ascii="微软雅黑" w:hAnsi="微软雅黑" w:eastAsia="微软雅黑"/>
          <w:color w:val="888888"/>
          <w:spacing w:val="30"/>
          <w:sz w:val="18"/>
          <w:szCs w:val="18"/>
          <w:shd w:val="clear" w:color="auto" w:fill="FFFFFF"/>
        </w:rPr>
        <w:t>数据来源：中康CMH</w:t>
      </w:r>
    </w:p>
    <w:p>
      <w:pPr>
        <w:ind w:firstLine="560" w:firstLineChars="200"/>
        <w:rPr>
          <w:rFonts w:asciiTheme="minorEastAsia" w:hAnsiTheme="minorEastAsia"/>
          <w:sz w:val="28"/>
          <w:szCs w:val="28"/>
        </w:rPr>
      </w:pPr>
      <w:r>
        <w:rPr>
          <w:rFonts w:hint="eastAsia" w:asciiTheme="minorEastAsia" w:hAnsiTheme="minorEastAsia"/>
          <w:sz w:val="28"/>
          <w:szCs w:val="28"/>
        </w:rPr>
        <w:t>不仅如此，当我们把视线拉远到2018年，依然发现当年处方药销售额占比便以52.4%领先于OTC的47.6%的销售额占比。而且，这一领先趋势，在往后数年内继续保持且逐渐扩大。</w:t>
      </w:r>
    </w:p>
    <w:p>
      <w:pPr>
        <w:ind w:firstLine="560" w:firstLineChars="200"/>
        <w:rPr>
          <w:rFonts w:asciiTheme="minorEastAsia" w:hAnsiTheme="minorEastAsia"/>
          <w:sz w:val="28"/>
          <w:szCs w:val="28"/>
        </w:rPr>
      </w:pPr>
      <w:r>
        <w:rPr>
          <w:rFonts w:hint="eastAsia" w:asciiTheme="minorEastAsia" w:hAnsiTheme="minorEastAsia"/>
          <w:sz w:val="28"/>
          <w:szCs w:val="28"/>
        </w:rPr>
        <w:t>逐年细分看，2018年处方药销售额占比高出OTC销售额占比4.8个百分点，在往后3年内，这一领先趋势逐年扩大为7.8、12.4、14.4。乘着政策的东风，处方药在零售药店市场风生水起。</w:t>
      </w:r>
    </w:p>
    <w:p>
      <w:pPr>
        <w:rPr>
          <w:rFonts w:asciiTheme="minorEastAsia" w:hAnsiTheme="minorEastAsia"/>
          <w:sz w:val="28"/>
          <w:szCs w:val="28"/>
        </w:rPr>
      </w:pPr>
      <w:r>
        <w:rPr>
          <w:rFonts w:asciiTheme="minorEastAsia" w:hAnsiTheme="minorEastAsia"/>
          <w:sz w:val="28"/>
          <w:szCs w:val="28"/>
        </w:rPr>
        <w:drawing>
          <wp:inline distT="0" distB="0" distL="0" distR="0">
            <wp:extent cx="5274310" cy="4252595"/>
            <wp:effectExtent l="0" t="0" r="2540" b="0"/>
            <wp:docPr id="14" name="图片 14" descr="C:\Users\Administrator\Documents\WeChat Files\ppdeboke\FileStorage\Temp\835c004f54cb116d2a9f6caa9dbb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ocuments\WeChat Files\ppdeboke\FileStorage\Temp\835c004f54cb116d2a9f6caa9dbb003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4253098"/>
                    </a:xfrm>
                    <a:prstGeom prst="rect">
                      <a:avLst/>
                    </a:prstGeom>
                    <a:noFill/>
                    <a:ln>
                      <a:noFill/>
                    </a:ln>
                  </pic:spPr>
                </pic:pic>
              </a:graphicData>
            </a:graphic>
          </wp:inline>
        </w:drawing>
      </w:r>
    </w:p>
    <w:p>
      <w:pPr>
        <w:rPr>
          <w:rFonts w:ascii="微软雅黑" w:hAnsi="微软雅黑" w:eastAsia="微软雅黑"/>
          <w:color w:val="888888"/>
          <w:spacing w:val="30"/>
          <w:sz w:val="18"/>
          <w:szCs w:val="18"/>
          <w:shd w:val="clear" w:color="auto" w:fill="FFFFFF"/>
        </w:rPr>
      </w:pPr>
      <w:r>
        <w:rPr>
          <w:rFonts w:hint="eastAsia" w:ascii="微软雅黑" w:hAnsi="微软雅黑" w:eastAsia="微软雅黑"/>
          <w:color w:val="888888"/>
          <w:spacing w:val="30"/>
          <w:sz w:val="18"/>
          <w:szCs w:val="18"/>
          <w:shd w:val="clear" w:color="auto" w:fill="FFFFFF"/>
        </w:rPr>
        <w:t>数据来源：中康CMH</w:t>
      </w:r>
    </w:p>
    <w:p>
      <w:pPr>
        <w:ind w:firstLine="560" w:firstLineChars="200"/>
        <w:rPr>
          <w:rFonts w:asciiTheme="minorEastAsia" w:hAnsiTheme="minorEastAsia"/>
          <w:sz w:val="28"/>
          <w:szCs w:val="28"/>
        </w:rPr>
      </w:pPr>
      <w:r>
        <w:rPr>
          <w:rFonts w:hint="eastAsia" w:asciiTheme="minorEastAsia" w:hAnsiTheme="minorEastAsia"/>
          <w:sz w:val="28"/>
          <w:szCs w:val="28"/>
        </w:rPr>
        <w:t>由于处方药走入零售药店，对于药店的专业化水平提出了相应的要求。对于那些在专业化提升上早有动作的药店而言，承接处方外流可谓顺水推舟，而对于专业化布局仍较落后的药店而言，纵使不是“望方兴叹”，也是晚人一步。</w:t>
      </w:r>
    </w:p>
    <w:p>
      <w:pPr>
        <w:ind w:firstLine="560" w:firstLineChars="200"/>
        <w:rPr>
          <w:rFonts w:asciiTheme="minorEastAsia" w:hAnsiTheme="minorEastAsia"/>
          <w:sz w:val="28"/>
          <w:szCs w:val="28"/>
        </w:rPr>
      </w:pPr>
      <w:r>
        <w:rPr>
          <w:rFonts w:hint="eastAsia" w:asciiTheme="minorEastAsia" w:hAnsiTheme="minorEastAsia"/>
          <w:sz w:val="28"/>
          <w:szCs w:val="28"/>
        </w:rPr>
        <w:t>正所谓功不唐捐，处方药在零售市场声量逐年走高，或许有助于推动更多药店加入专业化提升的行列中来。</w:t>
      </w:r>
    </w:p>
    <w:p>
      <w:pPr>
        <w:pStyle w:val="8"/>
        <w:shd w:val="clear" w:color="auto" w:fill="FFFFFF"/>
        <w:spacing w:before="0" w:beforeAutospacing="0" w:after="0" w:afterAutospacing="0" w:line="420" w:lineRule="atLeast"/>
        <w:ind w:left="120" w:right="120"/>
        <w:jc w:val="both"/>
        <w:rPr>
          <w:rFonts w:ascii="微软雅黑" w:hAnsi="微软雅黑" w:eastAsia="微软雅黑"/>
          <w:color w:val="333333"/>
          <w:sz w:val="26"/>
          <w:szCs w:val="26"/>
        </w:rPr>
      </w:pPr>
      <w:r>
        <w:rPr>
          <w:rFonts w:hint="eastAsia" w:ascii="微软雅黑" w:hAnsi="微软雅黑" w:eastAsia="微软雅黑"/>
          <w:b/>
          <w:bCs/>
          <w:color w:val="CD0202"/>
          <w:spacing w:val="8"/>
          <w:sz w:val="60"/>
          <w:szCs w:val="60"/>
          <w:shd w:val="clear" w:color="auto" w:fill="FFFFFF"/>
        </w:rPr>
        <w:t>03</w:t>
      </w:r>
    </w:p>
    <w:p>
      <w:pPr>
        <w:pStyle w:val="8"/>
        <w:shd w:val="clear" w:color="auto" w:fill="FFFFFF"/>
        <w:spacing w:before="0" w:beforeAutospacing="0" w:after="0" w:afterAutospacing="0"/>
        <w:ind w:left="120" w:right="120"/>
        <w:jc w:val="both"/>
        <w:rPr>
          <w:rFonts w:ascii="微软雅黑" w:hAnsi="微软雅黑" w:eastAsia="微软雅黑"/>
          <w:color w:val="333333"/>
          <w:sz w:val="26"/>
          <w:szCs w:val="26"/>
        </w:rPr>
      </w:pPr>
      <w:r>
        <w:rPr>
          <w:rStyle w:val="12"/>
          <w:rFonts w:hint="eastAsia" w:ascii="微软雅黑" w:hAnsi="微软雅黑" w:eastAsia="微软雅黑"/>
          <w:color w:val="333333"/>
          <w:spacing w:val="30"/>
          <w:shd w:val="clear" w:color="auto" w:fill="FFFFFF"/>
        </w:rPr>
        <w:t>洞察机遇，这些产品卖得最好</w:t>
      </w:r>
    </w:p>
    <w:p>
      <w:pPr>
        <w:ind w:firstLine="560" w:firstLineChars="200"/>
        <w:rPr>
          <w:rFonts w:asciiTheme="minorEastAsia" w:hAnsiTheme="minorEastAsia"/>
          <w:sz w:val="28"/>
          <w:szCs w:val="28"/>
        </w:rPr>
      </w:pPr>
      <w:r>
        <w:rPr>
          <w:rFonts w:hint="eastAsia" w:asciiTheme="minorEastAsia" w:hAnsiTheme="minorEastAsia"/>
          <w:sz w:val="28"/>
          <w:szCs w:val="28"/>
        </w:rPr>
        <w:t>对于帮助药店提升销售来说，选品是非常重要的一个维度。</w:t>
      </w:r>
    </w:p>
    <w:p>
      <w:pPr>
        <w:ind w:firstLine="560" w:firstLineChars="200"/>
        <w:rPr>
          <w:rFonts w:asciiTheme="minorEastAsia" w:hAnsiTheme="minorEastAsia"/>
          <w:sz w:val="28"/>
          <w:szCs w:val="28"/>
        </w:rPr>
      </w:pPr>
      <w:r>
        <w:rPr>
          <w:rFonts w:hint="eastAsia" w:asciiTheme="minorEastAsia" w:hAnsiTheme="minorEastAsia"/>
          <w:sz w:val="28"/>
          <w:szCs w:val="28"/>
        </w:rPr>
        <w:t>《上半年零售市场分析》指出，在药品市场上，包括肿瘤药、心脑血管疾病用药（不含高血压）在内的头部品类，依然呈现稳健增长。而维矿类、糖尿病用药、皮肤类用药在上半年均实现双位数提升，表现亮眼。</w:t>
      </w:r>
    </w:p>
    <w:p>
      <w:pPr>
        <w:rPr>
          <w:rFonts w:asciiTheme="minorEastAsia" w:hAnsiTheme="minorEastAsia"/>
          <w:sz w:val="28"/>
          <w:szCs w:val="28"/>
        </w:rPr>
      </w:pPr>
      <w:r>
        <w:rPr>
          <w:rFonts w:asciiTheme="minorEastAsia" w:hAnsiTheme="minorEastAsia"/>
          <w:sz w:val="28"/>
          <w:szCs w:val="28"/>
        </w:rPr>
        <w:drawing>
          <wp:inline distT="0" distB="0" distL="0" distR="0">
            <wp:extent cx="5274310" cy="4727575"/>
            <wp:effectExtent l="0" t="0" r="2540" b="0"/>
            <wp:docPr id="15" name="图片 15" descr="C:\Users\Administrator\Documents\WeChat Files\ppdeboke\FileStorage\Temp\b17e12818c60dc703df091d51e791b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ocuments\WeChat Files\ppdeboke\FileStorage\Temp\b17e12818c60dc703df091d51e791b5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4727755"/>
                    </a:xfrm>
                    <a:prstGeom prst="rect">
                      <a:avLst/>
                    </a:prstGeom>
                    <a:noFill/>
                    <a:ln>
                      <a:noFill/>
                    </a:ln>
                  </pic:spPr>
                </pic:pic>
              </a:graphicData>
            </a:graphic>
          </wp:inline>
        </w:drawing>
      </w:r>
    </w:p>
    <w:p>
      <w:pPr>
        <w:rPr>
          <w:rFonts w:ascii="微软雅黑" w:hAnsi="微软雅黑" w:eastAsia="微软雅黑"/>
          <w:color w:val="888888"/>
          <w:spacing w:val="30"/>
          <w:sz w:val="18"/>
          <w:szCs w:val="18"/>
          <w:shd w:val="clear" w:color="auto" w:fill="FFFFFF"/>
        </w:rPr>
      </w:pPr>
      <w:r>
        <w:rPr>
          <w:rFonts w:hint="eastAsia" w:ascii="微软雅黑" w:hAnsi="微软雅黑" w:eastAsia="微软雅黑"/>
          <w:color w:val="888888"/>
          <w:spacing w:val="30"/>
          <w:sz w:val="18"/>
          <w:szCs w:val="18"/>
          <w:shd w:val="clear" w:color="auto" w:fill="FFFFFF"/>
        </w:rPr>
        <w:t>数据来源：中康CMH</w:t>
      </w:r>
    </w:p>
    <w:p>
      <w:pPr>
        <w:ind w:firstLine="560" w:firstLineChars="200"/>
        <w:rPr>
          <w:rFonts w:asciiTheme="minorEastAsia" w:hAnsiTheme="minorEastAsia"/>
          <w:sz w:val="28"/>
          <w:szCs w:val="28"/>
        </w:rPr>
      </w:pPr>
      <w:r>
        <w:rPr>
          <w:rFonts w:hint="eastAsia" w:asciiTheme="minorEastAsia" w:hAnsiTheme="minorEastAsia"/>
          <w:sz w:val="28"/>
          <w:szCs w:val="28"/>
        </w:rPr>
        <w:t>分市场而言，处方药市场上，TOP10集团榜单阿斯利康、晖致、诺华霸榜前三。石药集团和广药集团分别占据第七、第八名。石药集团增长尤其亮眼，2022年上半年增长高达34%。</w:t>
      </w:r>
    </w:p>
    <w:p>
      <w:pPr>
        <w:rPr>
          <w:rFonts w:asciiTheme="minorEastAsia" w:hAnsiTheme="minorEastAsia"/>
          <w:sz w:val="28"/>
          <w:szCs w:val="28"/>
        </w:rPr>
      </w:pPr>
      <w:r>
        <w:rPr>
          <w:rFonts w:asciiTheme="minorEastAsia" w:hAnsiTheme="minorEastAsia"/>
          <w:sz w:val="28"/>
          <w:szCs w:val="28"/>
        </w:rPr>
        <w:drawing>
          <wp:inline distT="0" distB="0" distL="0" distR="0">
            <wp:extent cx="5274310" cy="4002405"/>
            <wp:effectExtent l="0" t="0" r="2540" b="0"/>
            <wp:docPr id="16" name="图片 16" descr="C:\Users\Administrator\Documents\WeChat Files\ppdeboke\FileStorage\Temp\be5bea0dd40f3d19c86de80692fa4c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ocuments\WeChat Files\ppdeboke\FileStorage\Temp\be5bea0dd40f3d19c86de80692fa4c3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4002665"/>
                    </a:xfrm>
                    <a:prstGeom prst="rect">
                      <a:avLst/>
                    </a:prstGeom>
                    <a:noFill/>
                    <a:ln>
                      <a:noFill/>
                    </a:ln>
                  </pic:spPr>
                </pic:pic>
              </a:graphicData>
            </a:graphic>
          </wp:inline>
        </w:drawing>
      </w:r>
    </w:p>
    <w:p>
      <w:pPr>
        <w:rPr>
          <w:rFonts w:ascii="微软雅黑" w:hAnsi="微软雅黑" w:eastAsia="微软雅黑"/>
          <w:color w:val="888888"/>
          <w:spacing w:val="30"/>
          <w:sz w:val="18"/>
          <w:szCs w:val="18"/>
          <w:shd w:val="clear" w:color="auto" w:fill="FFFFFF"/>
        </w:rPr>
      </w:pPr>
      <w:r>
        <w:rPr>
          <w:rFonts w:hint="eastAsia" w:ascii="微软雅黑" w:hAnsi="微软雅黑" w:eastAsia="微软雅黑"/>
          <w:color w:val="888888"/>
          <w:spacing w:val="30"/>
          <w:sz w:val="18"/>
          <w:szCs w:val="18"/>
          <w:shd w:val="clear" w:color="auto" w:fill="FFFFFF"/>
        </w:rPr>
        <w:t>数据来源：中康CMH</w:t>
      </w:r>
    </w:p>
    <w:p>
      <w:pPr>
        <w:ind w:firstLine="560" w:firstLineChars="200"/>
        <w:rPr>
          <w:rFonts w:asciiTheme="minorEastAsia" w:hAnsiTheme="minorEastAsia"/>
          <w:sz w:val="28"/>
          <w:szCs w:val="28"/>
        </w:rPr>
      </w:pPr>
      <w:r>
        <w:rPr>
          <w:rFonts w:hint="eastAsia" w:asciiTheme="minorEastAsia" w:hAnsiTheme="minorEastAsia"/>
          <w:sz w:val="28"/>
          <w:szCs w:val="28"/>
        </w:rPr>
        <w:t>从处方药产品维度来看，上半年晖致的立普妥、万艾可，阿斯利康的倍他乐克，占据2022年上半年销售榜前三。广药集团品牌金戈排名第五。在高血压和心脑血管疾病用药领域，拜耳的拜新同、阿斯利康的可定，呈现双位数增长。</w:t>
      </w:r>
    </w:p>
    <w:p>
      <w:pPr>
        <w:rPr>
          <w:rFonts w:asciiTheme="minorEastAsia" w:hAnsiTheme="minorEastAsia"/>
          <w:sz w:val="28"/>
          <w:szCs w:val="28"/>
        </w:rPr>
      </w:pPr>
      <w:r>
        <w:rPr>
          <w:rFonts w:asciiTheme="minorEastAsia" w:hAnsiTheme="minorEastAsia"/>
          <w:sz w:val="28"/>
          <w:szCs w:val="28"/>
        </w:rPr>
        <w:drawing>
          <wp:inline distT="0" distB="0" distL="0" distR="0">
            <wp:extent cx="5274310" cy="4391660"/>
            <wp:effectExtent l="0" t="0" r="2540" b="8890"/>
            <wp:docPr id="17" name="图片 17" descr="C:\Users\Administrator\Documents\WeChat Files\ppdeboke\FileStorage\Temp\5f0fc1a1908803903e63f41d20bf5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ocuments\WeChat Files\ppdeboke\FileStorage\Temp\5f0fc1a1908803903e63f41d20bf5a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4392079"/>
                    </a:xfrm>
                    <a:prstGeom prst="rect">
                      <a:avLst/>
                    </a:prstGeom>
                    <a:noFill/>
                    <a:ln>
                      <a:noFill/>
                    </a:ln>
                  </pic:spPr>
                </pic:pic>
              </a:graphicData>
            </a:graphic>
          </wp:inline>
        </w:drawing>
      </w:r>
    </w:p>
    <w:p>
      <w:pPr>
        <w:rPr>
          <w:rFonts w:ascii="微软雅黑" w:hAnsi="微软雅黑" w:eastAsia="微软雅黑"/>
          <w:color w:val="888888"/>
          <w:spacing w:val="30"/>
          <w:sz w:val="18"/>
          <w:szCs w:val="18"/>
          <w:shd w:val="clear" w:color="auto" w:fill="FFFFFF"/>
        </w:rPr>
      </w:pPr>
      <w:r>
        <w:rPr>
          <w:rFonts w:hint="eastAsia" w:ascii="微软雅黑" w:hAnsi="微软雅黑" w:eastAsia="微软雅黑"/>
          <w:color w:val="888888"/>
          <w:spacing w:val="30"/>
          <w:sz w:val="18"/>
          <w:szCs w:val="18"/>
          <w:shd w:val="clear" w:color="auto" w:fill="FFFFFF"/>
        </w:rPr>
        <w:t>数据来源：中康CMH</w:t>
      </w:r>
    </w:p>
    <w:p>
      <w:pPr>
        <w:ind w:firstLine="560" w:firstLineChars="200"/>
        <w:rPr>
          <w:rFonts w:asciiTheme="minorEastAsia" w:hAnsiTheme="minorEastAsia"/>
          <w:sz w:val="28"/>
          <w:szCs w:val="28"/>
        </w:rPr>
      </w:pPr>
      <w:r>
        <w:rPr>
          <w:rFonts w:hint="eastAsia" w:asciiTheme="minorEastAsia" w:hAnsiTheme="minorEastAsia"/>
          <w:sz w:val="28"/>
          <w:szCs w:val="28"/>
        </w:rPr>
        <w:t>再将视线移到消费者大健康市场（包含OTC和保健品），TOP10品牌榜单汤臣倍健、华润三九、Haleon（原GSK）占据前三位置。紧随其后的是广药集团和云南白药。</w:t>
      </w:r>
    </w:p>
    <w:p>
      <w:pPr>
        <w:rPr>
          <w:rFonts w:asciiTheme="minorEastAsia" w:hAnsiTheme="minorEastAsia"/>
          <w:sz w:val="28"/>
          <w:szCs w:val="28"/>
        </w:rPr>
      </w:pPr>
      <w:r>
        <w:rPr>
          <w:rFonts w:asciiTheme="minorEastAsia" w:hAnsiTheme="minorEastAsia"/>
          <w:sz w:val="28"/>
          <w:szCs w:val="28"/>
        </w:rPr>
        <w:drawing>
          <wp:inline distT="0" distB="0" distL="0" distR="0">
            <wp:extent cx="5274310" cy="3511550"/>
            <wp:effectExtent l="0" t="0" r="2540" b="0"/>
            <wp:docPr id="18" name="图片 18" descr="C:\Users\Administrator\Documents\WeChat Files\ppdeboke\FileStorage\Temp\a74bdbbbe2645d89d53a94d03f017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cuments\WeChat Files\ppdeboke\FileStorage\Temp\a74bdbbbe2645d89d53a94d03f01748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3511591"/>
                    </a:xfrm>
                    <a:prstGeom prst="rect">
                      <a:avLst/>
                    </a:prstGeom>
                    <a:noFill/>
                    <a:ln>
                      <a:noFill/>
                    </a:ln>
                  </pic:spPr>
                </pic:pic>
              </a:graphicData>
            </a:graphic>
          </wp:inline>
        </w:drawing>
      </w:r>
    </w:p>
    <w:p>
      <w:pPr>
        <w:rPr>
          <w:rFonts w:ascii="微软雅黑" w:hAnsi="微软雅黑" w:eastAsia="微软雅黑"/>
          <w:color w:val="888888"/>
          <w:spacing w:val="30"/>
          <w:sz w:val="18"/>
          <w:szCs w:val="18"/>
          <w:shd w:val="clear" w:color="auto" w:fill="FFFFFF"/>
        </w:rPr>
      </w:pPr>
      <w:r>
        <w:rPr>
          <w:rFonts w:hint="eastAsia" w:ascii="微软雅黑" w:hAnsi="微软雅黑" w:eastAsia="微软雅黑"/>
          <w:color w:val="888888"/>
          <w:spacing w:val="30"/>
          <w:sz w:val="18"/>
          <w:szCs w:val="18"/>
          <w:shd w:val="clear" w:color="auto" w:fill="FFFFFF"/>
        </w:rPr>
        <w:t>数据来源：中康CMH</w:t>
      </w:r>
    </w:p>
    <w:p>
      <w:pPr>
        <w:ind w:firstLine="560" w:firstLineChars="200"/>
        <w:rPr>
          <w:rFonts w:asciiTheme="minorEastAsia" w:hAnsiTheme="minorEastAsia"/>
          <w:sz w:val="28"/>
          <w:szCs w:val="28"/>
        </w:rPr>
      </w:pPr>
      <w:r>
        <w:rPr>
          <w:rFonts w:hint="eastAsia" w:asciiTheme="minorEastAsia" w:hAnsiTheme="minorEastAsia"/>
          <w:sz w:val="28"/>
          <w:szCs w:val="28"/>
        </w:rPr>
        <w:t>同样从产品维度来看，TOP10品牌榜单上，999感冒灵、阿胶、莲花清瘟胶囊成最受欢迎产品。其中，受多地疫情卷土重来影响，连花清瘟胶囊需求旺盛，销售额同比双位数增长。</w:t>
      </w:r>
    </w:p>
    <w:p>
      <w:pPr>
        <w:rPr>
          <w:rFonts w:asciiTheme="minorEastAsia" w:hAnsiTheme="minorEastAsia"/>
          <w:sz w:val="28"/>
          <w:szCs w:val="28"/>
        </w:rPr>
      </w:pPr>
      <w:r>
        <w:rPr>
          <w:rFonts w:asciiTheme="minorEastAsia" w:hAnsiTheme="minorEastAsia"/>
          <w:sz w:val="28"/>
          <w:szCs w:val="28"/>
        </w:rPr>
        <w:drawing>
          <wp:inline distT="0" distB="0" distL="0" distR="0">
            <wp:extent cx="5274310" cy="4490720"/>
            <wp:effectExtent l="0" t="0" r="2540" b="5080"/>
            <wp:docPr id="19" name="图片 19" descr="C:\Users\Administrator\Documents\WeChat Files\ppdeboke\FileStorage\Temp\2c14d549833e703fef9c57798f0ea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ocuments\WeChat Files\ppdeboke\FileStorage\Temp\2c14d549833e703fef9c57798f0ea4b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4491119"/>
                    </a:xfrm>
                    <a:prstGeom prst="rect">
                      <a:avLst/>
                    </a:prstGeom>
                    <a:noFill/>
                    <a:ln>
                      <a:noFill/>
                    </a:ln>
                  </pic:spPr>
                </pic:pic>
              </a:graphicData>
            </a:graphic>
          </wp:inline>
        </w:drawing>
      </w:r>
    </w:p>
    <w:p>
      <w:pPr>
        <w:rPr>
          <w:rFonts w:ascii="微软雅黑" w:hAnsi="微软雅黑" w:eastAsia="微软雅黑"/>
          <w:color w:val="888888"/>
          <w:spacing w:val="30"/>
          <w:sz w:val="18"/>
          <w:szCs w:val="18"/>
          <w:shd w:val="clear" w:color="auto" w:fill="FFFFFF"/>
        </w:rPr>
      </w:pPr>
      <w:r>
        <w:rPr>
          <w:rFonts w:hint="eastAsia" w:ascii="微软雅黑" w:hAnsi="微软雅黑" w:eastAsia="微软雅黑"/>
          <w:color w:val="888888"/>
          <w:spacing w:val="30"/>
          <w:sz w:val="18"/>
          <w:szCs w:val="18"/>
          <w:shd w:val="clear" w:color="auto" w:fill="FFFFFF"/>
        </w:rPr>
        <w:t>数据来源：中康CMH</w:t>
      </w:r>
    </w:p>
    <w:p>
      <w:pPr>
        <w:ind w:firstLine="560" w:firstLineChars="200"/>
        <w:rPr>
          <w:rFonts w:asciiTheme="minorEastAsia" w:hAnsiTheme="minorEastAsia"/>
          <w:sz w:val="28"/>
          <w:szCs w:val="28"/>
        </w:rPr>
      </w:pPr>
      <w:r>
        <w:rPr>
          <w:rFonts w:hint="eastAsia" w:asciiTheme="minorEastAsia" w:hAnsiTheme="minorEastAsia"/>
          <w:sz w:val="28"/>
          <w:szCs w:val="28"/>
        </w:rPr>
        <w:t>补益产品也占据榜单多个位置，Haleon的钙尔奇系列、华润三九的锌钙特、汤臣倍健的健力多等产品均有不同程度的增长。</w:t>
      </w:r>
    </w:p>
    <w:p>
      <w:pPr>
        <w:pStyle w:val="8"/>
        <w:shd w:val="clear" w:color="auto" w:fill="FFFFFF"/>
        <w:spacing w:before="0" w:beforeAutospacing="0" w:after="0" w:afterAutospacing="0" w:line="420" w:lineRule="atLeast"/>
        <w:ind w:left="120" w:right="120"/>
        <w:jc w:val="both"/>
        <w:rPr>
          <w:rFonts w:ascii="微软雅黑" w:hAnsi="微软雅黑" w:eastAsia="微软雅黑"/>
          <w:color w:val="333333"/>
          <w:sz w:val="26"/>
          <w:szCs w:val="26"/>
        </w:rPr>
      </w:pPr>
      <w:r>
        <w:rPr>
          <w:rFonts w:hint="eastAsia" w:ascii="微软雅黑" w:hAnsi="微软雅黑" w:eastAsia="微软雅黑"/>
          <w:b/>
          <w:bCs/>
          <w:color w:val="CD0202"/>
          <w:spacing w:val="8"/>
          <w:sz w:val="60"/>
          <w:szCs w:val="60"/>
          <w:shd w:val="clear" w:color="auto" w:fill="FFFFFF"/>
        </w:rPr>
        <w:t>04</w:t>
      </w:r>
    </w:p>
    <w:p>
      <w:pPr>
        <w:pStyle w:val="8"/>
        <w:shd w:val="clear" w:color="auto" w:fill="FFFFFF"/>
        <w:spacing w:before="0" w:beforeAutospacing="0" w:after="0" w:afterAutospacing="0"/>
        <w:ind w:left="120" w:right="120"/>
        <w:jc w:val="both"/>
        <w:rPr>
          <w:rFonts w:ascii="微软雅黑" w:hAnsi="微软雅黑" w:eastAsia="微软雅黑"/>
          <w:color w:val="333333"/>
          <w:sz w:val="26"/>
          <w:szCs w:val="26"/>
        </w:rPr>
      </w:pPr>
      <w:r>
        <w:rPr>
          <w:rStyle w:val="12"/>
          <w:rFonts w:hint="eastAsia" w:ascii="微软雅黑" w:hAnsi="微软雅黑" w:eastAsia="微软雅黑"/>
          <w:color w:val="333333"/>
          <w:spacing w:val="30"/>
          <w:shd w:val="clear" w:color="auto" w:fill="FFFFFF"/>
        </w:rPr>
        <w:t>结语</w:t>
      </w:r>
    </w:p>
    <w:p>
      <w:pPr>
        <w:ind w:firstLine="560" w:firstLineChars="200"/>
        <w:rPr>
          <w:rFonts w:asciiTheme="minorEastAsia" w:hAnsiTheme="minorEastAsia" w:eastAsiaTheme="minorEastAsia"/>
          <w:sz w:val="28"/>
          <w:szCs w:val="28"/>
        </w:rPr>
      </w:pPr>
      <w:r>
        <w:rPr>
          <w:rFonts w:hint="eastAsia" w:asciiTheme="minorEastAsia" w:hAnsiTheme="minorEastAsia"/>
          <w:sz w:val="28"/>
          <w:szCs w:val="28"/>
        </w:rPr>
        <w:t>2022年已过大半，医药行业依然在震荡中前行。虽然每人都感受到压力，但是在前行过程中，也不应过于悲观。对于零售药店而言同样如此，如上述《上半年零售市场分析》所披露的，药店在对现状持有清醒认识之外，准确把握住机遇，依然可有作为。</w:t>
      </w:r>
    </w:p>
    <w:p>
      <w:pPr>
        <w:rPr>
          <w:rFonts w:cs="Helvetica" w:asciiTheme="minorEastAsia" w:hAnsiTheme="minorEastAsia"/>
          <w:bCs/>
          <w:spacing w:val="15"/>
          <w:sz w:val="28"/>
          <w:szCs w:val="28"/>
        </w:rPr>
      </w:pPr>
    </w:p>
    <w:sectPr>
      <w:footerReference r:id="rId3" w:type="default"/>
      <w:pgSz w:w="11906" w:h="16838"/>
      <w:pgMar w:top="1440" w:right="1797" w:bottom="1134"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Heiti SC Light">
    <w:altName w:val="Arial Unicode MS"/>
    <w:panose1 w:val="00000000000000000000"/>
    <w:charset w:val="50"/>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docPartObj>
        <w:docPartGallery w:val="autotext"/>
      </w:docPartObj>
    </w:sdtPr>
    <w:sdtContent>
      <w:p>
        <w:pPr>
          <w:pStyle w:val="6"/>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yYzMyZjhjZWI0MmYzYWUxYzE2YThlOTgxY2RjYTIifQ=="/>
  </w:docVars>
  <w:rsids>
    <w:rsidRoot w:val="00EE0913"/>
    <w:rsid w:val="00001BFB"/>
    <w:rsid w:val="00001CAA"/>
    <w:rsid w:val="000022E3"/>
    <w:rsid w:val="000024F5"/>
    <w:rsid w:val="00002766"/>
    <w:rsid w:val="000039EE"/>
    <w:rsid w:val="00003F1F"/>
    <w:rsid w:val="000052F1"/>
    <w:rsid w:val="00005C14"/>
    <w:rsid w:val="00010051"/>
    <w:rsid w:val="000100BC"/>
    <w:rsid w:val="000113BB"/>
    <w:rsid w:val="00011510"/>
    <w:rsid w:val="00011729"/>
    <w:rsid w:val="000128A3"/>
    <w:rsid w:val="00013DD2"/>
    <w:rsid w:val="000146CA"/>
    <w:rsid w:val="00015379"/>
    <w:rsid w:val="000155B7"/>
    <w:rsid w:val="0001575A"/>
    <w:rsid w:val="00015A5C"/>
    <w:rsid w:val="00015D57"/>
    <w:rsid w:val="000175C9"/>
    <w:rsid w:val="00017C59"/>
    <w:rsid w:val="00017FF3"/>
    <w:rsid w:val="000208A4"/>
    <w:rsid w:val="0002159E"/>
    <w:rsid w:val="00022B29"/>
    <w:rsid w:val="00022D08"/>
    <w:rsid w:val="0002356D"/>
    <w:rsid w:val="0002364C"/>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37ADC"/>
    <w:rsid w:val="00040400"/>
    <w:rsid w:val="00040A70"/>
    <w:rsid w:val="00040DA8"/>
    <w:rsid w:val="000417F0"/>
    <w:rsid w:val="000420F3"/>
    <w:rsid w:val="000436FE"/>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8B6"/>
    <w:rsid w:val="00056ADA"/>
    <w:rsid w:val="00057226"/>
    <w:rsid w:val="00057394"/>
    <w:rsid w:val="00057873"/>
    <w:rsid w:val="00057E16"/>
    <w:rsid w:val="00060194"/>
    <w:rsid w:val="00060829"/>
    <w:rsid w:val="00060B4E"/>
    <w:rsid w:val="00060DB6"/>
    <w:rsid w:val="00060E3A"/>
    <w:rsid w:val="00060F2A"/>
    <w:rsid w:val="000612FF"/>
    <w:rsid w:val="00061883"/>
    <w:rsid w:val="0006228B"/>
    <w:rsid w:val="000626AD"/>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4A61"/>
    <w:rsid w:val="000755B1"/>
    <w:rsid w:val="0007594B"/>
    <w:rsid w:val="00076278"/>
    <w:rsid w:val="00076422"/>
    <w:rsid w:val="00076AA0"/>
    <w:rsid w:val="00077AA6"/>
    <w:rsid w:val="00081C4C"/>
    <w:rsid w:val="0008296C"/>
    <w:rsid w:val="00082B25"/>
    <w:rsid w:val="00082D82"/>
    <w:rsid w:val="0008334C"/>
    <w:rsid w:val="00084851"/>
    <w:rsid w:val="000853DB"/>
    <w:rsid w:val="000855A7"/>
    <w:rsid w:val="00085664"/>
    <w:rsid w:val="00085999"/>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9F2"/>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2C0"/>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6AD4"/>
    <w:rsid w:val="0010723C"/>
    <w:rsid w:val="00107268"/>
    <w:rsid w:val="001110C3"/>
    <w:rsid w:val="0011189B"/>
    <w:rsid w:val="00113937"/>
    <w:rsid w:val="00113DC5"/>
    <w:rsid w:val="00114185"/>
    <w:rsid w:val="00114802"/>
    <w:rsid w:val="001149F4"/>
    <w:rsid w:val="001173FB"/>
    <w:rsid w:val="00117A35"/>
    <w:rsid w:val="0012030B"/>
    <w:rsid w:val="00120A62"/>
    <w:rsid w:val="00121C29"/>
    <w:rsid w:val="00122376"/>
    <w:rsid w:val="00122583"/>
    <w:rsid w:val="001225B1"/>
    <w:rsid w:val="001228C5"/>
    <w:rsid w:val="00123126"/>
    <w:rsid w:val="00123D5A"/>
    <w:rsid w:val="00123FCE"/>
    <w:rsid w:val="0012415F"/>
    <w:rsid w:val="00124221"/>
    <w:rsid w:val="00125020"/>
    <w:rsid w:val="00126255"/>
    <w:rsid w:val="00126BF8"/>
    <w:rsid w:val="0012750C"/>
    <w:rsid w:val="0012752B"/>
    <w:rsid w:val="00127A07"/>
    <w:rsid w:val="0013048B"/>
    <w:rsid w:val="00130EEA"/>
    <w:rsid w:val="00131CBA"/>
    <w:rsid w:val="00131EC6"/>
    <w:rsid w:val="00132673"/>
    <w:rsid w:val="001326AA"/>
    <w:rsid w:val="00133315"/>
    <w:rsid w:val="00134DA7"/>
    <w:rsid w:val="00136D64"/>
    <w:rsid w:val="001403FA"/>
    <w:rsid w:val="001407D8"/>
    <w:rsid w:val="0014087D"/>
    <w:rsid w:val="001424A8"/>
    <w:rsid w:val="0014298A"/>
    <w:rsid w:val="00142E3F"/>
    <w:rsid w:val="0014384A"/>
    <w:rsid w:val="001440EE"/>
    <w:rsid w:val="00144ECC"/>
    <w:rsid w:val="001455A2"/>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4D14"/>
    <w:rsid w:val="00165C37"/>
    <w:rsid w:val="001670DA"/>
    <w:rsid w:val="0017152E"/>
    <w:rsid w:val="00171A68"/>
    <w:rsid w:val="001739AD"/>
    <w:rsid w:val="00173C28"/>
    <w:rsid w:val="0017408C"/>
    <w:rsid w:val="0017443B"/>
    <w:rsid w:val="0017457B"/>
    <w:rsid w:val="00175134"/>
    <w:rsid w:val="001767E5"/>
    <w:rsid w:val="0018153F"/>
    <w:rsid w:val="0018160E"/>
    <w:rsid w:val="00181800"/>
    <w:rsid w:val="0018452F"/>
    <w:rsid w:val="00185B3C"/>
    <w:rsid w:val="00186072"/>
    <w:rsid w:val="0018620F"/>
    <w:rsid w:val="001864C9"/>
    <w:rsid w:val="00187303"/>
    <w:rsid w:val="001903A2"/>
    <w:rsid w:val="001905DD"/>
    <w:rsid w:val="001908AB"/>
    <w:rsid w:val="00190927"/>
    <w:rsid w:val="00190F6E"/>
    <w:rsid w:val="001919F5"/>
    <w:rsid w:val="00191FD5"/>
    <w:rsid w:val="0019335B"/>
    <w:rsid w:val="00193B69"/>
    <w:rsid w:val="00193F34"/>
    <w:rsid w:val="0019486C"/>
    <w:rsid w:val="00195DC1"/>
    <w:rsid w:val="001962FE"/>
    <w:rsid w:val="001A038F"/>
    <w:rsid w:val="001A0497"/>
    <w:rsid w:val="001A0670"/>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3F7"/>
    <w:rsid w:val="001C39E0"/>
    <w:rsid w:val="001C39FD"/>
    <w:rsid w:val="001C4801"/>
    <w:rsid w:val="001C508D"/>
    <w:rsid w:val="001C5A48"/>
    <w:rsid w:val="001D0737"/>
    <w:rsid w:val="001D107C"/>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F04"/>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1F7965"/>
    <w:rsid w:val="0020139B"/>
    <w:rsid w:val="002022A3"/>
    <w:rsid w:val="002034B9"/>
    <w:rsid w:val="00203567"/>
    <w:rsid w:val="00203947"/>
    <w:rsid w:val="00205880"/>
    <w:rsid w:val="00205AB9"/>
    <w:rsid w:val="00205B89"/>
    <w:rsid w:val="00205EB5"/>
    <w:rsid w:val="00207153"/>
    <w:rsid w:val="002075FF"/>
    <w:rsid w:val="0020779A"/>
    <w:rsid w:val="002103E0"/>
    <w:rsid w:val="0021048A"/>
    <w:rsid w:val="002105D7"/>
    <w:rsid w:val="0021132D"/>
    <w:rsid w:val="002119CC"/>
    <w:rsid w:val="00211DD8"/>
    <w:rsid w:val="002122CD"/>
    <w:rsid w:val="00212300"/>
    <w:rsid w:val="00213B80"/>
    <w:rsid w:val="00214454"/>
    <w:rsid w:val="0021452B"/>
    <w:rsid w:val="002158D3"/>
    <w:rsid w:val="002160B9"/>
    <w:rsid w:val="00216CDF"/>
    <w:rsid w:val="002173B6"/>
    <w:rsid w:val="00221241"/>
    <w:rsid w:val="002228FF"/>
    <w:rsid w:val="00222CC3"/>
    <w:rsid w:val="00223404"/>
    <w:rsid w:val="002236A0"/>
    <w:rsid w:val="002243A0"/>
    <w:rsid w:val="002243A5"/>
    <w:rsid w:val="002249B6"/>
    <w:rsid w:val="00226714"/>
    <w:rsid w:val="002278CC"/>
    <w:rsid w:val="00230207"/>
    <w:rsid w:val="00230B63"/>
    <w:rsid w:val="00230C6B"/>
    <w:rsid w:val="00230CE7"/>
    <w:rsid w:val="00231311"/>
    <w:rsid w:val="002314A5"/>
    <w:rsid w:val="002318A0"/>
    <w:rsid w:val="002327D9"/>
    <w:rsid w:val="00232967"/>
    <w:rsid w:val="00233542"/>
    <w:rsid w:val="0023379C"/>
    <w:rsid w:val="00233C59"/>
    <w:rsid w:val="002342D9"/>
    <w:rsid w:val="00235103"/>
    <w:rsid w:val="002351A4"/>
    <w:rsid w:val="00236537"/>
    <w:rsid w:val="00237D91"/>
    <w:rsid w:val="0024061C"/>
    <w:rsid w:val="00240C67"/>
    <w:rsid w:val="00240FAB"/>
    <w:rsid w:val="002416FC"/>
    <w:rsid w:val="002427C2"/>
    <w:rsid w:val="00244227"/>
    <w:rsid w:val="00244248"/>
    <w:rsid w:val="0024457B"/>
    <w:rsid w:val="00244ABD"/>
    <w:rsid w:val="00245654"/>
    <w:rsid w:val="00245FDA"/>
    <w:rsid w:val="0024640D"/>
    <w:rsid w:val="00247264"/>
    <w:rsid w:val="00247497"/>
    <w:rsid w:val="00247AA4"/>
    <w:rsid w:val="00247E86"/>
    <w:rsid w:val="00250160"/>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5CF"/>
    <w:rsid w:val="002625D6"/>
    <w:rsid w:val="002626AA"/>
    <w:rsid w:val="002629B4"/>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518"/>
    <w:rsid w:val="00276854"/>
    <w:rsid w:val="00276911"/>
    <w:rsid w:val="00276E5B"/>
    <w:rsid w:val="002776BC"/>
    <w:rsid w:val="002806FF"/>
    <w:rsid w:val="0028072E"/>
    <w:rsid w:val="00280939"/>
    <w:rsid w:val="0028113F"/>
    <w:rsid w:val="00281484"/>
    <w:rsid w:val="00282D8C"/>
    <w:rsid w:val="00283DBC"/>
    <w:rsid w:val="00284758"/>
    <w:rsid w:val="00285A99"/>
    <w:rsid w:val="00286031"/>
    <w:rsid w:val="00286857"/>
    <w:rsid w:val="002906A4"/>
    <w:rsid w:val="00291A08"/>
    <w:rsid w:val="002920A8"/>
    <w:rsid w:val="00292553"/>
    <w:rsid w:val="00292558"/>
    <w:rsid w:val="00292833"/>
    <w:rsid w:val="00292AA3"/>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BAE"/>
    <w:rsid w:val="002B1F7B"/>
    <w:rsid w:val="002B1FCF"/>
    <w:rsid w:val="002B3ED6"/>
    <w:rsid w:val="002B3FA2"/>
    <w:rsid w:val="002B46CC"/>
    <w:rsid w:val="002B4A21"/>
    <w:rsid w:val="002B4B4C"/>
    <w:rsid w:val="002B4DC6"/>
    <w:rsid w:val="002B5298"/>
    <w:rsid w:val="002B556C"/>
    <w:rsid w:val="002B5B13"/>
    <w:rsid w:val="002B681D"/>
    <w:rsid w:val="002C1C42"/>
    <w:rsid w:val="002C1E38"/>
    <w:rsid w:val="002C2126"/>
    <w:rsid w:val="002C26E3"/>
    <w:rsid w:val="002C31C2"/>
    <w:rsid w:val="002C3457"/>
    <w:rsid w:val="002C393C"/>
    <w:rsid w:val="002C3FEE"/>
    <w:rsid w:val="002C431C"/>
    <w:rsid w:val="002C46BB"/>
    <w:rsid w:val="002C473E"/>
    <w:rsid w:val="002C4A09"/>
    <w:rsid w:val="002C510D"/>
    <w:rsid w:val="002C72F3"/>
    <w:rsid w:val="002C7A72"/>
    <w:rsid w:val="002C7DC1"/>
    <w:rsid w:val="002D1189"/>
    <w:rsid w:val="002D1EA0"/>
    <w:rsid w:val="002D2553"/>
    <w:rsid w:val="002D2D9C"/>
    <w:rsid w:val="002D3CB8"/>
    <w:rsid w:val="002D4680"/>
    <w:rsid w:val="002D4FF8"/>
    <w:rsid w:val="002D50D6"/>
    <w:rsid w:val="002D580B"/>
    <w:rsid w:val="002D5B47"/>
    <w:rsid w:val="002D68A2"/>
    <w:rsid w:val="002D7855"/>
    <w:rsid w:val="002D7BEE"/>
    <w:rsid w:val="002E096F"/>
    <w:rsid w:val="002E1EA0"/>
    <w:rsid w:val="002E2D86"/>
    <w:rsid w:val="002E36AC"/>
    <w:rsid w:val="002E3F25"/>
    <w:rsid w:val="002E4FD9"/>
    <w:rsid w:val="002E5E7D"/>
    <w:rsid w:val="002E6ABE"/>
    <w:rsid w:val="002F0685"/>
    <w:rsid w:val="002F06C9"/>
    <w:rsid w:val="002F1160"/>
    <w:rsid w:val="002F13BC"/>
    <w:rsid w:val="002F1F90"/>
    <w:rsid w:val="002F3403"/>
    <w:rsid w:val="002F3F94"/>
    <w:rsid w:val="002F40B3"/>
    <w:rsid w:val="002F526F"/>
    <w:rsid w:val="002F55CA"/>
    <w:rsid w:val="002F58B5"/>
    <w:rsid w:val="002F6E14"/>
    <w:rsid w:val="002F7B7B"/>
    <w:rsid w:val="00300477"/>
    <w:rsid w:val="00300F79"/>
    <w:rsid w:val="00302DBE"/>
    <w:rsid w:val="00304584"/>
    <w:rsid w:val="00304793"/>
    <w:rsid w:val="003047E7"/>
    <w:rsid w:val="003051B4"/>
    <w:rsid w:val="00305369"/>
    <w:rsid w:val="00305412"/>
    <w:rsid w:val="00306DBC"/>
    <w:rsid w:val="003070F1"/>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48B"/>
    <w:rsid w:val="003179E4"/>
    <w:rsid w:val="00317BF9"/>
    <w:rsid w:val="00320350"/>
    <w:rsid w:val="00320FE0"/>
    <w:rsid w:val="003210F3"/>
    <w:rsid w:val="00321602"/>
    <w:rsid w:val="0032169F"/>
    <w:rsid w:val="00322C5C"/>
    <w:rsid w:val="00323170"/>
    <w:rsid w:val="00323392"/>
    <w:rsid w:val="0032363C"/>
    <w:rsid w:val="00323C2E"/>
    <w:rsid w:val="00323DE1"/>
    <w:rsid w:val="00324197"/>
    <w:rsid w:val="003245D3"/>
    <w:rsid w:val="00325071"/>
    <w:rsid w:val="003268D7"/>
    <w:rsid w:val="00327CAF"/>
    <w:rsid w:val="00327FE5"/>
    <w:rsid w:val="0033263D"/>
    <w:rsid w:val="0033291B"/>
    <w:rsid w:val="0033465D"/>
    <w:rsid w:val="00335274"/>
    <w:rsid w:val="00335A4E"/>
    <w:rsid w:val="00335C44"/>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47111"/>
    <w:rsid w:val="003507E9"/>
    <w:rsid w:val="00350845"/>
    <w:rsid w:val="00351168"/>
    <w:rsid w:val="00352C9C"/>
    <w:rsid w:val="0035304D"/>
    <w:rsid w:val="00354BFD"/>
    <w:rsid w:val="00354D1F"/>
    <w:rsid w:val="00357A31"/>
    <w:rsid w:val="00357D07"/>
    <w:rsid w:val="00360F8B"/>
    <w:rsid w:val="00361C58"/>
    <w:rsid w:val="00361E31"/>
    <w:rsid w:val="00361FBE"/>
    <w:rsid w:val="00364EDB"/>
    <w:rsid w:val="00365092"/>
    <w:rsid w:val="003656A7"/>
    <w:rsid w:val="00365C24"/>
    <w:rsid w:val="003662F1"/>
    <w:rsid w:val="00366589"/>
    <w:rsid w:val="00366A50"/>
    <w:rsid w:val="00366F4D"/>
    <w:rsid w:val="0036711D"/>
    <w:rsid w:val="00367305"/>
    <w:rsid w:val="0036751A"/>
    <w:rsid w:val="003679CE"/>
    <w:rsid w:val="00370103"/>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AC"/>
    <w:rsid w:val="003902B7"/>
    <w:rsid w:val="003902FB"/>
    <w:rsid w:val="00390444"/>
    <w:rsid w:val="00390561"/>
    <w:rsid w:val="00390851"/>
    <w:rsid w:val="0039109A"/>
    <w:rsid w:val="003914FA"/>
    <w:rsid w:val="00393655"/>
    <w:rsid w:val="003938AF"/>
    <w:rsid w:val="00393F06"/>
    <w:rsid w:val="0039555E"/>
    <w:rsid w:val="003962F0"/>
    <w:rsid w:val="00397D5A"/>
    <w:rsid w:val="00397F9A"/>
    <w:rsid w:val="003A06BF"/>
    <w:rsid w:val="003A082D"/>
    <w:rsid w:val="003A0FC6"/>
    <w:rsid w:val="003A17C6"/>
    <w:rsid w:val="003A1EDA"/>
    <w:rsid w:val="003A2A79"/>
    <w:rsid w:val="003A2D64"/>
    <w:rsid w:val="003A3081"/>
    <w:rsid w:val="003A4135"/>
    <w:rsid w:val="003A5055"/>
    <w:rsid w:val="003A516D"/>
    <w:rsid w:val="003A5641"/>
    <w:rsid w:val="003A583B"/>
    <w:rsid w:val="003A67B2"/>
    <w:rsid w:val="003A6902"/>
    <w:rsid w:val="003A7F64"/>
    <w:rsid w:val="003B014F"/>
    <w:rsid w:val="003B044F"/>
    <w:rsid w:val="003B0B28"/>
    <w:rsid w:val="003B0EE9"/>
    <w:rsid w:val="003B24E8"/>
    <w:rsid w:val="003B2521"/>
    <w:rsid w:val="003B37EF"/>
    <w:rsid w:val="003B3A38"/>
    <w:rsid w:val="003B3A52"/>
    <w:rsid w:val="003B478F"/>
    <w:rsid w:val="003B5078"/>
    <w:rsid w:val="003B6CEF"/>
    <w:rsid w:val="003B7665"/>
    <w:rsid w:val="003B794B"/>
    <w:rsid w:val="003C0CEC"/>
    <w:rsid w:val="003C1120"/>
    <w:rsid w:val="003C1999"/>
    <w:rsid w:val="003C1A2D"/>
    <w:rsid w:val="003C31B3"/>
    <w:rsid w:val="003C34EC"/>
    <w:rsid w:val="003C356F"/>
    <w:rsid w:val="003C3686"/>
    <w:rsid w:val="003C3AD5"/>
    <w:rsid w:val="003C46AB"/>
    <w:rsid w:val="003C4D36"/>
    <w:rsid w:val="003C594F"/>
    <w:rsid w:val="003C5C2A"/>
    <w:rsid w:val="003C6E83"/>
    <w:rsid w:val="003C79BE"/>
    <w:rsid w:val="003D073B"/>
    <w:rsid w:val="003D1CD9"/>
    <w:rsid w:val="003D24D6"/>
    <w:rsid w:val="003D2AE9"/>
    <w:rsid w:val="003D402A"/>
    <w:rsid w:val="003D4BFD"/>
    <w:rsid w:val="003D4F06"/>
    <w:rsid w:val="003D68AB"/>
    <w:rsid w:val="003D7AC8"/>
    <w:rsid w:val="003D7B40"/>
    <w:rsid w:val="003E0D0F"/>
    <w:rsid w:val="003E1888"/>
    <w:rsid w:val="003E3DE0"/>
    <w:rsid w:val="003E499D"/>
    <w:rsid w:val="003E4D7B"/>
    <w:rsid w:val="003E50E1"/>
    <w:rsid w:val="003E5215"/>
    <w:rsid w:val="003E524C"/>
    <w:rsid w:val="003E5B90"/>
    <w:rsid w:val="003E6D15"/>
    <w:rsid w:val="003E6FE6"/>
    <w:rsid w:val="003E70B9"/>
    <w:rsid w:val="003E711B"/>
    <w:rsid w:val="003E74F7"/>
    <w:rsid w:val="003E76BE"/>
    <w:rsid w:val="003F09D8"/>
    <w:rsid w:val="003F11DF"/>
    <w:rsid w:val="003F12FB"/>
    <w:rsid w:val="003F1864"/>
    <w:rsid w:val="003F1C89"/>
    <w:rsid w:val="003F1D3F"/>
    <w:rsid w:val="003F1F98"/>
    <w:rsid w:val="003F3312"/>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DE5"/>
    <w:rsid w:val="004101C2"/>
    <w:rsid w:val="0041038A"/>
    <w:rsid w:val="00412203"/>
    <w:rsid w:val="00412CF6"/>
    <w:rsid w:val="00413FA9"/>
    <w:rsid w:val="004142CB"/>
    <w:rsid w:val="004145E0"/>
    <w:rsid w:val="0041468C"/>
    <w:rsid w:val="00414706"/>
    <w:rsid w:val="00415BFA"/>
    <w:rsid w:val="00415F69"/>
    <w:rsid w:val="00416421"/>
    <w:rsid w:val="00416EF8"/>
    <w:rsid w:val="00417AE2"/>
    <w:rsid w:val="00421A67"/>
    <w:rsid w:val="00421F7A"/>
    <w:rsid w:val="004220BE"/>
    <w:rsid w:val="00423DB5"/>
    <w:rsid w:val="00425249"/>
    <w:rsid w:val="0042555B"/>
    <w:rsid w:val="00425DDE"/>
    <w:rsid w:val="00430063"/>
    <w:rsid w:val="00431042"/>
    <w:rsid w:val="00431504"/>
    <w:rsid w:val="00432908"/>
    <w:rsid w:val="00432E09"/>
    <w:rsid w:val="00433299"/>
    <w:rsid w:val="0043362D"/>
    <w:rsid w:val="00433A99"/>
    <w:rsid w:val="00434263"/>
    <w:rsid w:val="0043430C"/>
    <w:rsid w:val="004348D6"/>
    <w:rsid w:val="00434C44"/>
    <w:rsid w:val="00436B3A"/>
    <w:rsid w:val="00440712"/>
    <w:rsid w:val="004407B0"/>
    <w:rsid w:val="00441126"/>
    <w:rsid w:val="00442243"/>
    <w:rsid w:val="004424C2"/>
    <w:rsid w:val="004434D1"/>
    <w:rsid w:val="004443DB"/>
    <w:rsid w:val="00444478"/>
    <w:rsid w:val="0044561B"/>
    <w:rsid w:val="00445B89"/>
    <w:rsid w:val="00446986"/>
    <w:rsid w:val="00447011"/>
    <w:rsid w:val="00447F78"/>
    <w:rsid w:val="004509DA"/>
    <w:rsid w:val="00450A96"/>
    <w:rsid w:val="00451772"/>
    <w:rsid w:val="00452EE2"/>
    <w:rsid w:val="00453117"/>
    <w:rsid w:val="00454775"/>
    <w:rsid w:val="0045582A"/>
    <w:rsid w:val="00455DBA"/>
    <w:rsid w:val="004569D8"/>
    <w:rsid w:val="00457D43"/>
    <w:rsid w:val="00457E13"/>
    <w:rsid w:val="004600C4"/>
    <w:rsid w:val="00460D45"/>
    <w:rsid w:val="00461C9E"/>
    <w:rsid w:val="004623D3"/>
    <w:rsid w:val="004636AB"/>
    <w:rsid w:val="004639B2"/>
    <w:rsid w:val="00463B34"/>
    <w:rsid w:val="00465B50"/>
    <w:rsid w:val="00465C48"/>
    <w:rsid w:val="00465EB8"/>
    <w:rsid w:val="004670EB"/>
    <w:rsid w:val="0046721D"/>
    <w:rsid w:val="004672D7"/>
    <w:rsid w:val="00467651"/>
    <w:rsid w:val="004677A5"/>
    <w:rsid w:val="00467DC3"/>
    <w:rsid w:val="0047089B"/>
    <w:rsid w:val="00470CEB"/>
    <w:rsid w:val="00470F7B"/>
    <w:rsid w:val="00471E9C"/>
    <w:rsid w:val="00472E84"/>
    <w:rsid w:val="00473BC1"/>
    <w:rsid w:val="00474E7F"/>
    <w:rsid w:val="00475AD3"/>
    <w:rsid w:val="00475C42"/>
    <w:rsid w:val="00475D3D"/>
    <w:rsid w:val="00476200"/>
    <w:rsid w:val="00476F76"/>
    <w:rsid w:val="00480642"/>
    <w:rsid w:val="00480C0D"/>
    <w:rsid w:val="0048102A"/>
    <w:rsid w:val="004812A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5F1"/>
    <w:rsid w:val="004B5B57"/>
    <w:rsid w:val="004B5FCB"/>
    <w:rsid w:val="004B64CC"/>
    <w:rsid w:val="004B67CE"/>
    <w:rsid w:val="004B6DAD"/>
    <w:rsid w:val="004B6FA0"/>
    <w:rsid w:val="004C0247"/>
    <w:rsid w:val="004C171A"/>
    <w:rsid w:val="004C3CBE"/>
    <w:rsid w:val="004C3CE4"/>
    <w:rsid w:val="004C4274"/>
    <w:rsid w:val="004C7281"/>
    <w:rsid w:val="004C7C97"/>
    <w:rsid w:val="004D0092"/>
    <w:rsid w:val="004D0111"/>
    <w:rsid w:val="004D084D"/>
    <w:rsid w:val="004D2867"/>
    <w:rsid w:val="004D35EC"/>
    <w:rsid w:val="004D3876"/>
    <w:rsid w:val="004D4BAA"/>
    <w:rsid w:val="004D4C2F"/>
    <w:rsid w:val="004D4E85"/>
    <w:rsid w:val="004D60C7"/>
    <w:rsid w:val="004D6958"/>
    <w:rsid w:val="004E1511"/>
    <w:rsid w:val="004E1A94"/>
    <w:rsid w:val="004E29A8"/>
    <w:rsid w:val="004E2ADA"/>
    <w:rsid w:val="004E38CE"/>
    <w:rsid w:val="004E3ED9"/>
    <w:rsid w:val="004E3F4A"/>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1C4"/>
    <w:rsid w:val="005005F8"/>
    <w:rsid w:val="00500E96"/>
    <w:rsid w:val="0050100C"/>
    <w:rsid w:val="005021B9"/>
    <w:rsid w:val="00503712"/>
    <w:rsid w:val="005042C2"/>
    <w:rsid w:val="00505232"/>
    <w:rsid w:val="00505EA4"/>
    <w:rsid w:val="00505F7D"/>
    <w:rsid w:val="00506F31"/>
    <w:rsid w:val="00507E29"/>
    <w:rsid w:val="00510E72"/>
    <w:rsid w:val="0051119F"/>
    <w:rsid w:val="00511CFB"/>
    <w:rsid w:val="005132F6"/>
    <w:rsid w:val="00514C16"/>
    <w:rsid w:val="0051595C"/>
    <w:rsid w:val="00515B45"/>
    <w:rsid w:val="0051644E"/>
    <w:rsid w:val="0051646E"/>
    <w:rsid w:val="005174E7"/>
    <w:rsid w:val="00517C0C"/>
    <w:rsid w:val="00520913"/>
    <w:rsid w:val="005213F6"/>
    <w:rsid w:val="00521621"/>
    <w:rsid w:val="00521C2D"/>
    <w:rsid w:val="00522893"/>
    <w:rsid w:val="00523B2B"/>
    <w:rsid w:val="00523D61"/>
    <w:rsid w:val="00523D8F"/>
    <w:rsid w:val="00523ED3"/>
    <w:rsid w:val="00524818"/>
    <w:rsid w:val="005255AF"/>
    <w:rsid w:val="005256DB"/>
    <w:rsid w:val="00526122"/>
    <w:rsid w:val="0052626E"/>
    <w:rsid w:val="0052644A"/>
    <w:rsid w:val="00526794"/>
    <w:rsid w:val="00527A5D"/>
    <w:rsid w:val="005304C3"/>
    <w:rsid w:val="00531185"/>
    <w:rsid w:val="0053380C"/>
    <w:rsid w:val="00533C5A"/>
    <w:rsid w:val="00533CAC"/>
    <w:rsid w:val="005344EF"/>
    <w:rsid w:val="00536F68"/>
    <w:rsid w:val="005373B7"/>
    <w:rsid w:val="005373E7"/>
    <w:rsid w:val="00537403"/>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01C"/>
    <w:rsid w:val="005653A4"/>
    <w:rsid w:val="005656B9"/>
    <w:rsid w:val="0056604E"/>
    <w:rsid w:val="005664FC"/>
    <w:rsid w:val="005665C8"/>
    <w:rsid w:val="005667F5"/>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02B9"/>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744"/>
    <w:rsid w:val="005A6006"/>
    <w:rsid w:val="005A76FD"/>
    <w:rsid w:val="005B0440"/>
    <w:rsid w:val="005B0576"/>
    <w:rsid w:val="005B08EE"/>
    <w:rsid w:val="005B0B4C"/>
    <w:rsid w:val="005B0E29"/>
    <w:rsid w:val="005B1D49"/>
    <w:rsid w:val="005B25AE"/>
    <w:rsid w:val="005B4BF2"/>
    <w:rsid w:val="005B5317"/>
    <w:rsid w:val="005B564F"/>
    <w:rsid w:val="005B5BC1"/>
    <w:rsid w:val="005B68EC"/>
    <w:rsid w:val="005B6AB6"/>
    <w:rsid w:val="005B731E"/>
    <w:rsid w:val="005B74DC"/>
    <w:rsid w:val="005B7DED"/>
    <w:rsid w:val="005C07FD"/>
    <w:rsid w:val="005C1DC4"/>
    <w:rsid w:val="005C20F1"/>
    <w:rsid w:val="005C2158"/>
    <w:rsid w:val="005C22DA"/>
    <w:rsid w:val="005C4724"/>
    <w:rsid w:val="005C47B8"/>
    <w:rsid w:val="005C5B9C"/>
    <w:rsid w:val="005C6DE8"/>
    <w:rsid w:val="005C7C55"/>
    <w:rsid w:val="005D2171"/>
    <w:rsid w:val="005D22D1"/>
    <w:rsid w:val="005D23E8"/>
    <w:rsid w:val="005D2D96"/>
    <w:rsid w:val="005D44A8"/>
    <w:rsid w:val="005D59A8"/>
    <w:rsid w:val="005D5E71"/>
    <w:rsid w:val="005D6392"/>
    <w:rsid w:val="005D65AE"/>
    <w:rsid w:val="005D7320"/>
    <w:rsid w:val="005D7463"/>
    <w:rsid w:val="005D7BDD"/>
    <w:rsid w:val="005D7D43"/>
    <w:rsid w:val="005E3A9B"/>
    <w:rsid w:val="005E48A0"/>
    <w:rsid w:val="005E4B49"/>
    <w:rsid w:val="005E5241"/>
    <w:rsid w:val="005E5B1D"/>
    <w:rsid w:val="005E6377"/>
    <w:rsid w:val="005E750B"/>
    <w:rsid w:val="005E7CEA"/>
    <w:rsid w:val="005F023A"/>
    <w:rsid w:val="005F02AF"/>
    <w:rsid w:val="005F1719"/>
    <w:rsid w:val="005F2817"/>
    <w:rsid w:val="005F3812"/>
    <w:rsid w:val="005F4451"/>
    <w:rsid w:val="005F52CE"/>
    <w:rsid w:val="005F6C87"/>
    <w:rsid w:val="005F73C2"/>
    <w:rsid w:val="005F7AE0"/>
    <w:rsid w:val="0060019F"/>
    <w:rsid w:val="006002B9"/>
    <w:rsid w:val="00600D7E"/>
    <w:rsid w:val="00603094"/>
    <w:rsid w:val="00603466"/>
    <w:rsid w:val="006036D2"/>
    <w:rsid w:val="0060464E"/>
    <w:rsid w:val="006053CD"/>
    <w:rsid w:val="00605FC0"/>
    <w:rsid w:val="0060648C"/>
    <w:rsid w:val="00606E1F"/>
    <w:rsid w:val="00606F85"/>
    <w:rsid w:val="0060747B"/>
    <w:rsid w:val="00607EFD"/>
    <w:rsid w:val="006100B4"/>
    <w:rsid w:val="00610A23"/>
    <w:rsid w:val="00611F3F"/>
    <w:rsid w:val="00612A1B"/>
    <w:rsid w:val="00613C0E"/>
    <w:rsid w:val="00613C3B"/>
    <w:rsid w:val="006147EE"/>
    <w:rsid w:val="00615E0A"/>
    <w:rsid w:val="00617A3C"/>
    <w:rsid w:val="00620134"/>
    <w:rsid w:val="0062046F"/>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36C1C"/>
    <w:rsid w:val="00637E77"/>
    <w:rsid w:val="00640027"/>
    <w:rsid w:val="00640572"/>
    <w:rsid w:val="00642485"/>
    <w:rsid w:val="006424A1"/>
    <w:rsid w:val="006429BB"/>
    <w:rsid w:val="00642B9D"/>
    <w:rsid w:val="006434A5"/>
    <w:rsid w:val="00643EB1"/>
    <w:rsid w:val="00644728"/>
    <w:rsid w:val="00644F30"/>
    <w:rsid w:val="00645B64"/>
    <w:rsid w:val="00647037"/>
    <w:rsid w:val="006528C5"/>
    <w:rsid w:val="00652F6A"/>
    <w:rsid w:val="006540AA"/>
    <w:rsid w:val="00654470"/>
    <w:rsid w:val="00655712"/>
    <w:rsid w:val="006568CA"/>
    <w:rsid w:val="006570EB"/>
    <w:rsid w:val="00657192"/>
    <w:rsid w:val="006571BE"/>
    <w:rsid w:val="00660A24"/>
    <w:rsid w:val="00660B52"/>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A8B"/>
    <w:rsid w:val="00690BF1"/>
    <w:rsid w:val="0069161F"/>
    <w:rsid w:val="00691717"/>
    <w:rsid w:val="00692ECD"/>
    <w:rsid w:val="00694570"/>
    <w:rsid w:val="006949FC"/>
    <w:rsid w:val="006965BF"/>
    <w:rsid w:val="0069662C"/>
    <w:rsid w:val="006A044B"/>
    <w:rsid w:val="006A194D"/>
    <w:rsid w:val="006A2825"/>
    <w:rsid w:val="006A3A2F"/>
    <w:rsid w:val="006A3AA8"/>
    <w:rsid w:val="006A3BD7"/>
    <w:rsid w:val="006A3FA9"/>
    <w:rsid w:val="006A43C7"/>
    <w:rsid w:val="006A5012"/>
    <w:rsid w:val="006A54D0"/>
    <w:rsid w:val="006A54FA"/>
    <w:rsid w:val="006A57EE"/>
    <w:rsid w:val="006A725A"/>
    <w:rsid w:val="006B0715"/>
    <w:rsid w:val="006B072C"/>
    <w:rsid w:val="006B0AFF"/>
    <w:rsid w:val="006B0CAD"/>
    <w:rsid w:val="006B1D1E"/>
    <w:rsid w:val="006B2065"/>
    <w:rsid w:val="006B304B"/>
    <w:rsid w:val="006B5891"/>
    <w:rsid w:val="006B5973"/>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0F1E"/>
    <w:rsid w:val="006D23F1"/>
    <w:rsid w:val="006D2DD4"/>
    <w:rsid w:val="006D3EA8"/>
    <w:rsid w:val="006D44BA"/>
    <w:rsid w:val="006D6384"/>
    <w:rsid w:val="006D71BF"/>
    <w:rsid w:val="006D74CB"/>
    <w:rsid w:val="006E1DD8"/>
    <w:rsid w:val="006E34E2"/>
    <w:rsid w:val="006E3B07"/>
    <w:rsid w:val="006E3B29"/>
    <w:rsid w:val="006E43A0"/>
    <w:rsid w:val="006E45CE"/>
    <w:rsid w:val="006E4B48"/>
    <w:rsid w:val="006E5756"/>
    <w:rsid w:val="006E5C8D"/>
    <w:rsid w:val="006E6DED"/>
    <w:rsid w:val="006E702C"/>
    <w:rsid w:val="006E7639"/>
    <w:rsid w:val="006E7AD9"/>
    <w:rsid w:val="006E7FC8"/>
    <w:rsid w:val="006F03C8"/>
    <w:rsid w:val="006F0A19"/>
    <w:rsid w:val="006F1CEC"/>
    <w:rsid w:val="006F201F"/>
    <w:rsid w:val="006F25F5"/>
    <w:rsid w:val="006F371F"/>
    <w:rsid w:val="006F4B62"/>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4DD3"/>
    <w:rsid w:val="00705171"/>
    <w:rsid w:val="0070547D"/>
    <w:rsid w:val="007060FF"/>
    <w:rsid w:val="00706C2D"/>
    <w:rsid w:val="00707258"/>
    <w:rsid w:val="0070758F"/>
    <w:rsid w:val="00707F9E"/>
    <w:rsid w:val="00710B18"/>
    <w:rsid w:val="00711EFA"/>
    <w:rsid w:val="007123EC"/>
    <w:rsid w:val="0071250A"/>
    <w:rsid w:val="00712AEF"/>
    <w:rsid w:val="0071380D"/>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5990"/>
    <w:rsid w:val="00737585"/>
    <w:rsid w:val="0073787C"/>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756"/>
    <w:rsid w:val="00752E62"/>
    <w:rsid w:val="0075359D"/>
    <w:rsid w:val="007549A4"/>
    <w:rsid w:val="00754DA5"/>
    <w:rsid w:val="00754E29"/>
    <w:rsid w:val="00755B21"/>
    <w:rsid w:val="00756119"/>
    <w:rsid w:val="00756B0D"/>
    <w:rsid w:val="00757837"/>
    <w:rsid w:val="00757842"/>
    <w:rsid w:val="00760E20"/>
    <w:rsid w:val="00761093"/>
    <w:rsid w:val="007623D4"/>
    <w:rsid w:val="0076594F"/>
    <w:rsid w:val="0076649E"/>
    <w:rsid w:val="00767C54"/>
    <w:rsid w:val="00770794"/>
    <w:rsid w:val="007709D9"/>
    <w:rsid w:val="007723B4"/>
    <w:rsid w:val="007731B4"/>
    <w:rsid w:val="007736E3"/>
    <w:rsid w:val="00773C00"/>
    <w:rsid w:val="00773F73"/>
    <w:rsid w:val="007740F8"/>
    <w:rsid w:val="00774901"/>
    <w:rsid w:val="00774B6B"/>
    <w:rsid w:val="00776326"/>
    <w:rsid w:val="007765A0"/>
    <w:rsid w:val="00776644"/>
    <w:rsid w:val="00776F97"/>
    <w:rsid w:val="00777D2D"/>
    <w:rsid w:val="00777D47"/>
    <w:rsid w:val="00780375"/>
    <w:rsid w:val="0078128A"/>
    <w:rsid w:val="0078191C"/>
    <w:rsid w:val="00782B1D"/>
    <w:rsid w:val="00783E24"/>
    <w:rsid w:val="00784175"/>
    <w:rsid w:val="00784A6D"/>
    <w:rsid w:val="00785159"/>
    <w:rsid w:val="007851A6"/>
    <w:rsid w:val="00785755"/>
    <w:rsid w:val="00785C8E"/>
    <w:rsid w:val="00786991"/>
    <w:rsid w:val="00786ABF"/>
    <w:rsid w:val="0079015C"/>
    <w:rsid w:val="00790F8E"/>
    <w:rsid w:val="007918EF"/>
    <w:rsid w:val="007927AC"/>
    <w:rsid w:val="007945BD"/>
    <w:rsid w:val="0079554D"/>
    <w:rsid w:val="0079590D"/>
    <w:rsid w:val="00796936"/>
    <w:rsid w:val="0079738C"/>
    <w:rsid w:val="0079774A"/>
    <w:rsid w:val="00797849"/>
    <w:rsid w:val="007A1B0C"/>
    <w:rsid w:val="007A2AD9"/>
    <w:rsid w:val="007A3660"/>
    <w:rsid w:val="007A3F61"/>
    <w:rsid w:val="007A4994"/>
    <w:rsid w:val="007A4A02"/>
    <w:rsid w:val="007A538D"/>
    <w:rsid w:val="007A6CAD"/>
    <w:rsid w:val="007A728B"/>
    <w:rsid w:val="007B08C4"/>
    <w:rsid w:val="007B1BC6"/>
    <w:rsid w:val="007B1C91"/>
    <w:rsid w:val="007B2C83"/>
    <w:rsid w:val="007B366E"/>
    <w:rsid w:val="007B3F98"/>
    <w:rsid w:val="007B4520"/>
    <w:rsid w:val="007B496E"/>
    <w:rsid w:val="007B4A5F"/>
    <w:rsid w:val="007B4FE4"/>
    <w:rsid w:val="007B50D4"/>
    <w:rsid w:val="007B52AA"/>
    <w:rsid w:val="007B6059"/>
    <w:rsid w:val="007B612D"/>
    <w:rsid w:val="007B6600"/>
    <w:rsid w:val="007B729D"/>
    <w:rsid w:val="007B7A6E"/>
    <w:rsid w:val="007C0296"/>
    <w:rsid w:val="007C0ABD"/>
    <w:rsid w:val="007C0C42"/>
    <w:rsid w:val="007C1DFA"/>
    <w:rsid w:val="007C1E24"/>
    <w:rsid w:val="007C1F5A"/>
    <w:rsid w:val="007C3721"/>
    <w:rsid w:val="007C5537"/>
    <w:rsid w:val="007C63B1"/>
    <w:rsid w:val="007C6DEB"/>
    <w:rsid w:val="007C7173"/>
    <w:rsid w:val="007C7ECB"/>
    <w:rsid w:val="007D1CC2"/>
    <w:rsid w:val="007D1CC7"/>
    <w:rsid w:val="007D23AD"/>
    <w:rsid w:val="007D373A"/>
    <w:rsid w:val="007D389C"/>
    <w:rsid w:val="007D47E7"/>
    <w:rsid w:val="007D485E"/>
    <w:rsid w:val="007D4CA1"/>
    <w:rsid w:val="007D4F20"/>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675B"/>
    <w:rsid w:val="007E67DF"/>
    <w:rsid w:val="007E76AB"/>
    <w:rsid w:val="007E78CA"/>
    <w:rsid w:val="007E7BD0"/>
    <w:rsid w:val="007E7F55"/>
    <w:rsid w:val="007F0519"/>
    <w:rsid w:val="007F094C"/>
    <w:rsid w:val="007F1B27"/>
    <w:rsid w:val="007F20D5"/>
    <w:rsid w:val="007F279D"/>
    <w:rsid w:val="007F3DB8"/>
    <w:rsid w:val="007F3E00"/>
    <w:rsid w:val="007F4B15"/>
    <w:rsid w:val="007F4D8F"/>
    <w:rsid w:val="007F5801"/>
    <w:rsid w:val="007F65AC"/>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EAA"/>
    <w:rsid w:val="00811D10"/>
    <w:rsid w:val="00812EAC"/>
    <w:rsid w:val="008138F0"/>
    <w:rsid w:val="00814D85"/>
    <w:rsid w:val="008151F5"/>
    <w:rsid w:val="00815C2E"/>
    <w:rsid w:val="00816D2F"/>
    <w:rsid w:val="00816EDB"/>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62A"/>
    <w:rsid w:val="00840E43"/>
    <w:rsid w:val="00841401"/>
    <w:rsid w:val="00843605"/>
    <w:rsid w:val="00843CBC"/>
    <w:rsid w:val="00843DCB"/>
    <w:rsid w:val="00843F22"/>
    <w:rsid w:val="008452D6"/>
    <w:rsid w:val="00845F54"/>
    <w:rsid w:val="00847087"/>
    <w:rsid w:val="00847FA5"/>
    <w:rsid w:val="0085135A"/>
    <w:rsid w:val="00851884"/>
    <w:rsid w:val="00852701"/>
    <w:rsid w:val="00852AE4"/>
    <w:rsid w:val="00852C1A"/>
    <w:rsid w:val="00852E54"/>
    <w:rsid w:val="00852FC8"/>
    <w:rsid w:val="00854094"/>
    <w:rsid w:val="008545D5"/>
    <w:rsid w:val="00855D48"/>
    <w:rsid w:val="00855F77"/>
    <w:rsid w:val="00856FC1"/>
    <w:rsid w:val="008570DA"/>
    <w:rsid w:val="00857CC7"/>
    <w:rsid w:val="00857D4C"/>
    <w:rsid w:val="00857DD7"/>
    <w:rsid w:val="008605DF"/>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7A1"/>
    <w:rsid w:val="00876C4E"/>
    <w:rsid w:val="008770B8"/>
    <w:rsid w:val="00877218"/>
    <w:rsid w:val="008772DD"/>
    <w:rsid w:val="00877BF4"/>
    <w:rsid w:val="0088072C"/>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97288"/>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5DDB"/>
    <w:rsid w:val="008C6853"/>
    <w:rsid w:val="008C73C2"/>
    <w:rsid w:val="008C7A23"/>
    <w:rsid w:val="008D0520"/>
    <w:rsid w:val="008D0CFE"/>
    <w:rsid w:val="008D0F76"/>
    <w:rsid w:val="008D11C0"/>
    <w:rsid w:val="008D194F"/>
    <w:rsid w:val="008D2FE8"/>
    <w:rsid w:val="008D35ED"/>
    <w:rsid w:val="008D4328"/>
    <w:rsid w:val="008D4801"/>
    <w:rsid w:val="008D60D0"/>
    <w:rsid w:val="008D7C67"/>
    <w:rsid w:val="008E0F93"/>
    <w:rsid w:val="008E11A3"/>
    <w:rsid w:val="008E284F"/>
    <w:rsid w:val="008E2B11"/>
    <w:rsid w:val="008E2C35"/>
    <w:rsid w:val="008E332B"/>
    <w:rsid w:val="008E33D6"/>
    <w:rsid w:val="008E5715"/>
    <w:rsid w:val="008E5AF2"/>
    <w:rsid w:val="008E6399"/>
    <w:rsid w:val="008E63F1"/>
    <w:rsid w:val="008E7080"/>
    <w:rsid w:val="008E77AE"/>
    <w:rsid w:val="008E7834"/>
    <w:rsid w:val="008F0723"/>
    <w:rsid w:val="008F11C5"/>
    <w:rsid w:val="008F122D"/>
    <w:rsid w:val="008F3174"/>
    <w:rsid w:val="009004AF"/>
    <w:rsid w:val="00900F43"/>
    <w:rsid w:val="009012D1"/>
    <w:rsid w:val="009041CD"/>
    <w:rsid w:val="009047C9"/>
    <w:rsid w:val="00905401"/>
    <w:rsid w:val="00905403"/>
    <w:rsid w:val="009058CF"/>
    <w:rsid w:val="009062D9"/>
    <w:rsid w:val="00906C05"/>
    <w:rsid w:val="0090776C"/>
    <w:rsid w:val="00907A0E"/>
    <w:rsid w:val="00911372"/>
    <w:rsid w:val="009113F4"/>
    <w:rsid w:val="00911E31"/>
    <w:rsid w:val="00911F96"/>
    <w:rsid w:val="00912091"/>
    <w:rsid w:val="009126F0"/>
    <w:rsid w:val="0091338F"/>
    <w:rsid w:val="009134C8"/>
    <w:rsid w:val="00914D4E"/>
    <w:rsid w:val="00915499"/>
    <w:rsid w:val="009171AD"/>
    <w:rsid w:val="00917213"/>
    <w:rsid w:val="009175A9"/>
    <w:rsid w:val="00920C58"/>
    <w:rsid w:val="00921525"/>
    <w:rsid w:val="0092155F"/>
    <w:rsid w:val="009231F3"/>
    <w:rsid w:val="009242A4"/>
    <w:rsid w:val="00924388"/>
    <w:rsid w:val="009249B6"/>
    <w:rsid w:val="00924FAE"/>
    <w:rsid w:val="00925270"/>
    <w:rsid w:val="00926FB0"/>
    <w:rsid w:val="009323A4"/>
    <w:rsid w:val="00933A64"/>
    <w:rsid w:val="00934B11"/>
    <w:rsid w:val="00934B71"/>
    <w:rsid w:val="00934B87"/>
    <w:rsid w:val="00935015"/>
    <w:rsid w:val="0093507D"/>
    <w:rsid w:val="00935224"/>
    <w:rsid w:val="00936266"/>
    <w:rsid w:val="00936ADA"/>
    <w:rsid w:val="00936F7D"/>
    <w:rsid w:val="0093767F"/>
    <w:rsid w:val="009407FC"/>
    <w:rsid w:val="0094174C"/>
    <w:rsid w:val="00941BE7"/>
    <w:rsid w:val="009431FC"/>
    <w:rsid w:val="009449F2"/>
    <w:rsid w:val="00944B22"/>
    <w:rsid w:val="0094577D"/>
    <w:rsid w:val="00945BAA"/>
    <w:rsid w:val="009464CD"/>
    <w:rsid w:val="00947AC8"/>
    <w:rsid w:val="0095077E"/>
    <w:rsid w:val="00950BD6"/>
    <w:rsid w:val="0095103C"/>
    <w:rsid w:val="00951072"/>
    <w:rsid w:val="009528BA"/>
    <w:rsid w:val="00953942"/>
    <w:rsid w:val="009539E6"/>
    <w:rsid w:val="009545F5"/>
    <w:rsid w:val="009557AD"/>
    <w:rsid w:val="009557B1"/>
    <w:rsid w:val="00955FE7"/>
    <w:rsid w:val="009566AB"/>
    <w:rsid w:val="00956AB3"/>
    <w:rsid w:val="009572BA"/>
    <w:rsid w:val="0095748D"/>
    <w:rsid w:val="00957558"/>
    <w:rsid w:val="009576EA"/>
    <w:rsid w:val="009577E9"/>
    <w:rsid w:val="00957D9F"/>
    <w:rsid w:val="00960AAA"/>
    <w:rsid w:val="00960DE2"/>
    <w:rsid w:val="00961E9C"/>
    <w:rsid w:val="009624A1"/>
    <w:rsid w:val="009632C5"/>
    <w:rsid w:val="009635A6"/>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16A"/>
    <w:rsid w:val="009A3900"/>
    <w:rsid w:val="009A3AEF"/>
    <w:rsid w:val="009A410B"/>
    <w:rsid w:val="009A426B"/>
    <w:rsid w:val="009A5C27"/>
    <w:rsid w:val="009A5F5C"/>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A4C"/>
    <w:rsid w:val="009C0D36"/>
    <w:rsid w:val="009C172B"/>
    <w:rsid w:val="009C18AE"/>
    <w:rsid w:val="009C1D95"/>
    <w:rsid w:val="009C2096"/>
    <w:rsid w:val="009C244F"/>
    <w:rsid w:val="009C276A"/>
    <w:rsid w:val="009C3A47"/>
    <w:rsid w:val="009C4922"/>
    <w:rsid w:val="009C58CA"/>
    <w:rsid w:val="009C5E0F"/>
    <w:rsid w:val="009C6689"/>
    <w:rsid w:val="009C6DED"/>
    <w:rsid w:val="009C73C3"/>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308D"/>
    <w:rsid w:val="009F449D"/>
    <w:rsid w:val="009F5C8D"/>
    <w:rsid w:val="009F6736"/>
    <w:rsid w:val="009F73B9"/>
    <w:rsid w:val="00A005FE"/>
    <w:rsid w:val="00A0084A"/>
    <w:rsid w:val="00A008B6"/>
    <w:rsid w:val="00A012B3"/>
    <w:rsid w:val="00A01F48"/>
    <w:rsid w:val="00A0272F"/>
    <w:rsid w:val="00A03209"/>
    <w:rsid w:val="00A04B49"/>
    <w:rsid w:val="00A05A59"/>
    <w:rsid w:val="00A06161"/>
    <w:rsid w:val="00A064E7"/>
    <w:rsid w:val="00A065C7"/>
    <w:rsid w:val="00A07942"/>
    <w:rsid w:val="00A103DD"/>
    <w:rsid w:val="00A10DD1"/>
    <w:rsid w:val="00A11645"/>
    <w:rsid w:val="00A11E52"/>
    <w:rsid w:val="00A1209C"/>
    <w:rsid w:val="00A124F1"/>
    <w:rsid w:val="00A12914"/>
    <w:rsid w:val="00A13870"/>
    <w:rsid w:val="00A13C47"/>
    <w:rsid w:val="00A149EF"/>
    <w:rsid w:val="00A14A82"/>
    <w:rsid w:val="00A15392"/>
    <w:rsid w:val="00A15511"/>
    <w:rsid w:val="00A15712"/>
    <w:rsid w:val="00A16290"/>
    <w:rsid w:val="00A16484"/>
    <w:rsid w:val="00A16626"/>
    <w:rsid w:val="00A204AE"/>
    <w:rsid w:val="00A223B5"/>
    <w:rsid w:val="00A2274F"/>
    <w:rsid w:val="00A234CB"/>
    <w:rsid w:val="00A235CA"/>
    <w:rsid w:val="00A235D3"/>
    <w:rsid w:val="00A2485F"/>
    <w:rsid w:val="00A257FC"/>
    <w:rsid w:val="00A26FA0"/>
    <w:rsid w:val="00A301AA"/>
    <w:rsid w:val="00A30480"/>
    <w:rsid w:val="00A3049D"/>
    <w:rsid w:val="00A30E9C"/>
    <w:rsid w:val="00A321CD"/>
    <w:rsid w:val="00A32C7B"/>
    <w:rsid w:val="00A33128"/>
    <w:rsid w:val="00A35A71"/>
    <w:rsid w:val="00A35C38"/>
    <w:rsid w:val="00A36446"/>
    <w:rsid w:val="00A36D74"/>
    <w:rsid w:val="00A36EC6"/>
    <w:rsid w:val="00A37B99"/>
    <w:rsid w:val="00A4034A"/>
    <w:rsid w:val="00A4089B"/>
    <w:rsid w:val="00A41593"/>
    <w:rsid w:val="00A42118"/>
    <w:rsid w:val="00A44C64"/>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1594"/>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4C57"/>
    <w:rsid w:val="00A752E0"/>
    <w:rsid w:val="00A75312"/>
    <w:rsid w:val="00A75544"/>
    <w:rsid w:val="00A759C8"/>
    <w:rsid w:val="00A75BAC"/>
    <w:rsid w:val="00A762C2"/>
    <w:rsid w:val="00A766DB"/>
    <w:rsid w:val="00A80423"/>
    <w:rsid w:val="00A8218B"/>
    <w:rsid w:val="00A82CE5"/>
    <w:rsid w:val="00A841CF"/>
    <w:rsid w:val="00A8488C"/>
    <w:rsid w:val="00A84C55"/>
    <w:rsid w:val="00A854BA"/>
    <w:rsid w:val="00A86693"/>
    <w:rsid w:val="00A9012C"/>
    <w:rsid w:val="00A90667"/>
    <w:rsid w:val="00A90FC7"/>
    <w:rsid w:val="00A91BCD"/>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2F8"/>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517"/>
    <w:rsid w:val="00AB7893"/>
    <w:rsid w:val="00AC042E"/>
    <w:rsid w:val="00AC0BC2"/>
    <w:rsid w:val="00AC0ECB"/>
    <w:rsid w:val="00AC1436"/>
    <w:rsid w:val="00AC193A"/>
    <w:rsid w:val="00AC1EAC"/>
    <w:rsid w:val="00AC2400"/>
    <w:rsid w:val="00AC279D"/>
    <w:rsid w:val="00AC2C0D"/>
    <w:rsid w:val="00AC2E86"/>
    <w:rsid w:val="00AC365B"/>
    <w:rsid w:val="00AC4C57"/>
    <w:rsid w:val="00AC5510"/>
    <w:rsid w:val="00AC58B5"/>
    <w:rsid w:val="00AC6261"/>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2D1"/>
    <w:rsid w:val="00AE7332"/>
    <w:rsid w:val="00AF0B6E"/>
    <w:rsid w:val="00AF1CCD"/>
    <w:rsid w:val="00AF25EE"/>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6B82"/>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175E"/>
    <w:rsid w:val="00B22299"/>
    <w:rsid w:val="00B23455"/>
    <w:rsid w:val="00B235CB"/>
    <w:rsid w:val="00B23EF7"/>
    <w:rsid w:val="00B243AB"/>
    <w:rsid w:val="00B2559E"/>
    <w:rsid w:val="00B25AA3"/>
    <w:rsid w:val="00B25C68"/>
    <w:rsid w:val="00B25D02"/>
    <w:rsid w:val="00B26346"/>
    <w:rsid w:val="00B27C9D"/>
    <w:rsid w:val="00B30714"/>
    <w:rsid w:val="00B3102D"/>
    <w:rsid w:val="00B326F3"/>
    <w:rsid w:val="00B33524"/>
    <w:rsid w:val="00B33791"/>
    <w:rsid w:val="00B3439F"/>
    <w:rsid w:val="00B348E7"/>
    <w:rsid w:val="00B3584E"/>
    <w:rsid w:val="00B35DDB"/>
    <w:rsid w:val="00B35FDD"/>
    <w:rsid w:val="00B371AA"/>
    <w:rsid w:val="00B373B3"/>
    <w:rsid w:val="00B37BB7"/>
    <w:rsid w:val="00B37BCD"/>
    <w:rsid w:val="00B40445"/>
    <w:rsid w:val="00B424AB"/>
    <w:rsid w:val="00B42853"/>
    <w:rsid w:val="00B44B37"/>
    <w:rsid w:val="00B44F9F"/>
    <w:rsid w:val="00B45524"/>
    <w:rsid w:val="00B46999"/>
    <w:rsid w:val="00B4709F"/>
    <w:rsid w:val="00B47157"/>
    <w:rsid w:val="00B47200"/>
    <w:rsid w:val="00B475F1"/>
    <w:rsid w:val="00B502AD"/>
    <w:rsid w:val="00B5037A"/>
    <w:rsid w:val="00B5037E"/>
    <w:rsid w:val="00B50DDE"/>
    <w:rsid w:val="00B52941"/>
    <w:rsid w:val="00B5304E"/>
    <w:rsid w:val="00B539FA"/>
    <w:rsid w:val="00B543F6"/>
    <w:rsid w:val="00B54525"/>
    <w:rsid w:val="00B54B78"/>
    <w:rsid w:val="00B550D2"/>
    <w:rsid w:val="00B5579D"/>
    <w:rsid w:val="00B56100"/>
    <w:rsid w:val="00B6063F"/>
    <w:rsid w:val="00B60BDF"/>
    <w:rsid w:val="00B60E75"/>
    <w:rsid w:val="00B60EED"/>
    <w:rsid w:val="00B61236"/>
    <w:rsid w:val="00B6237B"/>
    <w:rsid w:val="00B6403A"/>
    <w:rsid w:val="00B645CD"/>
    <w:rsid w:val="00B647D9"/>
    <w:rsid w:val="00B65605"/>
    <w:rsid w:val="00B658FE"/>
    <w:rsid w:val="00B66539"/>
    <w:rsid w:val="00B66632"/>
    <w:rsid w:val="00B673D8"/>
    <w:rsid w:val="00B67436"/>
    <w:rsid w:val="00B708AF"/>
    <w:rsid w:val="00B71262"/>
    <w:rsid w:val="00B73014"/>
    <w:rsid w:val="00B740D5"/>
    <w:rsid w:val="00B746CD"/>
    <w:rsid w:val="00B747DF"/>
    <w:rsid w:val="00B753EC"/>
    <w:rsid w:val="00B75BFD"/>
    <w:rsid w:val="00B7661F"/>
    <w:rsid w:val="00B76C21"/>
    <w:rsid w:val="00B76FE0"/>
    <w:rsid w:val="00B77108"/>
    <w:rsid w:val="00B80690"/>
    <w:rsid w:val="00B8175A"/>
    <w:rsid w:val="00B818E9"/>
    <w:rsid w:val="00B81A86"/>
    <w:rsid w:val="00B82350"/>
    <w:rsid w:val="00B83ACB"/>
    <w:rsid w:val="00B84377"/>
    <w:rsid w:val="00B84518"/>
    <w:rsid w:val="00B85627"/>
    <w:rsid w:val="00B85CC9"/>
    <w:rsid w:val="00B8617A"/>
    <w:rsid w:val="00B87554"/>
    <w:rsid w:val="00B87643"/>
    <w:rsid w:val="00B90BAF"/>
    <w:rsid w:val="00B90D14"/>
    <w:rsid w:val="00B92585"/>
    <w:rsid w:val="00B926DC"/>
    <w:rsid w:val="00B93032"/>
    <w:rsid w:val="00B9322F"/>
    <w:rsid w:val="00B935B9"/>
    <w:rsid w:val="00B93718"/>
    <w:rsid w:val="00B959EE"/>
    <w:rsid w:val="00B95F41"/>
    <w:rsid w:val="00B960DF"/>
    <w:rsid w:val="00B961B9"/>
    <w:rsid w:val="00B9691A"/>
    <w:rsid w:val="00B96BE1"/>
    <w:rsid w:val="00B96CC9"/>
    <w:rsid w:val="00B97DE2"/>
    <w:rsid w:val="00BA0058"/>
    <w:rsid w:val="00BA010C"/>
    <w:rsid w:val="00BA095C"/>
    <w:rsid w:val="00BA0D26"/>
    <w:rsid w:val="00BA23A1"/>
    <w:rsid w:val="00BA23BE"/>
    <w:rsid w:val="00BA266D"/>
    <w:rsid w:val="00BA3917"/>
    <w:rsid w:val="00BA4674"/>
    <w:rsid w:val="00BA4DF9"/>
    <w:rsid w:val="00BA576A"/>
    <w:rsid w:val="00BA62C5"/>
    <w:rsid w:val="00BA7A8B"/>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638"/>
    <w:rsid w:val="00BB6CAB"/>
    <w:rsid w:val="00BB7934"/>
    <w:rsid w:val="00BC1538"/>
    <w:rsid w:val="00BC1912"/>
    <w:rsid w:val="00BC1EAC"/>
    <w:rsid w:val="00BC254D"/>
    <w:rsid w:val="00BC3175"/>
    <w:rsid w:val="00BC3523"/>
    <w:rsid w:val="00BC52CB"/>
    <w:rsid w:val="00BC654B"/>
    <w:rsid w:val="00BC6B43"/>
    <w:rsid w:val="00BC7CB8"/>
    <w:rsid w:val="00BC7DAF"/>
    <w:rsid w:val="00BD0BB9"/>
    <w:rsid w:val="00BD0D0A"/>
    <w:rsid w:val="00BD1890"/>
    <w:rsid w:val="00BD2D25"/>
    <w:rsid w:val="00BD3FC7"/>
    <w:rsid w:val="00BD513C"/>
    <w:rsid w:val="00BD5DC5"/>
    <w:rsid w:val="00BD5F31"/>
    <w:rsid w:val="00BD6F41"/>
    <w:rsid w:val="00BD70AC"/>
    <w:rsid w:val="00BE0105"/>
    <w:rsid w:val="00BE01E9"/>
    <w:rsid w:val="00BE02B8"/>
    <w:rsid w:val="00BE0AAC"/>
    <w:rsid w:val="00BE373C"/>
    <w:rsid w:val="00BE39DB"/>
    <w:rsid w:val="00BE41B7"/>
    <w:rsid w:val="00BE5441"/>
    <w:rsid w:val="00BE6138"/>
    <w:rsid w:val="00BE753F"/>
    <w:rsid w:val="00BF00FB"/>
    <w:rsid w:val="00BF02F6"/>
    <w:rsid w:val="00BF084F"/>
    <w:rsid w:val="00BF0EA0"/>
    <w:rsid w:val="00BF11C9"/>
    <w:rsid w:val="00BF1472"/>
    <w:rsid w:val="00BF1B75"/>
    <w:rsid w:val="00BF1C5C"/>
    <w:rsid w:val="00BF2FF9"/>
    <w:rsid w:val="00BF3937"/>
    <w:rsid w:val="00BF3968"/>
    <w:rsid w:val="00BF42CE"/>
    <w:rsid w:val="00BF56D5"/>
    <w:rsid w:val="00BF5865"/>
    <w:rsid w:val="00BF67C4"/>
    <w:rsid w:val="00BF68A0"/>
    <w:rsid w:val="00BF74BC"/>
    <w:rsid w:val="00BF77A7"/>
    <w:rsid w:val="00BF7F9E"/>
    <w:rsid w:val="00C001F1"/>
    <w:rsid w:val="00C004C1"/>
    <w:rsid w:val="00C00B5D"/>
    <w:rsid w:val="00C00C20"/>
    <w:rsid w:val="00C00DFC"/>
    <w:rsid w:val="00C01736"/>
    <w:rsid w:val="00C01E27"/>
    <w:rsid w:val="00C02228"/>
    <w:rsid w:val="00C02307"/>
    <w:rsid w:val="00C02DAD"/>
    <w:rsid w:val="00C042DF"/>
    <w:rsid w:val="00C04FFC"/>
    <w:rsid w:val="00C05414"/>
    <w:rsid w:val="00C079FE"/>
    <w:rsid w:val="00C10778"/>
    <w:rsid w:val="00C10AD5"/>
    <w:rsid w:val="00C1304F"/>
    <w:rsid w:val="00C13B82"/>
    <w:rsid w:val="00C14B1A"/>
    <w:rsid w:val="00C15A38"/>
    <w:rsid w:val="00C15C63"/>
    <w:rsid w:val="00C15CCC"/>
    <w:rsid w:val="00C1675A"/>
    <w:rsid w:val="00C1732A"/>
    <w:rsid w:val="00C20029"/>
    <w:rsid w:val="00C205FA"/>
    <w:rsid w:val="00C2196F"/>
    <w:rsid w:val="00C21EE0"/>
    <w:rsid w:val="00C22F82"/>
    <w:rsid w:val="00C2428B"/>
    <w:rsid w:val="00C25866"/>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2EF6"/>
    <w:rsid w:val="00C531DF"/>
    <w:rsid w:val="00C53C85"/>
    <w:rsid w:val="00C54BDB"/>
    <w:rsid w:val="00C55F17"/>
    <w:rsid w:val="00C56532"/>
    <w:rsid w:val="00C56ACF"/>
    <w:rsid w:val="00C571BC"/>
    <w:rsid w:val="00C57B8D"/>
    <w:rsid w:val="00C60807"/>
    <w:rsid w:val="00C60A1C"/>
    <w:rsid w:val="00C615DA"/>
    <w:rsid w:val="00C621A0"/>
    <w:rsid w:val="00C62AB8"/>
    <w:rsid w:val="00C64576"/>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12"/>
    <w:rsid w:val="00C74FE3"/>
    <w:rsid w:val="00C7506F"/>
    <w:rsid w:val="00C750AB"/>
    <w:rsid w:val="00C75486"/>
    <w:rsid w:val="00C75642"/>
    <w:rsid w:val="00C75737"/>
    <w:rsid w:val="00C75EF7"/>
    <w:rsid w:val="00C76181"/>
    <w:rsid w:val="00C764F3"/>
    <w:rsid w:val="00C767F0"/>
    <w:rsid w:val="00C76DAB"/>
    <w:rsid w:val="00C803CF"/>
    <w:rsid w:val="00C818F2"/>
    <w:rsid w:val="00C81C56"/>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2B48"/>
    <w:rsid w:val="00CA3E70"/>
    <w:rsid w:val="00CA3FBA"/>
    <w:rsid w:val="00CA42F9"/>
    <w:rsid w:val="00CA55FE"/>
    <w:rsid w:val="00CA647C"/>
    <w:rsid w:val="00CA6F0A"/>
    <w:rsid w:val="00CA720B"/>
    <w:rsid w:val="00CA7485"/>
    <w:rsid w:val="00CA7890"/>
    <w:rsid w:val="00CA7984"/>
    <w:rsid w:val="00CA7C71"/>
    <w:rsid w:val="00CB0A01"/>
    <w:rsid w:val="00CB0AA3"/>
    <w:rsid w:val="00CB1430"/>
    <w:rsid w:val="00CB22B1"/>
    <w:rsid w:val="00CB2D52"/>
    <w:rsid w:val="00CB3159"/>
    <w:rsid w:val="00CB357E"/>
    <w:rsid w:val="00CB3642"/>
    <w:rsid w:val="00CB41A7"/>
    <w:rsid w:val="00CB4B35"/>
    <w:rsid w:val="00CB50BF"/>
    <w:rsid w:val="00CB52C8"/>
    <w:rsid w:val="00CB54A3"/>
    <w:rsid w:val="00CB5AD4"/>
    <w:rsid w:val="00CB70C8"/>
    <w:rsid w:val="00CC058C"/>
    <w:rsid w:val="00CC0BC7"/>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DFA"/>
    <w:rsid w:val="00CE6F97"/>
    <w:rsid w:val="00CE7C5E"/>
    <w:rsid w:val="00CF0878"/>
    <w:rsid w:val="00CF1FA3"/>
    <w:rsid w:val="00CF30C0"/>
    <w:rsid w:val="00CF33DC"/>
    <w:rsid w:val="00CF4145"/>
    <w:rsid w:val="00CF5255"/>
    <w:rsid w:val="00CF5447"/>
    <w:rsid w:val="00CF5619"/>
    <w:rsid w:val="00CF57AE"/>
    <w:rsid w:val="00CF58E7"/>
    <w:rsid w:val="00CF5FB4"/>
    <w:rsid w:val="00CF69DE"/>
    <w:rsid w:val="00CF6BE4"/>
    <w:rsid w:val="00D0077C"/>
    <w:rsid w:val="00D01DB2"/>
    <w:rsid w:val="00D01E01"/>
    <w:rsid w:val="00D02ED7"/>
    <w:rsid w:val="00D044AE"/>
    <w:rsid w:val="00D07613"/>
    <w:rsid w:val="00D10510"/>
    <w:rsid w:val="00D10853"/>
    <w:rsid w:val="00D1136B"/>
    <w:rsid w:val="00D11AD5"/>
    <w:rsid w:val="00D11CA6"/>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0F45"/>
    <w:rsid w:val="00D21257"/>
    <w:rsid w:val="00D2129C"/>
    <w:rsid w:val="00D21BE6"/>
    <w:rsid w:val="00D21CBC"/>
    <w:rsid w:val="00D21FBD"/>
    <w:rsid w:val="00D220C7"/>
    <w:rsid w:val="00D22538"/>
    <w:rsid w:val="00D22A2E"/>
    <w:rsid w:val="00D24048"/>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410"/>
    <w:rsid w:val="00D34ABB"/>
    <w:rsid w:val="00D34EEF"/>
    <w:rsid w:val="00D3558F"/>
    <w:rsid w:val="00D3756D"/>
    <w:rsid w:val="00D40020"/>
    <w:rsid w:val="00D4020E"/>
    <w:rsid w:val="00D408CF"/>
    <w:rsid w:val="00D41961"/>
    <w:rsid w:val="00D43E72"/>
    <w:rsid w:val="00D45B32"/>
    <w:rsid w:val="00D47116"/>
    <w:rsid w:val="00D47FF3"/>
    <w:rsid w:val="00D508CA"/>
    <w:rsid w:val="00D5097C"/>
    <w:rsid w:val="00D51338"/>
    <w:rsid w:val="00D51A75"/>
    <w:rsid w:val="00D52E56"/>
    <w:rsid w:val="00D52EFB"/>
    <w:rsid w:val="00D55CF0"/>
    <w:rsid w:val="00D56B2C"/>
    <w:rsid w:val="00D56FBA"/>
    <w:rsid w:val="00D57408"/>
    <w:rsid w:val="00D57607"/>
    <w:rsid w:val="00D57EA5"/>
    <w:rsid w:val="00D6095A"/>
    <w:rsid w:val="00D60A68"/>
    <w:rsid w:val="00D60C00"/>
    <w:rsid w:val="00D62726"/>
    <w:rsid w:val="00D62BA5"/>
    <w:rsid w:val="00D65754"/>
    <w:rsid w:val="00D666CF"/>
    <w:rsid w:val="00D66749"/>
    <w:rsid w:val="00D6692B"/>
    <w:rsid w:val="00D6693A"/>
    <w:rsid w:val="00D66ED7"/>
    <w:rsid w:val="00D70FCE"/>
    <w:rsid w:val="00D7131B"/>
    <w:rsid w:val="00D722BD"/>
    <w:rsid w:val="00D7377B"/>
    <w:rsid w:val="00D73AFE"/>
    <w:rsid w:val="00D74F1B"/>
    <w:rsid w:val="00D74F83"/>
    <w:rsid w:val="00D75BA0"/>
    <w:rsid w:val="00D7611D"/>
    <w:rsid w:val="00D7762F"/>
    <w:rsid w:val="00D80DA5"/>
    <w:rsid w:val="00D81003"/>
    <w:rsid w:val="00D81447"/>
    <w:rsid w:val="00D8181D"/>
    <w:rsid w:val="00D82813"/>
    <w:rsid w:val="00D82AC6"/>
    <w:rsid w:val="00D840CB"/>
    <w:rsid w:val="00D84F08"/>
    <w:rsid w:val="00D84F38"/>
    <w:rsid w:val="00D85699"/>
    <w:rsid w:val="00D85B2F"/>
    <w:rsid w:val="00D861A2"/>
    <w:rsid w:val="00D86C94"/>
    <w:rsid w:val="00D90FDA"/>
    <w:rsid w:val="00D917F9"/>
    <w:rsid w:val="00D92564"/>
    <w:rsid w:val="00D926FA"/>
    <w:rsid w:val="00D93556"/>
    <w:rsid w:val="00D94457"/>
    <w:rsid w:val="00D95608"/>
    <w:rsid w:val="00D958C0"/>
    <w:rsid w:val="00D9614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29C"/>
    <w:rsid w:val="00DA63D1"/>
    <w:rsid w:val="00DA69B9"/>
    <w:rsid w:val="00DA728C"/>
    <w:rsid w:val="00DB0018"/>
    <w:rsid w:val="00DB02CD"/>
    <w:rsid w:val="00DB0428"/>
    <w:rsid w:val="00DB1B00"/>
    <w:rsid w:val="00DB1D68"/>
    <w:rsid w:val="00DB1EB5"/>
    <w:rsid w:val="00DB2967"/>
    <w:rsid w:val="00DB32C0"/>
    <w:rsid w:val="00DB3352"/>
    <w:rsid w:val="00DB3D02"/>
    <w:rsid w:val="00DB5DB2"/>
    <w:rsid w:val="00DB662A"/>
    <w:rsid w:val="00DB67CE"/>
    <w:rsid w:val="00DB69AF"/>
    <w:rsid w:val="00DB71B9"/>
    <w:rsid w:val="00DB7ED2"/>
    <w:rsid w:val="00DC09BB"/>
    <w:rsid w:val="00DC11C3"/>
    <w:rsid w:val="00DC17A2"/>
    <w:rsid w:val="00DC1D48"/>
    <w:rsid w:val="00DC1FA8"/>
    <w:rsid w:val="00DC2125"/>
    <w:rsid w:val="00DC2DC3"/>
    <w:rsid w:val="00DC3BC1"/>
    <w:rsid w:val="00DC5C40"/>
    <w:rsid w:val="00DC6164"/>
    <w:rsid w:val="00DC63C0"/>
    <w:rsid w:val="00DC66E8"/>
    <w:rsid w:val="00DC6A7A"/>
    <w:rsid w:val="00DC6CF6"/>
    <w:rsid w:val="00DC7034"/>
    <w:rsid w:val="00DC75B2"/>
    <w:rsid w:val="00DC76F9"/>
    <w:rsid w:val="00DC7890"/>
    <w:rsid w:val="00DC7A68"/>
    <w:rsid w:val="00DD03CF"/>
    <w:rsid w:val="00DD2495"/>
    <w:rsid w:val="00DD35EA"/>
    <w:rsid w:val="00DD3686"/>
    <w:rsid w:val="00DD378C"/>
    <w:rsid w:val="00DD3E88"/>
    <w:rsid w:val="00DD5114"/>
    <w:rsid w:val="00DD5248"/>
    <w:rsid w:val="00DD5479"/>
    <w:rsid w:val="00DD5F43"/>
    <w:rsid w:val="00DD707F"/>
    <w:rsid w:val="00DD7271"/>
    <w:rsid w:val="00DD78B2"/>
    <w:rsid w:val="00DD792D"/>
    <w:rsid w:val="00DE015B"/>
    <w:rsid w:val="00DE0C57"/>
    <w:rsid w:val="00DE1410"/>
    <w:rsid w:val="00DE26B7"/>
    <w:rsid w:val="00DE2E7A"/>
    <w:rsid w:val="00DE3186"/>
    <w:rsid w:val="00DE3492"/>
    <w:rsid w:val="00DE3946"/>
    <w:rsid w:val="00DE3CD1"/>
    <w:rsid w:val="00DE41EA"/>
    <w:rsid w:val="00DE47E0"/>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6F4"/>
    <w:rsid w:val="00E00CC8"/>
    <w:rsid w:val="00E00E12"/>
    <w:rsid w:val="00E00FD3"/>
    <w:rsid w:val="00E0376B"/>
    <w:rsid w:val="00E04254"/>
    <w:rsid w:val="00E0594F"/>
    <w:rsid w:val="00E06166"/>
    <w:rsid w:val="00E06BE5"/>
    <w:rsid w:val="00E06C22"/>
    <w:rsid w:val="00E07795"/>
    <w:rsid w:val="00E07A3B"/>
    <w:rsid w:val="00E07FF6"/>
    <w:rsid w:val="00E10DF0"/>
    <w:rsid w:val="00E11F2A"/>
    <w:rsid w:val="00E125FC"/>
    <w:rsid w:val="00E1304B"/>
    <w:rsid w:val="00E147A0"/>
    <w:rsid w:val="00E163CE"/>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6D72"/>
    <w:rsid w:val="00E60486"/>
    <w:rsid w:val="00E60783"/>
    <w:rsid w:val="00E607B4"/>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061C"/>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908"/>
    <w:rsid w:val="00E95C23"/>
    <w:rsid w:val="00E96EF4"/>
    <w:rsid w:val="00E970B9"/>
    <w:rsid w:val="00E97543"/>
    <w:rsid w:val="00EA0380"/>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B11"/>
    <w:rsid w:val="00ED2C8D"/>
    <w:rsid w:val="00ED314B"/>
    <w:rsid w:val="00ED37D0"/>
    <w:rsid w:val="00ED439F"/>
    <w:rsid w:val="00ED526A"/>
    <w:rsid w:val="00ED543B"/>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3D32"/>
    <w:rsid w:val="00EF57BF"/>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26F"/>
    <w:rsid w:val="00F122B5"/>
    <w:rsid w:val="00F1248E"/>
    <w:rsid w:val="00F12BCB"/>
    <w:rsid w:val="00F14E40"/>
    <w:rsid w:val="00F1515F"/>
    <w:rsid w:val="00F15DDB"/>
    <w:rsid w:val="00F16098"/>
    <w:rsid w:val="00F16779"/>
    <w:rsid w:val="00F17131"/>
    <w:rsid w:val="00F17206"/>
    <w:rsid w:val="00F20D61"/>
    <w:rsid w:val="00F21854"/>
    <w:rsid w:val="00F21EAD"/>
    <w:rsid w:val="00F24C39"/>
    <w:rsid w:val="00F24CA5"/>
    <w:rsid w:val="00F259B3"/>
    <w:rsid w:val="00F279A6"/>
    <w:rsid w:val="00F27B39"/>
    <w:rsid w:val="00F30812"/>
    <w:rsid w:val="00F30FB2"/>
    <w:rsid w:val="00F313CA"/>
    <w:rsid w:val="00F31A9A"/>
    <w:rsid w:val="00F32236"/>
    <w:rsid w:val="00F325C1"/>
    <w:rsid w:val="00F332C3"/>
    <w:rsid w:val="00F34A42"/>
    <w:rsid w:val="00F34D2B"/>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6B9"/>
    <w:rsid w:val="00F516E8"/>
    <w:rsid w:val="00F51C04"/>
    <w:rsid w:val="00F53111"/>
    <w:rsid w:val="00F53406"/>
    <w:rsid w:val="00F5395D"/>
    <w:rsid w:val="00F53A99"/>
    <w:rsid w:val="00F55983"/>
    <w:rsid w:val="00F55991"/>
    <w:rsid w:val="00F55E2C"/>
    <w:rsid w:val="00F56579"/>
    <w:rsid w:val="00F56887"/>
    <w:rsid w:val="00F61F49"/>
    <w:rsid w:val="00F620DD"/>
    <w:rsid w:val="00F6277C"/>
    <w:rsid w:val="00F63440"/>
    <w:rsid w:val="00F647F9"/>
    <w:rsid w:val="00F64B62"/>
    <w:rsid w:val="00F64F4B"/>
    <w:rsid w:val="00F661C7"/>
    <w:rsid w:val="00F66588"/>
    <w:rsid w:val="00F67FD8"/>
    <w:rsid w:val="00F70838"/>
    <w:rsid w:val="00F71D5C"/>
    <w:rsid w:val="00F71E7A"/>
    <w:rsid w:val="00F720C1"/>
    <w:rsid w:val="00F727AF"/>
    <w:rsid w:val="00F72B0B"/>
    <w:rsid w:val="00F72C8D"/>
    <w:rsid w:val="00F737F2"/>
    <w:rsid w:val="00F73D97"/>
    <w:rsid w:val="00F74D56"/>
    <w:rsid w:val="00F74FF4"/>
    <w:rsid w:val="00F7593E"/>
    <w:rsid w:val="00F76078"/>
    <w:rsid w:val="00F760EB"/>
    <w:rsid w:val="00F76F9D"/>
    <w:rsid w:val="00F800B9"/>
    <w:rsid w:val="00F8076E"/>
    <w:rsid w:val="00F80B77"/>
    <w:rsid w:val="00F80FBC"/>
    <w:rsid w:val="00F8153F"/>
    <w:rsid w:val="00F8163A"/>
    <w:rsid w:val="00F8208F"/>
    <w:rsid w:val="00F8218E"/>
    <w:rsid w:val="00F82F71"/>
    <w:rsid w:val="00F833DC"/>
    <w:rsid w:val="00F83F8F"/>
    <w:rsid w:val="00F840FB"/>
    <w:rsid w:val="00F862D0"/>
    <w:rsid w:val="00F86B60"/>
    <w:rsid w:val="00F87092"/>
    <w:rsid w:val="00F87A56"/>
    <w:rsid w:val="00F87CD7"/>
    <w:rsid w:val="00F87D5F"/>
    <w:rsid w:val="00F90760"/>
    <w:rsid w:val="00F90DEB"/>
    <w:rsid w:val="00F91869"/>
    <w:rsid w:val="00F91CFE"/>
    <w:rsid w:val="00F923DC"/>
    <w:rsid w:val="00F9374F"/>
    <w:rsid w:val="00F93D8D"/>
    <w:rsid w:val="00F93E96"/>
    <w:rsid w:val="00F9525F"/>
    <w:rsid w:val="00F96269"/>
    <w:rsid w:val="00F96621"/>
    <w:rsid w:val="00F968A3"/>
    <w:rsid w:val="00F96A2B"/>
    <w:rsid w:val="00FA0219"/>
    <w:rsid w:val="00FA1A82"/>
    <w:rsid w:val="00FA30A2"/>
    <w:rsid w:val="00FA337C"/>
    <w:rsid w:val="00FA389D"/>
    <w:rsid w:val="00FA3CCE"/>
    <w:rsid w:val="00FA460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D25"/>
    <w:rsid w:val="00FC30B1"/>
    <w:rsid w:val="00FC3259"/>
    <w:rsid w:val="00FC3DF3"/>
    <w:rsid w:val="00FC4084"/>
    <w:rsid w:val="00FC4453"/>
    <w:rsid w:val="00FC6D76"/>
    <w:rsid w:val="00FC7687"/>
    <w:rsid w:val="00FC76D9"/>
    <w:rsid w:val="00FC7EC6"/>
    <w:rsid w:val="00FD023A"/>
    <w:rsid w:val="00FD0814"/>
    <w:rsid w:val="00FD248D"/>
    <w:rsid w:val="00FD285D"/>
    <w:rsid w:val="00FD2C13"/>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2EF9"/>
    <w:rsid w:val="00FE3142"/>
    <w:rsid w:val="00FE3CB1"/>
    <w:rsid w:val="00FE4342"/>
    <w:rsid w:val="00FE52E2"/>
    <w:rsid w:val="00FE5F99"/>
    <w:rsid w:val="00FE63F3"/>
    <w:rsid w:val="00FE6A9A"/>
    <w:rsid w:val="00FE79C1"/>
    <w:rsid w:val="00FE7B87"/>
    <w:rsid w:val="00FF00E1"/>
    <w:rsid w:val="00FF0587"/>
    <w:rsid w:val="00FF1F49"/>
    <w:rsid w:val="00FF3301"/>
    <w:rsid w:val="00FF3335"/>
    <w:rsid w:val="00FF3C71"/>
    <w:rsid w:val="00FF3DEC"/>
    <w:rsid w:val="00FF47F6"/>
    <w:rsid w:val="00FF4A83"/>
    <w:rsid w:val="00FF52CF"/>
    <w:rsid w:val="00FF5CC9"/>
    <w:rsid w:val="00FF6D43"/>
    <w:rsid w:val="00FF73E8"/>
    <w:rsid w:val="00FF796E"/>
    <w:rsid w:val="09D05DEC"/>
    <w:rsid w:val="09F63639"/>
    <w:rsid w:val="34B10906"/>
    <w:rsid w:val="60723523"/>
    <w:rsid w:val="62C230CA"/>
    <w:rsid w:val="72D44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22"/>
    <w:qFormat/>
    <w:uiPriority w:val="9"/>
    <w:pPr>
      <w:widowControl/>
      <w:spacing w:before="100" w:beforeAutospacing="1" w:after="100" w:afterAutospacing="1"/>
      <w:jc w:val="left"/>
      <w:outlineLvl w:val="1"/>
    </w:pPr>
    <w:rPr>
      <w:rFonts w:ascii="宋体" w:hAnsi="宋体" w:cs="宋体"/>
      <w:kern w:val="0"/>
      <w:sz w:val="36"/>
      <w:szCs w:val="36"/>
    </w:rPr>
  </w:style>
  <w:style w:type="paragraph" w:styleId="3">
    <w:name w:val="heading 4"/>
    <w:basedOn w:val="1"/>
    <w:next w:val="1"/>
    <w:link w:val="23"/>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Date"/>
    <w:basedOn w:val="1"/>
    <w:next w:val="1"/>
    <w:link w:val="33"/>
    <w:semiHidden/>
    <w:unhideWhenUsed/>
    <w:qFormat/>
    <w:uiPriority w:val="0"/>
    <w:pPr>
      <w:ind w:left="100" w:leftChars="2500"/>
    </w:pPr>
  </w:style>
  <w:style w:type="paragraph" w:styleId="5">
    <w:name w:val="Balloon Text"/>
    <w:basedOn w:val="1"/>
    <w:link w:val="15"/>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
    <w:name w:val="Strong"/>
    <w:basedOn w:val="11"/>
    <w:qFormat/>
    <w:uiPriority w:val="22"/>
    <w:rPr>
      <w:b/>
      <w:bCs/>
    </w:rPr>
  </w:style>
  <w:style w:type="character" w:styleId="13">
    <w:name w:val="Emphasis"/>
    <w:basedOn w:val="11"/>
    <w:qFormat/>
    <w:uiPriority w:val="20"/>
    <w:rPr>
      <w:i/>
      <w:iCs/>
    </w:rPr>
  </w:style>
  <w:style w:type="character" w:styleId="14">
    <w:name w:val="Hyperlink"/>
    <w:basedOn w:val="11"/>
    <w:unhideWhenUsed/>
    <w:qFormat/>
    <w:uiPriority w:val="99"/>
    <w:rPr>
      <w:color w:val="0000FF"/>
      <w:u w:val="single"/>
    </w:rPr>
  </w:style>
  <w:style w:type="character" w:customStyle="1" w:styleId="15">
    <w:name w:val="批注框文本 Char"/>
    <w:basedOn w:val="11"/>
    <w:link w:val="5"/>
    <w:semiHidden/>
    <w:qFormat/>
    <w:uiPriority w:val="99"/>
    <w:rPr>
      <w:sz w:val="18"/>
      <w:szCs w:val="18"/>
    </w:rPr>
  </w:style>
  <w:style w:type="character" w:customStyle="1" w:styleId="16">
    <w:name w:val="页眉 Char"/>
    <w:basedOn w:val="11"/>
    <w:link w:val="7"/>
    <w:semiHidden/>
    <w:qFormat/>
    <w:uiPriority w:val="99"/>
    <w:rPr>
      <w:sz w:val="18"/>
      <w:szCs w:val="18"/>
    </w:rPr>
  </w:style>
  <w:style w:type="character" w:customStyle="1" w:styleId="17">
    <w:name w:val="页脚 Char"/>
    <w:basedOn w:val="11"/>
    <w:link w:val="6"/>
    <w:qFormat/>
    <w:uiPriority w:val="99"/>
    <w:rPr>
      <w:sz w:val="18"/>
      <w:szCs w:val="18"/>
    </w:rPr>
  </w:style>
  <w:style w:type="paragraph" w:styleId="18">
    <w:name w:val="No Spacing"/>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Char"/>
    <w:basedOn w:val="11"/>
    <w:link w:val="18"/>
    <w:qFormat/>
    <w:uiPriority w:val="1"/>
    <w:rPr>
      <w:rFonts w:asciiTheme="minorHAnsi" w:hAnsiTheme="minorHAnsi" w:eastAsiaTheme="minorEastAsia" w:cstheme="minorBidi"/>
      <w:sz w:val="22"/>
      <w:szCs w:val="22"/>
    </w:rPr>
  </w:style>
  <w:style w:type="paragraph" w:styleId="20">
    <w:name w:val="List Paragraph"/>
    <w:basedOn w:val="1"/>
    <w:unhideWhenUsed/>
    <w:qFormat/>
    <w:uiPriority w:val="34"/>
    <w:pPr>
      <w:ind w:firstLine="420" w:firstLineChars="200"/>
    </w:pPr>
  </w:style>
  <w:style w:type="paragraph" w:customStyle="1" w:styleId="21">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2">
    <w:name w:val="标题 2 Char"/>
    <w:basedOn w:val="11"/>
    <w:link w:val="2"/>
    <w:qFormat/>
    <w:uiPriority w:val="9"/>
    <w:rPr>
      <w:rFonts w:ascii="宋体" w:hAnsi="宋体" w:cs="宋体"/>
      <w:sz w:val="36"/>
      <w:szCs w:val="36"/>
    </w:rPr>
  </w:style>
  <w:style w:type="character" w:customStyle="1" w:styleId="23">
    <w:name w:val="标题 4 Char"/>
    <w:basedOn w:val="11"/>
    <w:link w:val="3"/>
    <w:qFormat/>
    <w:uiPriority w:val="9"/>
    <w:rPr>
      <w:rFonts w:ascii="宋体" w:hAnsi="宋体" w:cs="宋体"/>
      <w:sz w:val="24"/>
      <w:szCs w:val="24"/>
    </w:rPr>
  </w:style>
  <w:style w:type="paragraph" w:customStyle="1" w:styleId="24">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5">
    <w:name w:val="articlel"/>
    <w:basedOn w:val="11"/>
    <w:qFormat/>
    <w:uiPriority w:val="0"/>
  </w:style>
  <w:style w:type="character" w:customStyle="1" w:styleId="26">
    <w:name w:val="articler"/>
    <w:basedOn w:val="11"/>
    <w:qFormat/>
    <w:uiPriority w:val="0"/>
  </w:style>
  <w:style w:type="paragraph" w:customStyle="1" w:styleId="27">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28">
    <w:name w:val="rich_media_meta1"/>
    <w:basedOn w:val="11"/>
    <w:qFormat/>
    <w:uiPriority w:val="0"/>
    <w:rPr>
      <w:sz w:val="24"/>
      <w:szCs w:val="24"/>
    </w:rPr>
  </w:style>
  <w:style w:type="character" w:customStyle="1" w:styleId="29">
    <w:name w:val="profile_meta_value1"/>
    <w:basedOn w:val="11"/>
    <w:qFormat/>
    <w:uiPriority w:val="0"/>
    <w:rPr>
      <w:color w:val="ADADAD"/>
    </w:rPr>
  </w:style>
  <w:style w:type="character" w:customStyle="1" w:styleId="30">
    <w:name w:val="apple-converted-space"/>
    <w:basedOn w:val="11"/>
    <w:qFormat/>
    <w:uiPriority w:val="0"/>
  </w:style>
  <w:style w:type="character" w:customStyle="1" w:styleId="31">
    <w:name w:val="rich_media_meta"/>
    <w:basedOn w:val="11"/>
    <w:qFormat/>
    <w:uiPriority w:val="0"/>
  </w:style>
  <w:style w:type="character" w:customStyle="1" w:styleId="32">
    <w:name w:val="blue"/>
    <w:basedOn w:val="11"/>
    <w:qFormat/>
    <w:uiPriority w:val="0"/>
  </w:style>
  <w:style w:type="character" w:customStyle="1" w:styleId="33">
    <w:name w:val="日期 Char"/>
    <w:basedOn w:val="11"/>
    <w:link w:val="4"/>
    <w:semiHidden/>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AE2D1E-85AA-400C-B51D-EE449F45BFFD}">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14671</Words>
  <Characters>15638</Characters>
  <Lines>116</Lines>
  <Paragraphs>32</Paragraphs>
  <TotalTime>1031</TotalTime>
  <ScaleCrop>false</ScaleCrop>
  <LinksUpToDate>false</LinksUpToDate>
  <CharactersWithSpaces>15756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2020-05-26T01:03:00Z</dcterms:created>
  <dc:creator>FtpDown</dc:creator>
  <cp:lastModifiedBy>王麒懿</cp:lastModifiedBy>
  <cp:lastPrinted>2018-09-29T05:55:00Z</cp:lastPrinted>
  <dcterms:modified xsi:type="dcterms:W3CDTF">2022-08-30T01:00:27Z</dcterms:modified>
  <dc:subject>2015年7月29日</dc:subject>
  <dc:title>2015年第一期</dc:title>
  <cp:revision>240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4A39DE9DDDD34193A6F8CA65DA2BEB7C</vt:lpwstr>
  </property>
</Properties>
</file>