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1921172"/>
        <w:docPartObj>
          <w:docPartGallery w:val="autotext"/>
        </w:docPartObj>
      </w:sdtPr>
      <w:sdtContent>
        <w:p>
          <w:r>
            <w:drawing>
              <wp:anchor distT="0" distB="0" distL="114300" distR="114300" simplePos="0" relativeHeight="251663360" behindDoc="1" locked="0" layoutInCell="1" allowOverlap="1">
                <wp:simplePos x="0" y="0"/>
                <wp:positionH relativeFrom="column">
                  <wp:posOffset>-1188720</wp:posOffset>
                </wp:positionH>
                <wp:positionV relativeFrom="paragraph">
                  <wp:posOffset>-914400</wp:posOffset>
                </wp:positionV>
                <wp:extent cx="7686675" cy="10873105"/>
                <wp:effectExtent l="0" t="0" r="0" b="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86674" cy="10872925"/>
                        </a:xfrm>
                        <a:prstGeom prst="rect">
                          <a:avLst/>
                        </a:prstGeom>
                        <a:noFill/>
                        <a:ln w="9525">
                          <a:noFill/>
                          <a:miter lim="800000"/>
                          <a:headEnd/>
                          <a:tailEnd/>
                        </a:ln>
                      </pic:spPr>
                    </pic:pic>
                  </a:graphicData>
                </a:graphic>
              </wp:anchor>
            </w:drawing>
          </w:r>
        </w:p>
        <w:p/>
        <w:tbl>
          <w:tblPr>
            <w:tblStyle w:val="11"/>
            <w:tblpPr w:leftFromText="187" w:rightFromText="187" w:horzAnchor="margin" w:tblpXSpec="center" w:tblpYSpec="bottom"/>
            <w:tblW w:w="4000" w:type="pct"/>
            <w:tblInd w:w="0" w:type="dxa"/>
            <w:tblLayout w:type="autofit"/>
            <w:tblCellMar>
              <w:top w:w="0" w:type="dxa"/>
              <w:left w:w="108" w:type="dxa"/>
              <w:bottom w:w="0" w:type="dxa"/>
              <w:right w:w="108" w:type="dxa"/>
            </w:tblCellMar>
          </w:tblPr>
          <w:tblGrid>
            <w:gridCol w:w="6834"/>
          </w:tblGrid>
          <w:tr>
            <w:tblPrEx>
              <w:tblCellMar>
                <w:top w:w="0" w:type="dxa"/>
                <w:left w:w="108" w:type="dxa"/>
                <w:bottom w:w="0" w:type="dxa"/>
                <w:right w:w="108" w:type="dxa"/>
              </w:tblCellMar>
            </w:tblPrEx>
            <w:tc>
              <w:tcPr>
                <w:tcW w:w="7672" w:type="dxa"/>
                <w:tcMar>
                  <w:top w:w="216" w:type="dxa"/>
                  <w:left w:w="115" w:type="dxa"/>
                  <w:bottom w:w="216" w:type="dxa"/>
                  <w:right w:w="115" w:type="dxa"/>
                </w:tcMar>
              </w:tcPr>
              <w:p>
                <w:pPr>
                  <w:pStyle w:val="20"/>
                  <w:rPr>
                    <w:color w:val="4F81BD" w:themeColor="accent1"/>
                  </w:rPr>
                </w:pPr>
              </w:p>
              <w:p>
                <w:pPr>
                  <w:pStyle w:val="20"/>
                  <w:rPr>
                    <w:color w:val="4F81BD" w:themeColor="accent1"/>
                  </w:rPr>
                </w:pPr>
              </w:p>
              <w:p>
                <w:pPr>
                  <w:pStyle w:val="20"/>
                  <w:rPr>
                    <w:color w:val="4F81BD" w:themeColor="accent1"/>
                  </w:rPr>
                </w:pPr>
              </w:p>
              <w:p>
                <w:pPr>
                  <w:pStyle w:val="20"/>
                  <w:rPr>
                    <w:color w:val="4F81BD" w:themeColor="accent1"/>
                  </w:rPr>
                </w:pPr>
              </w:p>
            </w:tc>
          </w:tr>
        </w:tbl>
        <w:p/>
        <w:p/>
        <w:p/>
        <w:p/>
        <w:p>
          <w:r>
            <w:rPr>
              <w:rFonts w:hint="eastAsia"/>
            </w:rPr>
            <w:t xml:space="preserve">   </w:t>
          </w:r>
        </w:p>
        <w:p/>
        <w:p/>
        <w:p/>
        <w:p/>
        <w:p/>
        <w:p/>
        <w:p/>
        <w:p/>
        <w:p>
          <w:pPr>
            <w:tabs>
              <w:tab w:val="left" w:pos="7050"/>
            </w:tabs>
          </w:pPr>
          <w:r>
            <w:tab/>
          </w:r>
        </w:p>
        <w:p/>
        <w:p/>
        <w:p/>
        <w:p/>
        <w:p>
          <w:pPr>
            <w:jc w:val="center"/>
            <w:rPr>
              <w:rFonts w:ascii="Heiti SC Light" w:eastAsia="Heiti SC Light"/>
              <w:color w:val="FFFFFF"/>
              <w:sz w:val="32"/>
              <w:szCs w:val="32"/>
            </w:rPr>
          </w:pPr>
          <w:r>
            <w:rPr>
              <w:rFonts w:hint="eastAsia" w:ascii="Heiti SC Light" w:eastAsia="Heiti SC Light"/>
              <w:color w:val="FFFFFF"/>
              <w:sz w:val="32"/>
              <w:szCs w:val="32"/>
            </w:rPr>
            <w:t>（202</w:t>
          </w:r>
          <w:r>
            <w:rPr>
              <w:rFonts w:hint="eastAsia" w:ascii="Heiti SC Light" w:eastAsia="Heiti SC Light"/>
              <w:color w:val="FFFFFF"/>
              <w:sz w:val="32"/>
              <w:szCs w:val="32"/>
              <w:lang w:val="en-US" w:eastAsia="zh-CN"/>
            </w:rPr>
            <w:t>2</w:t>
          </w:r>
          <w:r>
            <w:rPr>
              <w:rFonts w:hint="eastAsia" w:ascii="Heiti SC Light" w:eastAsia="Heiti SC Light"/>
              <w:color w:val="FFFFFF"/>
              <w:sz w:val="32"/>
              <w:szCs w:val="32"/>
            </w:rPr>
            <w:t>年第</w:t>
          </w:r>
          <w:r>
            <w:rPr>
              <w:rFonts w:hint="eastAsia" w:ascii="Heiti SC Light" w:eastAsia="Heiti SC Light"/>
              <w:color w:val="FFFFFF"/>
              <w:sz w:val="32"/>
              <w:szCs w:val="32"/>
              <w:lang w:val="en-US" w:eastAsia="zh-CN"/>
            </w:rPr>
            <w:t>9</w:t>
          </w:r>
          <w:r>
            <w:rPr>
              <w:rFonts w:hint="eastAsia" w:ascii="Heiti SC Light" w:eastAsia="Heiti SC Light"/>
              <w:color w:val="FFFFFF"/>
              <w:sz w:val="32"/>
              <w:szCs w:val="32"/>
            </w:rPr>
            <w:t>期） 202</w:t>
          </w:r>
          <w:r>
            <w:rPr>
              <w:rFonts w:hint="eastAsia" w:ascii="Heiti SC Light" w:eastAsia="Heiti SC Light"/>
              <w:color w:val="FFFFFF"/>
              <w:sz w:val="32"/>
              <w:szCs w:val="32"/>
              <w:lang w:val="en-US" w:eastAsia="zh-CN"/>
            </w:rPr>
            <w:t>2</w:t>
          </w:r>
          <w:r>
            <w:rPr>
              <w:rFonts w:hint="eastAsia" w:ascii="Heiti SC Light" w:eastAsia="Heiti SC Light"/>
              <w:color w:val="FFFFFF"/>
              <w:sz w:val="32"/>
              <w:szCs w:val="32"/>
            </w:rPr>
            <w:t>年</w:t>
          </w:r>
          <w:r>
            <w:rPr>
              <w:rFonts w:hint="eastAsia" w:ascii="Heiti SC Light" w:eastAsia="Heiti SC Light"/>
              <w:color w:val="FFFFFF"/>
              <w:sz w:val="32"/>
              <w:szCs w:val="32"/>
              <w:lang w:val="en-US" w:eastAsia="zh-CN"/>
            </w:rPr>
            <w:t>9</w:t>
          </w:r>
          <w:r>
            <w:rPr>
              <w:rFonts w:hint="eastAsia" w:ascii="Heiti SC Light" w:eastAsia="Heiti SC Light"/>
              <w:color w:val="FFFFFF"/>
              <w:sz w:val="32"/>
              <w:szCs w:val="32"/>
            </w:rPr>
            <w:t>月2</w:t>
          </w:r>
          <w:r>
            <w:rPr>
              <w:rFonts w:hint="eastAsia" w:ascii="Heiti SC Light" w:eastAsia="Heiti SC Light"/>
              <w:color w:val="FFFFFF"/>
              <w:sz w:val="32"/>
              <w:szCs w:val="32"/>
              <w:lang w:val="en-US" w:eastAsia="zh-CN"/>
            </w:rPr>
            <w:t>5</w:t>
          </w:r>
          <w:r>
            <w:rPr>
              <w:rFonts w:hint="eastAsia" w:ascii="Heiti SC Light" w:eastAsia="Heiti SC Light"/>
              <w:color w:val="FFFFFF"/>
              <w:sz w:val="32"/>
              <w:szCs w:val="32"/>
            </w:rPr>
            <w:t>日</w:t>
          </w:r>
        </w:p>
        <w:p/>
        <w:p/>
        <w:p/>
        <w:p/>
        <w:p/>
        <w:p>
          <w:r>
            <w:rPr>
              <w:rFonts w:hint="eastAsia"/>
            </w:rPr>
            <w:t xml:space="preserve"> </w:t>
          </w:r>
        </w:p>
        <w:p/>
        <w:p/>
        <w:p/>
        <w:p/>
        <w:p/>
        <w:p/>
        <w:p/>
        <w:p/>
        <w:p/>
        <w:p/>
        <w:p/>
        <w:p/>
        <w:p>
          <w:pPr>
            <w:tabs>
              <w:tab w:val="left" w:pos="5245"/>
            </w:tabs>
          </w:pPr>
        </w:p>
        <w:p>
          <w:pPr>
            <w:tabs>
              <w:tab w:val="left" w:pos="5245"/>
            </w:tabs>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p>
          <w:pPr>
            <w:widowControl/>
            <w:tabs>
              <w:tab w:val="left" w:pos="5245"/>
            </w:tabs>
            <w:jc w:val="left"/>
          </w:pPr>
        </w:p>
      </w:sdtContent>
    </w:sdt>
    <w:p>
      <w:pPr>
        <w:tabs>
          <w:tab w:val="left" w:pos="5245"/>
        </w:tabs>
      </w:pPr>
      <w:r>
        <w:pict>
          <v:shape id="Straight Connector 3" o:spid="_x0000_s1033" o:spt="32" type="#_x0000_t32" style="position:absolute;left:0pt;margin-left:102pt;margin-top:0.8pt;height:629.65pt;width:1.75pt;z-index:251660288;mso-width-relative:page;mso-height-relative:page;" filled="f" stroked="t" coordsize="21600,21600">
            <v:path arrowok="t"/>
            <v:fill on="f" focussize="0,0"/>
            <v:stroke weight="2.5pt" color="#548DD4"/>
            <v:imagedata o:title=""/>
            <o:lock v:ext="edit" aspectratio="f"/>
          </v:shape>
        </w:pict>
      </w:r>
      <w:r>
        <w:pict>
          <v:shape id="Straight Connector 2" o:spid="_x0000_s1026" o:spt="32" type="#_x0000_t32" style="position:absolute;left:0pt;margin-left:-67.5pt;margin-top:0.75pt;height:0.05pt;width:539.25pt;z-index:251659264;mso-width-relative:page;mso-height-relative:page;" filled="f" stroked="t" coordsize="21600,21600" o:gfxdata="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m8Y+ltYAAAAIAQAADwAAAAAAAAABACAAAAAiAAAAZHJzL2Rv&#10;d25yZXYueG1sUEsBAhQAFAAAAAgAh07iQAI+bt7KAQAAngMAAA4AAAAAAAAAAQAgAAAAJQEAAGRy&#10;cy9lMm9Eb2MueG1sUEsFBgAAAAAGAAYAWQEAAGEFAAAAAA==&#10;">
            <v:path arrowok="t"/>
            <v:fill on="f" focussize="0,0"/>
            <v:stroke weight="3pt" color="#548DD4"/>
            <v:imagedata o:title=""/>
            <o:lock v:ext="edit"/>
          </v:shape>
        </w:pict>
      </w:r>
      <w:r>
        <w:rPr>
          <w:rFonts w:hint="eastAsia"/>
        </w:rPr>
        <w:t xml:space="preserve"> </w:t>
      </w:r>
    </w:p>
    <w:p>
      <w:pPr>
        <w:tabs>
          <w:tab w:val="center" w:pos="4156"/>
        </w:tabs>
      </w:pPr>
      <w:r>
        <w:pict>
          <v:shape id="文本框 14" o:spid="_x0000_s1032" o:spt="202" type="#_x0000_t202" style="position:absolute;left:0pt;margin-left:122.4pt;margin-top:8.4pt;height:620pt;width:331.5pt;z-index:25166745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">
            <v:path/>
            <v:fill on="f" focussize="0,0"/>
            <v:stroke on="f" weight="1.25pt"/>
            <v:imagedata o:title=""/>
            <o:lock v:ext="edit" aspectratio="f"/>
            <v:textbox>
              <w:txbxContent>
                <w:p>
                  <w:pPr>
                    <w:rPr>
                      <w:rFonts w:hint="eastAsia" w:ascii="宋体" w:hAnsi="宋体" w:eastAsia="宋体" w:cs="宋体"/>
                      <w:b/>
                      <w:bCs/>
                      <w:kern w:val="0"/>
                      <w:sz w:val="33"/>
                      <w:szCs w:val="33"/>
                      <w:lang w:val="en-US" w:eastAsia="zh-CN" w:bidi="ar-SA"/>
                    </w:rPr>
                  </w:pPr>
                  <w:r>
                    <w:rPr>
                      <w:rFonts w:hint="eastAsia" w:ascii="宋体" w:hAnsi="宋体" w:eastAsia="宋体" w:cs="宋体"/>
                      <w:b/>
                      <w:bCs/>
                      <w:kern w:val="0"/>
                      <w:sz w:val="33"/>
                      <w:szCs w:val="33"/>
                      <w:lang w:val="en-US" w:eastAsia="zh-CN" w:bidi="ar-SA"/>
                    </w:rPr>
                    <w:t>1.重磅发布！全面解读药品流通领域！</w:t>
                  </w:r>
                </w:p>
                <w:p>
                  <w:pPr>
                    <w:rPr>
                      <w:b/>
                      <w:sz w:val="36"/>
                      <w:szCs w:val="36"/>
                    </w:rPr>
                  </w:pPr>
                </w:p>
                <w:p>
                  <w:pPr>
                    <w:rPr>
                      <w:rFonts w:hint="eastAsia" w:ascii="宋体" w:hAnsi="宋体" w:eastAsia="宋体" w:cs="宋体"/>
                      <w:b/>
                      <w:bCs/>
                      <w:kern w:val="0"/>
                      <w:sz w:val="33"/>
                      <w:szCs w:val="33"/>
                      <w:lang w:val="en-US" w:eastAsia="zh-CN" w:bidi="ar-SA"/>
                    </w:rPr>
                  </w:pPr>
                </w:p>
                <w:p>
                  <w:pPr>
                    <w:rPr>
                      <w:rFonts w:hint="eastAsia" w:ascii="宋体" w:hAnsi="宋体" w:eastAsia="宋体" w:cs="宋体"/>
                      <w:b/>
                      <w:bCs/>
                      <w:kern w:val="0"/>
                      <w:sz w:val="33"/>
                      <w:szCs w:val="33"/>
                      <w:lang w:val="en-US" w:eastAsia="zh-CN" w:bidi="ar-SA"/>
                    </w:rPr>
                  </w:pPr>
                  <w:r>
                    <w:rPr>
                      <w:rFonts w:hint="eastAsia" w:ascii="宋体" w:hAnsi="宋体" w:eastAsia="宋体" w:cs="宋体"/>
                      <w:b/>
                      <w:bCs/>
                      <w:kern w:val="0"/>
                      <w:sz w:val="33"/>
                      <w:szCs w:val="33"/>
                      <w:lang w:val="en-US" w:eastAsia="zh-CN" w:bidi="ar-SA"/>
                    </w:rPr>
                    <w:t>2. 重磅！湖北牵头全国中成药联盟集采来了！</w:t>
                  </w:r>
                </w:p>
                <w:p>
                  <w:pPr>
                    <w:rPr>
                      <w:b/>
                      <w:sz w:val="36"/>
                      <w:szCs w:val="36"/>
                    </w:rPr>
                  </w:pPr>
                </w:p>
                <w:p>
                  <w:pPr>
                    <w:rPr>
                      <w:b/>
                      <w:sz w:val="36"/>
                      <w:szCs w:val="36"/>
                    </w:rPr>
                  </w:pPr>
                </w:p>
                <w:p>
                  <w:pPr>
                    <w:rPr>
                      <w:rFonts w:hint="eastAsia" w:ascii="宋体" w:hAnsi="宋体" w:eastAsia="宋体" w:cs="宋体"/>
                      <w:b/>
                      <w:bCs/>
                      <w:kern w:val="0"/>
                      <w:sz w:val="33"/>
                      <w:szCs w:val="33"/>
                      <w:lang w:val="en-US" w:eastAsia="zh-CN" w:bidi="ar-SA"/>
                    </w:rPr>
                  </w:pPr>
                  <w:r>
                    <w:rPr>
                      <w:rFonts w:hint="eastAsia" w:ascii="宋体" w:hAnsi="宋体" w:eastAsia="宋体" w:cs="宋体"/>
                      <w:b/>
                      <w:bCs/>
                      <w:kern w:val="0"/>
                      <w:sz w:val="33"/>
                      <w:szCs w:val="33"/>
                      <w:lang w:val="en-US" w:eastAsia="zh-CN" w:bidi="ar-SA"/>
                    </w:rPr>
                    <w:t>3. 六大上市连锁2022半年业绩比拼</w:t>
                  </w:r>
                </w:p>
                <w:p>
                  <w:pPr>
                    <w:rPr>
                      <w:b/>
                      <w:sz w:val="36"/>
                      <w:szCs w:val="36"/>
                    </w:rPr>
                  </w:pPr>
                </w:p>
                <w:p>
                  <w:pPr>
                    <w:rPr>
                      <w:b/>
                      <w:sz w:val="36"/>
                      <w:szCs w:val="36"/>
                    </w:rPr>
                  </w:pPr>
                </w:p>
                <w:p>
                  <w:pPr>
                    <w:widowControl/>
                    <w:numPr>
                      <w:ilvl w:val="0"/>
                      <w:numId w:val="0"/>
                    </w:numPr>
                    <w:spacing w:after="210"/>
                    <w:jc w:val="left"/>
                    <w:outlineLvl w:val="1"/>
                    <w:rPr>
                      <w:rFonts w:hint="eastAsia" w:ascii="宋体" w:hAnsi="宋体" w:cs="宋体"/>
                      <w:b/>
                      <w:bCs/>
                      <w:kern w:val="0"/>
                      <w:sz w:val="33"/>
                      <w:szCs w:val="33"/>
                      <w:lang w:val="en-US" w:eastAsia="zh-CN" w:bidi="ar-SA"/>
                    </w:rPr>
                  </w:pPr>
                  <w:r>
                    <w:rPr>
                      <w:rFonts w:hint="eastAsia" w:ascii="宋体" w:hAnsi="宋体" w:cs="宋体"/>
                      <w:b/>
                      <w:bCs/>
                      <w:kern w:val="0"/>
                      <w:sz w:val="33"/>
                      <w:szCs w:val="33"/>
                      <w:lang w:val="en-US" w:eastAsia="zh-CN" w:bidi="ar-SA"/>
                    </w:rPr>
                    <w:t>4.漱玉平民大药房的新业态、新布局、新战略</w:t>
                  </w:r>
                </w:p>
                <w:p>
                  <w:pPr>
                    <w:widowControl/>
                    <w:numPr>
                      <w:ilvl w:val="0"/>
                      <w:numId w:val="0"/>
                    </w:numPr>
                    <w:spacing w:after="210"/>
                    <w:jc w:val="left"/>
                    <w:outlineLvl w:val="1"/>
                    <w:rPr>
                      <w:rFonts w:hint="eastAsia" w:ascii="宋体" w:hAnsi="宋体" w:cs="宋体"/>
                      <w:b/>
                      <w:bCs/>
                      <w:kern w:val="0"/>
                      <w:sz w:val="33"/>
                      <w:szCs w:val="33"/>
                      <w:lang w:val="en-US" w:eastAsia="zh-CN" w:bidi="ar-SA"/>
                    </w:rPr>
                  </w:pPr>
                </w:p>
                <w:p>
                  <w:pPr>
                    <w:widowControl/>
                    <w:numPr>
                      <w:ilvl w:val="0"/>
                      <w:numId w:val="0"/>
                    </w:numPr>
                    <w:spacing w:after="210"/>
                    <w:jc w:val="left"/>
                    <w:outlineLvl w:val="1"/>
                    <w:rPr>
                      <w:rFonts w:hint="eastAsia" w:ascii="宋体" w:hAnsi="宋体" w:cs="宋体"/>
                      <w:b/>
                      <w:bCs/>
                      <w:kern w:val="0"/>
                      <w:sz w:val="33"/>
                      <w:szCs w:val="33"/>
                      <w:lang w:val="en-US" w:eastAsia="zh-CN" w:bidi="ar-SA"/>
                    </w:rPr>
                  </w:pPr>
                  <w:r>
                    <w:rPr>
                      <w:rFonts w:hint="eastAsia" w:ascii="宋体" w:hAnsi="宋体" w:cs="宋体"/>
                      <w:b/>
                      <w:bCs/>
                      <w:kern w:val="0"/>
                      <w:sz w:val="33"/>
                      <w:szCs w:val="33"/>
                      <w:lang w:val="en-US" w:eastAsia="zh-CN" w:bidi="ar-SA"/>
                    </w:rPr>
                    <w:t>5.【重磅】O2O成零售药店增长源动力，2030年将占整体市场规模32.1%</w:t>
                  </w:r>
                </w:p>
                <w:p>
                  <w:pPr>
                    <w:widowControl/>
                    <w:numPr>
                      <w:ilvl w:val="0"/>
                      <w:numId w:val="0"/>
                    </w:numPr>
                    <w:spacing w:after="210"/>
                    <w:jc w:val="left"/>
                    <w:outlineLvl w:val="1"/>
                    <w:rPr>
                      <w:rFonts w:hint="eastAsia" w:ascii="宋体" w:hAnsi="宋体" w:cs="宋体"/>
                      <w:b/>
                      <w:bCs/>
                      <w:kern w:val="0"/>
                      <w:sz w:val="33"/>
                      <w:szCs w:val="33"/>
                      <w:lang w:val="en-US" w:eastAsia="zh-CN" w:bidi="ar-SA"/>
                    </w:rPr>
                  </w:pPr>
                </w:p>
                <w:p>
                  <w:pPr>
                    <w:widowControl/>
                    <w:numPr>
                      <w:ilvl w:val="0"/>
                      <w:numId w:val="0"/>
                    </w:numPr>
                    <w:spacing w:after="210"/>
                    <w:jc w:val="left"/>
                    <w:outlineLvl w:val="1"/>
                    <w:rPr>
                      <w:rFonts w:hint="eastAsia" w:ascii="宋体" w:hAnsi="宋体" w:cs="宋体"/>
                      <w:b/>
                      <w:bCs/>
                      <w:kern w:val="0"/>
                      <w:sz w:val="33"/>
                      <w:szCs w:val="33"/>
                      <w:lang w:val="en-US" w:eastAsia="zh-CN" w:bidi="ar-SA"/>
                    </w:rPr>
                  </w:pPr>
                </w:p>
                <w:p>
                  <w:pPr>
                    <w:widowControl/>
                    <w:numPr>
                      <w:ilvl w:val="0"/>
                      <w:numId w:val="0"/>
                    </w:numPr>
                    <w:spacing w:after="210"/>
                    <w:jc w:val="left"/>
                    <w:outlineLvl w:val="1"/>
                    <w:rPr>
                      <w:rFonts w:hint="eastAsia" w:ascii="宋体" w:hAnsi="宋体" w:eastAsia="宋体" w:cs="宋体"/>
                      <w:b/>
                      <w:bCs/>
                      <w:kern w:val="0"/>
                      <w:sz w:val="33"/>
                      <w:szCs w:val="33"/>
                      <w:lang w:val="en-US" w:eastAsia="zh-CN" w:bidi="ar-SA"/>
                    </w:rPr>
                  </w:pPr>
                </w:p>
                <w:p>
                  <w:pPr>
                    <w:rPr>
                      <w:b/>
                      <w:sz w:val="44"/>
                      <w:szCs w:val="44"/>
                    </w:rPr>
                  </w:pPr>
                </w:p>
                <w:p>
                  <w:pPr>
                    <w:rPr>
                      <w:b/>
                      <w:sz w:val="44"/>
                      <w:szCs w:val="44"/>
                    </w:rPr>
                  </w:pPr>
                </w:p>
                <w:p>
                  <w:pPr>
                    <w:rPr>
                      <w:b/>
                      <w:sz w:val="44"/>
                      <w:szCs w:val="44"/>
                    </w:rPr>
                  </w:pPr>
                </w:p>
                <w:p>
                  <w:pPr>
                    <w:rPr>
                      <w:b/>
                      <w:sz w:val="44"/>
                      <w:szCs w:val="44"/>
                    </w:rPr>
                  </w:pPr>
                </w:p>
                <w:p>
                  <w:pPr>
                    <w:rPr>
                      <w:b/>
                      <w:sz w:val="44"/>
                      <w:szCs w:val="44"/>
                    </w:rPr>
                  </w:pPr>
                </w:p>
                <w:p>
                  <w:pPr>
                    <w:rPr>
                      <w:b/>
                      <w:sz w:val="44"/>
                      <w:szCs w:val="44"/>
                    </w:rPr>
                  </w:pPr>
                </w:p>
                <w:p>
                  <w:pPr>
                    <w:rPr>
                      <w:b/>
                      <w:sz w:val="44"/>
                      <w:szCs w:val="44"/>
                    </w:rPr>
                  </w:pPr>
                </w:p>
                <w:p>
                  <w:pPr>
                    <w:rPr>
                      <w:b/>
                      <w:sz w:val="44"/>
                      <w:szCs w:val="44"/>
                    </w:rPr>
                  </w:pPr>
                </w:p>
                <w:p>
                  <w:pPr>
                    <w:widowControl/>
                    <w:numPr>
                      <w:ilvl w:val="0"/>
                      <w:numId w:val="0"/>
                    </w:numPr>
                    <w:spacing w:after="210"/>
                    <w:jc w:val="left"/>
                    <w:outlineLvl w:val="1"/>
                    <w:rPr>
                      <w:rFonts w:hint="eastAsia" w:ascii="宋体" w:hAnsi="宋体" w:eastAsia="宋体" w:cs="宋体"/>
                      <w:b/>
                      <w:bCs/>
                      <w:kern w:val="0"/>
                      <w:sz w:val="33"/>
                      <w:szCs w:val="33"/>
                      <w:lang w:val="en-US" w:eastAsia="zh-CN" w:bidi="ar-SA"/>
                    </w:rPr>
                  </w:pPr>
                </w:p>
                <w:p>
                  <w:pPr>
                    <w:widowControl/>
                    <w:numPr>
                      <w:ilvl w:val="0"/>
                      <w:numId w:val="0"/>
                    </w:numPr>
                    <w:spacing w:after="210"/>
                    <w:jc w:val="left"/>
                    <w:outlineLvl w:val="1"/>
                    <w:rPr>
                      <w:rFonts w:hint="eastAsia" w:ascii="宋体" w:hAnsi="宋体" w:eastAsia="宋体" w:cs="宋体"/>
                      <w:b/>
                      <w:bCs/>
                      <w:kern w:val="0"/>
                      <w:sz w:val="33"/>
                      <w:szCs w:val="33"/>
                      <w:lang w:val="en-US" w:eastAsia="zh-CN" w:bidi="ar-SA"/>
                    </w:rPr>
                  </w:pPr>
                </w:p>
                <w:p>
                  <w:pPr>
                    <w:widowControl/>
                    <w:numPr>
                      <w:ilvl w:val="0"/>
                      <w:numId w:val="0"/>
                    </w:numPr>
                    <w:spacing w:after="210"/>
                    <w:jc w:val="left"/>
                    <w:outlineLvl w:val="1"/>
                    <w:rPr>
                      <w:rFonts w:hint="eastAsia" w:ascii="宋体" w:hAnsi="宋体" w:eastAsia="宋体" w:cs="宋体"/>
                      <w:b/>
                      <w:bCs/>
                      <w:kern w:val="0"/>
                      <w:sz w:val="33"/>
                      <w:szCs w:val="33"/>
                      <w:lang w:val="en-US" w:eastAsia="zh-CN" w:bidi="ar-SA"/>
                    </w:rPr>
                  </w:pPr>
                </w:p>
              </w:txbxContent>
            </v:textbox>
          </v:shape>
        </w:pict>
      </w:r>
      <w:r>
        <w:pict>
          <v:shape id="文本框 11" o:spid="_x0000_s1027" o:spt="202" type="#_x0000_t202" style="position:absolute;left:0pt;margin-left:-62.1pt;margin-top:3.15pt;height:251.25pt;width:156.1pt;z-index:25166438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">
            <v:path/>
            <v:fill on="f" focussize="0,0"/>
            <v:stroke on="f" weight="1.25pt" joinstyle="miter"/>
            <v:imagedata o:title=""/>
            <o:lock v:ext="edit"/>
            <v:textbox>
              <w:txbxContent>
                <w:p/>
                <w:p/>
                <w:p/>
                <w:p>
                  <w:pPr>
                    <w:jc w:val="center"/>
                    <w:rPr>
                      <w:b/>
                      <w:sz w:val="44"/>
                      <w:szCs w:val="44"/>
                    </w:rPr>
                  </w:pPr>
                  <w:r>
                    <w:rPr>
                      <w:rFonts w:hint="eastAsia"/>
                      <w:b/>
                      <w:sz w:val="44"/>
                      <w:szCs w:val="44"/>
                    </w:rPr>
                    <w:t>目录</w:t>
                  </w:r>
                </w:p>
                <w:p>
                  <w:pPr>
                    <w:jc w:val="center"/>
                    <w:rPr>
                      <w:b/>
                      <w:sz w:val="44"/>
                      <w:szCs w:val="44"/>
                    </w:rPr>
                  </w:pPr>
                </w:p>
                <w:p>
                  <w:pPr>
                    <w:jc w:val="center"/>
                    <w:rPr>
                      <w:b/>
                      <w:sz w:val="44"/>
                      <w:szCs w:val="44"/>
                    </w:rPr>
                  </w:pPr>
                </w:p>
                <w:p>
                  <w:pPr>
                    <w:jc w:val="center"/>
                    <w:rPr>
                      <w:b/>
                      <w:sz w:val="44"/>
                      <w:szCs w:val="44"/>
                    </w:rPr>
                  </w:pPr>
                </w:p>
                <w:p>
                  <w:pPr>
                    <w:jc w:val="center"/>
                    <w:rPr>
                      <w:b/>
                      <w:sz w:val="36"/>
                      <w:szCs w:val="36"/>
                    </w:rPr>
                  </w:pPr>
                  <w:r>
                    <w:rPr>
                      <w:rFonts w:hint="eastAsia"/>
                      <w:b/>
                      <w:sz w:val="36"/>
                      <w:szCs w:val="36"/>
                    </w:rPr>
                    <w:t>（</w:t>
                  </w:r>
                  <w:r>
                    <w:rPr>
                      <w:rFonts w:hint="eastAsia"/>
                      <w:b/>
                      <w:sz w:val="36"/>
                      <w:szCs w:val="36"/>
                      <w:lang w:val="en-US" w:eastAsia="zh-CN"/>
                    </w:rPr>
                    <w:t>9</w:t>
                  </w:r>
                  <w:r>
                    <w:rPr>
                      <w:rFonts w:hint="eastAsia"/>
                      <w:b/>
                      <w:sz w:val="36"/>
                      <w:szCs w:val="36"/>
                    </w:rPr>
                    <w:t>月第</w:t>
                  </w:r>
                  <w:r>
                    <w:rPr>
                      <w:rFonts w:hint="eastAsia"/>
                      <w:b/>
                      <w:sz w:val="36"/>
                      <w:szCs w:val="36"/>
                      <w:lang w:val="en-US" w:eastAsia="zh-CN"/>
                    </w:rPr>
                    <w:t>9</w:t>
                  </w:r>
                  <w:r>
                    <w:rPr>
                      <w:rFonts w:hint="eastAsia"/>
                      <w:b/>
                      <w:sz w:val="36"/>
                      <w:szCs w:val="36"/>
                    </w:rPr>
                    <w:t>期）</w:t>
                  </w:r>
                </w:p>
              </w:txbxContent>
            </v:textbox>
          </v:shape>
        </w:pict>
      </w:r>
    </w:p>
    <w:p>
      <w:pPr>
        <w:tabs>
          <w:tab w:val="left" w:pos="5245"/>
        </w:tabs>
      </w:pPr>
      <w:r>
        <w:rPr>
          <w:rFonts w:hint="eastAsia"/>
        </w:rPr>
        <w:t xml:space="preserve">    </w:t>
      </w:r>
    </w:p>
    <w:p>
      <w:pPr>
        <w:tabs>
          <w:tab w:val="left" w:pos="5245"/>
        </w:tabs>
      </w:pPr>
      <w:r>
        <w:rPr>
          <w:rFonts w:hint="eastAsia"/>
        </w:rPr>
        <w:t xml:space="preserve"> </w: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w:pict>
          <v:shape id="Straight Connector 5" o:spid="_x0000_s1031" o:spt="32" type="#_x0000_t32" style="position:absolute;left:0pt;margin-left:-67.5pt;margin-top:9.45pt;height:0.05pt;width:168.75pt;z-index:251662336;mso-width-relative:page;mso-height-relative:page;" filled="f" stroked="t" coordsize="21600,21600" o:gfxdata="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iHt0tgAAAAKAQAADwAAAAAAAAABACAAAAAiAAAAZHJz&#10;L2Rvd25yZXYueG1sUEsBAhQAFAAAAAgAh07iQLyefE7LAQAAngMAAA4AAAAAAAAAAQAgAAAAJwEA&#10;AGRycy9lMm9Eb2MueG1sUEsFBgAAAAAGAAYAWQEAAGQFAAAAAA==&#10;">
            <v:path arrowok="t"/>
            <v:fill on="f" focussize="0,0"/>
            <v:stroke weight="2.75pt" color="#548DD4"/>
            <v:imagedata o:title=""/>
            <o:lock v:ext="edit"/>
          </v:shape>
        </w:pict>
      </w:r>
    </w:p>
    <w:p>
      <w:pPr>
        <w:tabs>
          <w:tab w:val="left" w:pos="5245"/>
        </w:tabs>
      </w:pPr>
    </w:p>
    <w:p>
      <w:pPr>
        <w:tabs>
          <w:tab w:val="left" w:pos="5245"/>
        </w:tabs>
      </w:pPr>
    </w:p>
    <w:p>
      <w:pPr>
        <w:tabs>
          <w:tab w:val="left" w:pos="5245"/>
        </w:tabs>
      </w:pPr>
    </w:p>
    <w:p>
      <w:pPr>
        <w:tabs>
          <w:tab w:val="left" w:pos="5245"/>
        </w:tabs>
      </w:pPr>
      <w:r>
        <w:pict>
          <v:shape id="文本框 12" o:spid="_x0000_s1028" o:spt="202" type="#_x0000_t202" style="position:absolute;left:0pt;margin-left:-53.1pt;margin-top:10.65pt;height:60pt;width:140.25pt;z-index:25166540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">
            <v:path/>
            <v:fill on="f" focussize="0,0"/>
            <v:stroke on="f" weight="1.25pt" joinstyle="miter"/>
            <v:imagedata o:title=""/>
            <o:lock v:ext="edit"/>
            <v:textbox>
              <w:txbxContent>
                <w:p>
                  <w:pPr>
                    <w:jc w:val="center"/>
                    <w:rPr>
                      <w:rFonts w:hint="eastAsia" w:eastAsia="宋体"/>
                      <w:sz w:val="44"/>
                      <w:szCs w:val="44"/>
                      <w:lang w:eastAsia="zh-CN"/>
                    </w:rPr>
                  </w:pPr>
                  <w:r>
                    <w:rPr>
                      <w:rFonts w:hint="eastAsia"/>
                      <w:sz w:val="44"/>
                      <w:szCs w:val="44"/>
                    </w:rPr>
                    <w:t>202</w:t>
                  </w:r>
                  <w:r>
                    <w:rPr>
                      <w:rFonts w:hint="eastAsia"/>
                      <w:sz w:val="44"/>
                      <w:szCs w:val="44"/>
                      <w:lang w:val="en-US" w:eastAsia="zh-CN"/>
                    </w:rPr>
                    <w:t>2</w:t>
                  </w:r>
                  <w:r>
                    <w:rPr>
                      <w:rFonts w:hint="eastAsia"/>
                      <w:sz w:val="44"/>
                      <w:szCs w:val="44"/>
                    </w:rPr>
                    <w:t>.</w:t>
                  </w:r>
                  <w:r>
                    <w:rPr>
                      <w:rFonts w:hint="eastAsia"/>
                      <w:sz w:val="44"/>
                      <w:szCs w:val="44"/>
                      <w:lang w:val="en-US" w:eastAsia="zh-CN"/>
                    </w:rPr>
                    <w:t xml:space="preserve">9                                                                                                                                                                                                                                                                                                                                                                                                                                                                                                                                                                                                                                                                                                                                                                                                                                                                                                                                                                                                                                                                                                                                   </w:t>
                  </w:r>
                  <w:r>
                    <w:rPr>
                      <w:rFonts w:hint="eastAsia"/>
                      <w:sz w:val="44"/>
                      <w:szCs w:val="44"/>
                    </w:rPr>
                    <w:t>.2</w:t>
                  </w:r>
                  <w:r>
                    <w:rPr>
                      <w:rFonts w:hint="eastAsia"/>
                      <w:sz w:val="44"/>
                      <w:szCs w:val="44"/>
                      <w:lang w:val="en-US" w:eastAsia="zh-CN"/>
                    </w:rPr>
                    <w:t>5</w:t>
                  </w:r>
                </w:p>
              </w:txbxContent>
            </v:textbox>
          </v:shape>
        </w:pic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w:pict>
          <v:shape id="文本框 13" o:spid="_x0000_s1029" o:spt="202" type="#_x0000_t202" style="position:absolute;left:0pt;margin-left:-43.7pt;margin-top:3.85pt;height:201.75pt;width:133.5pt;z-index:25166643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">
            <v:path/>
            <v:fill on="f" focussize="0,0"/>
            <v:stroke on="f" weight="1.25pt" joinstyle="miter"/>
            <v:imagedata o:title=""/>
            <o:lock v:ext="edit"/>
            <v:textbox>
              <w:txbxContent>
                <w:p/>
                <w:p/>
                <w:p/>
                <w:p>
                  <w:pPr>
                    <w:rPr>
                      <w:b/>
                      <w:sz w:val="32"/>
                      <w:szCs w:val="32"/>
                    </w:rPr>
                  </w:pPr>
                  <w:r>
                    <w:rPr>
                      <w:rFonts w:hint="eastAsia"/>
                      <w:b/>
                      <w:sz w:val="32"/>
                      <w:szCs w:val="32"/>
                    </w:rPr>
                    <w:t xml:space="preserve">总  编  朱卫东副总编  </w:t>
                  </w:r>
                  <w:r>
                    <w:rPr>
                      <w:rFonts w:hint="eastAsia"/>
                      <w:b/>
                      <w:sz w:val="32"/>
                      <w:szCs w:val="32"/>
                      <w:lang w:eastAsia="zh-CN"/>
                    </w:rPr>
                    <w:t>杨亚南</w:t>
                  </w:r>
                  <w:r>
                    <w:rPr>
                      <w:rFonts w:hint="eastAsia"/>
                      <w:b/>
                      <w:sz w:val="32"/>
                      <w:szCs w:val="32"/>
                    </w:rPr>
                    <w:t xml:space="preserve">  责任编辑车成刚</w:t>
                  </w:r>
                </w:p>
              </w:txbxContent>
            </v:textbox>
          </v:shape>
        </w:pic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w:pict>
          <v:shape id="Straight Connector 4" o:spid="_x0000_s1030" o:spt="32" type="#_x0000_t32" style="position:absolute;left:0pt;margin-left:-79.4pt;margin-top:68.05pt;height:0.05pt;width:534pt;z-index:251661312;mso-width-relative:page;mso-height-relative:page;" filled="f" stroked="t" coordsize="21600,21600" o:gfxdata="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hstRc2AAAAAoBAAAPAAAAAAAAAAEAIAAAACIAAABkcnMv&#10;ZG93bnJldi54bWxQSwECFAAUAAAACACHTuJAVWy6vcoBAACeAwAADgAAAAAAAAABACAAAAAnAQAA&#10;ZHJzL2Uyb0RvYy54bWxQSwUGAAAAAAYABgBZAQAAYwUAAAAA&#10;">
            <v:path arrowok="t"/>
            <v:fill on="f" focussize="0,0"/>
            <v:stroke weight="3pt" color="#548DD4"/>
            <v:imagedata o:title=""/>
            <o:lock v:ext="edit"/>
          </v:shape>
        </w:pict>
      </w:r>
    </w:p>
    <w:p>
      <w:pPr>
        <w:tabs>
          <w:tab w:val="left" w:pos="5245"/>
        </w:tabs>
      </w:pPr>
    </w:p>
    <w:p>
      <w:pPr>
        <w:tabs>
          <w:tab w:val="left" w:pos="5245"/>
        </w:tabs>
        <w:rPr>
          <w:rFonts w:hint="default" w:eastAsia="宋体"/>
          <w:lang w:val="en-US" w:eastAsia="zh-CN"/>
        </w:rPr>
      </w:pPr>
      <w:r>
        <w:rPr>
          <w:rFonts w:hint="eastAsia"/>
        </w:rPr>
        <w:t xml:space="preserve">           </w:t>
      </w:r>
      <w:r>
        <w:rPr>
          <w:rFonts w:hint="eastAsia"/>
          <w:lang w:val="en-US" w:eastAsia="zh-CN"/>
        </w:rPr>
        <w:t xml:space="preserve">                                                                               </w:t>
      </w:r>
    </w:p>
    <w:tbl>
      <w:tblPr>
        <w:tblStyle w:val="12"/>
        <w:tblW w:w="9073"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6"/>
        <w:gridCol w:w="2341"/>
        <w:gridCol w:w="2049"/>
        <w:gridCol w:w="24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7" w:hRule="atLeast"/>
        </w:trPr>
        <w:tc>
          <w:tcPr>
            <w:tcW w:w="2127" w:type="dxa"/>
            <w:vAlign w:val="center"/>
          </w:tcPr>
          <w:p>
            <w:pPr>
              <w:tabs>
                <w:tab w:val="left" w:pos="7088"/>
              </w:tabs>
              <w:jc w:val="center"/>
              <w:rPr>
                <w:b/>
                <w:sz w:val="30"/>
                <w:szCs w:val="30"/>
              </w:rPr>
            </w:pPr>
            <w:r>
              <w:rPr>
                <w:rFonts w:hint="eastAsia"/>
                <w:b/>
                <w:sz w:val="30"/>
                <w:szCs w:val="30"/>
              </w:rPr>
              <w:t>信息01</w:t>
            </w:r>
          </w:p>
        </w:tc>
        <w:tc>
          <w:tcPr>
            <w:tcW w:w="6662" w:type="dxa"/>
            <w:gridSpan w:val="3"/>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cs="宋体" w:asciiTheme="minorEastAsia" w:hAnsiTheme="minorEastAsia" w:eastAsiaTheme="minorEastAsia"/>
                <w:b/>
                <w:color w:val="000000"/>
                <w:kern w:val="0"/>
                <w:sz w:val="32"/>
                <w:szCs w:val="32"/>
              </w:rPr>
            </w:pPr>
            <w:r>
              <w:rPr>
                <w:rFonts w:hint="eastAsia" w:cs="宋体" w:asciiTheme="minorEastAsia" w:hAnsiTheme="minorEastAsia" w:eastAsiaTheme="minorEastAsia"/>
                <w:b/>
                <w:color w:val="000000"/>
                <w:kern w:val="0"/>
                <w:sz w:val="32"/>
                <w:szCs w:val="32"/>
              </w:rPr>
              <w:t>重磅发布！全面解读药品流通领域！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2127" w:type="dxa"/>
            <w:vAlign w:val="center"/>
          </w:tcPr>
          <w:p>
            <w:pPr>
              <w:tabs>
                <w:tab w:val="left" w:pos="7088"/>
              </w:tabs>
              <w:jc w:val="center"/>
            </w:pPr>
            <w:r>
              <w:rPr>
                <w:rFonts w:hint="eastAsia"/>
                <w:b/>
                <w:sz w:val="30"/>
                <w:szCs w:val="30"/>
              </w:rPr>
              <w:t>发布</w:t>
            </w:r>
            <w:r>
              <w:rPr>
                <w:b/>
                <w:sz w:val="30"/>
                <w:szCs w:val="30"/>
              </w:rPr>
              <w:t>时间</w:t>
            </w:r>
          </w:p>
        </w:tc>
        <w:tc>
          <w:tcPr>
            <w:tcW w:w="2268" w:type="dxa"/>
            <w:vAlign w:val="center"/>
          </w:tcPr>
          <w:p>
            <w:pPr>
              <w:tabs>
                <w:tab w:val="left" w:pos="7088"/>
              </w:tabs>
              <w:ind w:firstLine="280" w:firstLineChars="100"/>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rPr>
              <w:t>202</w:t>
            </w:r>
            <w:r>
              <w:rPr>
                <w:rFonts w:hint="eastAsia" w:asciiTheme="minorEastAsia" w:hAnsiTheme="minorEastAsia" w:eastAsiaTheme="minorEastAsia"/>
                <w:sz w:val="28"/>
                <w:szCs w:val="28"/>
                <w:lang w:val="en-US" w:eastAsia="zh-CN"/>
              </w:rPr>
              <w:t>2</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9</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12</w:t>
            </w:r>
          </w:p>
        </w:tc>
        <w:tc>
          <w:tcPr>
            <w:tcW w:w="1985" w:type="dxa"/>
            <w:vAlign w:val="center"/>
          </w:tcPr>
          <w:p>
            <w:pPr>
              <w:tabs>
                <w:tab w:val="left" w:pos="7088"/>
              </w:tabs>
              <w:jc w:val="center"/>
              <w:rPr>
                <w:b/>
                <w:sz w:val="28"/>
                <w:szCs w:val="28"/>
              </w:rPr>
            </w:pPr>
            <w:r>
              <w:rPr>
                <w:rFonts w:hint="eastAsia"/>
                <w:b/>
                <w:sz w:val="30"/>
                <w:szCs w:val="30"/>
              </w:rPr>
              <w:t>信息来源</w:t>
            </w:r>
          </w:p>
        </w:tc>
        <w:tc>
          <w:tcPr>
            <w:tcW w:w="2409" w:type="dxa"/>
            <w:vAlign w:val="center"/>
          </w:tcPr>
          <w:p>
            <w:pPr>
              <w:tabs>
                <w:tab w:val="left" w:pos="7088"/>
              </w:tabs>
              <w:jc w:val="center"/>
              <w:rPr>
                <w:rFonts w:hint="default" w:asciiTheme="minorEastAsia" w:hAnsiTheme="minorEastAsia" w:eastAsiaTheme="minorEastAsia"/>
                <w:sz w:val="28"/>
                <w:szCs w:val="28"/>
                <w:lang w:val="en-US" w:eastAsia="zh-CN"/>
              </w:rPr>
            </w:pPr>
            <w:r>
              <w:rPr>
                <w:rFonts w:hint="eastAsia" w:eastAsiaTheme="minorEastAsia"/>
                <w:sz w:val="28"/>
                <w:szCs w:val="28"/>
                <w:lang w:val="en-US" w:eastAsia="zh-CN"/>
              </w:rPr>
              <w:t>药闻康策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0" w:hRule="atLeast"/>
        </w:trPr>
        <w:tc>
          <w:tcPr>
            <w:tcW w:w="2127" w:type="dxa"/>
          </w:tcPr>
          <w:p>
            <w:pPr>
              <w:tabs>
                <w:tab w:val="left" w:pos="7088"/>
              </w:tabs>
              <w:jc w:val="center"/>
              <w:rPr>
                <w:b/>
                <w:sz w:val="30"/>
                <w:szCs w:val="30"/>
              </w:rPr>
            </w:pPr>
            <w:r>
              <w:rPr>
                <w:rFonts w:hint="eastAsia"/>
                <w:b/>
                <w:sz w:val="30"/>
                <w:szCs w:val="30"/>
              </w:rPr>
              <w:t>信息</w:t>
            </w:r>
            <w:r>
              <w:rPr>
                <w:b/>
                <w:sz w:val="30"/>
                <w:szCs w:val="30"/>
              </w:rPr>
              <w:t>提供</w:t>
            </w:r>
          </w:p>
        </w:tc>
        <w:tc>
          <w:tcPr>
            <w:tcW w:w="2268" w:type="dxa"/>
            <w:vAlign w:val="center"/>
          </w:tcPr>
          <w:p>
            <w:pPr>
              <w:tabs>
                <w:tab w:val="left" w:pos="7088"/>
              </w:tabs>
              <w:jc w:val="center"/>
              <w:rPr>
                <w:sz w:val="28"/>
                <w:szCs w:val="28"/>
              </w:rPr>
            </w:pPr>
            <w:r>
              <w:rPr>
                <w:rFonts w:hint="eastAsia"/>
                <w:sz w:val="28"/>
                <w:szCs w:val="28"/>
              </w:rPr>
              <w:t>运营管理部</w:t>
            </w:r>
          </w:p>
        </w:tc>
        <w:tc>
          <w:tcPr>
            <w:tcW w:w="1985" w:type="dxa"/>
          </w:tcPr>
          <w:p>
            <w:pPr>
              <w:tabs>
                <w:tab w:val="left" w:pos="7088"/>
              </w:tabs>
              <w:jc w:val="center"/>
              <w:rPr>
                <w:b/>
                <w:sz w:val="28"/>
                <w:szCs w:val="28"/>
              </w:rPr>
            </w:pPr>
            <w:r>
              <w:rPr>
                <w:rFonts w:hint="eastAsia"/>
                <w:b/>
                <w:sz w:val="30"/>
                <w:szCs w:val="30"/>
              </w:rPr>
              <w:t>信息确认</w:t>
            </w:r>
          </w:p>
        </w:tc>
        <w:tc>
          <w:tcPr>
            <w:tcW w:w="2409" w:type="dxa"/>
          </w:tcPr>
          <w:p>
            <w:pPr>
              <w:tabs>
                <w:tab w:val="left" w:pos="7088"/>
              </w:tabs>
              <w:jc w:val="center"/>
              <w:rPr>
                <w:sz w:val="28"/>
                <w:szCs w:val="28"/>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0" w:hRule="atLeast"/>
        </w:trPr>
        <w:tc>
          <w:tcPr>
            <w:tcW w:w="2127" w:type="dxa"/>
            <w:tcBorders>
              <w:bottom w:val="single" w:color="auto" w:sz="4" w:space="0"/>
            </w:tcBorders>
            <w:vAlign w:val="center"/>
          </w:tcPr>
          <w:p>
            <w:pPr>
              <w:tabs>
                <w:tab w:val="left" w:pos="7088"/>
              </w:tabs>
              <w:ind w:firstLine="301" w:firstLineChars="100"/>
              <w:rPr>
                <w:b/>
                <w:sz w:val="30"/>
                <w:szCs w:val="30"/>
              </w:rPr>
            </w:pPr>
            <w:r>
              <w:rPr>
                <w:rFonts w:hint="eastAsia"/>
                <w:b/>
                <w:sz w:val="30"/>
                <w:szCs w:val="30"/>
              </w:rPr>
              <w:t>确认</w:t>
            </w:r>
            <w:r>
              <w:rPr>
                <w:b/>
                <w:sz w:val="30"/>
                <w:szCs w:val="30"/>
              </w:rPr>
              <w:t>结果</w:t>
            </w:r>
          </w:p>
        </w:tc>
        <w:tc>
          <w:tcPr>
            <w:tcW w:w="6662" w:type="dxa"/>
            <w:gridSpan w:val="3"/>
            <w:tcBorders>
              <w:bottom w:val="single" w:color="auto" w:sz="4" w:space="0"/>
            </w:tcBorders>
            <w:vAlign w:val="center"/>
          </w:tcPr>
          <w:p>
            <w:pPr>
              <w:tabs>
                <w:tab w:val="left" w:pos="7088"/>
              </w:tabs>
              <w:jc w:val="left"/>
              <w:rPr>
                <w:sz w:val="28"/>
                <w:szCs w:val="28"/>
              </w:rPr>
            </w:pPr>
            <w:r>
              <w:rPr>
                <w:rFonts w:hint="eastAsia" w:asciiTheme="minorEastAsia" w:hAnsiTheme="minorEastAsia" w:eastAsiaTheme="minorEastAsia"/>
                <w:sz w:val="28"/>
                <w:szCs w:val="28"/>
              </w:rPr>
              <w:t>来源：</w:t>
            </w:r>
            <w:r>
              <w:rPr>
                <w:rFonts w:hint="eastAsia" w:eastAsiaTheme="minorEastAsia"/>
                <w:sz w:val="28"/>
                <w:szCs w:val="28"/>
                <w:lang w:val="en-US" w:eastAsia="zh-CN"/>
              </w:rPr>
              <w:t>药闻康策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7" w:hRule="atLeast"/>
        </w:trPr>
        <w:tc>
          <w:tcPr>
            <w:tcW w:w="2127" w:type="dxa"/>
            <w:tcBorders>
              <w:top w:val="single" w:color="auto" w:sz="4" w:space="0"/>
            </w:tcBorders>
            <w:vAlign w:val="center"/>
          </w:tcPr>
          <w:p>
            <w:pPr>
              <w:tabs>
                <w:tab w:val="left" w:pos="7088"/>
              </w:tabs>
              <w:jc w:val="center"/>
              <w:rPr>
                <w:b/>
                <w:sz w:val="30"/>
                <w:szCs w:val="30"/>
              </w:rPr>
            </w:pPr>
            <w:r>
              <w:rPr>
                <w:rFonts w:hint="eastAsia"/>
                <w:b/>
                <w:sz w:val="30"/>
                <w:szCs w:val="30"/>
              </w:rPr>
              <w:t>关键词</w:t>
            </w:r>
          </w:p>
        </w:tc>
        <w:tc>
          <w:tcPr>
            <w:tcW w:w="6662" w:type="dxa"/>
            <w:gridSpan w:val="3"/>
            <w:tcBorders>
              <w:top w:val="single" w:color="auto" w:sz="4" w:space="0"/>
            </w:tcBorders>
            <w:vAlign w:val="center"/>
          </w:tcPr>
          <w:p>
            <w:pPr>
              <w:tabs>
                <w:tab w:val="left" w:pos="7088"/>
              </w:tabs>
              <w:jc w:val="left"/>
              <w:rPr>
                <w:rFonts w:cs="宋体" w:asciiTheme="minorEastAsia" w:hAnsiTheme="minorEastAsia" w:eastAsiaTheme="minorEastAsia"/>
                <w:kern w:val="0"/>
                <w:sz w:val="28"/>
                <w:szCs w:val="28"/>
              </w:rPr>
            </w:pPr>
            <w:r>
              <w:rPr>
                <w:rFonts w:hint="eastAsia" w:asciiTheme="minorEastAsia" w:hAnsiTheme="minorEastAsia" w:eastAsiaTheme="minorEastAsia"/>
                <w:sz w:val="28"/>
                <w:szCs w:val="28"/>
                <w:lang w:eastAsia="zh-CN"/>
              </w:rPr>
              <w:t>药品流通</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eastAsia="zh-CN"/>
              </w:rPr>
              <w:t>销售规模</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eastAsia="zh-CN"/>
              </w:rPr>
              <w:t>药店</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eastAsia="zh-CN"/>
              </w:rPr>
              <w:t>医药电商</w:t>
            </w:r>
            <w:r>
              <w:rPr>
                <w:rFonts w:hint="eastAsia" w:asciiTheme="minorEastAsia" w:hAnsiTheme="minorEastAsia" w:eastAsiaTheme="minor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6" w:hRule="atLeast"/>
        </w:trPr>
        <w:tc>
          <w:tcPr>
            <w:tcW w:w="2127" w:type="dxa"/>
            <w:vAlign w:val="center"/>
          </w:tcPr>
          <w:p>
            <w:pPr>
              <w:tabs>
                <w:tab w:val="left" w:pos="7088"/>
              </w:tabs>
              <w:jc w:val="center"/>
              <w:rPr>
                <w:b/>
                <w:sz w:val="30"/>
                <w:szCs w:val="30"/>
              </w:rPr>
            </w:pPr>
            <w:r>
              <w:rPr>
                <w:b/>
                <w:sz w:val="30"/>
                <w:szCs w:val="30"/>
              </w:rPr>
              <w:t>内容概要</w:t>
            </w:r>
          </w:p>
        </w:tc>
        <w:tc>
          <w:tcPr>
            <w:tcW w:w="6662" w:type="dxa"/>
            <w:gridSpan w:val="3"/>
            <w:vAlign w:val="center"/>
          </w:tcPr>
          <w:p>
            <w:pPr>
              <w:numPr>
                <w:ilvl w:val="0"/>
                <w:numId w:val="0"/>
              </w:numPr>
              <w:ind w:firstLine="560" w:firstLineChars="200"/>
              <w:rPr>
                <w:rFonts w:hint="eastAsia" w:cs="Times New Roman" w:asciiTheme="minorEastAsia" w:hAnsiTheme="minorEastAsia"/>
                <w:kern w:val="2"/>
                <w:sz w:val="28"/>
                <w:szCs w:val="28"/>
                <w:lang w:val="en-US" w:eastAsia="zh-CN" w:bidi="ar-SA"/>
              </w:rPr>
            </w:pPr>
            <w:r>
              <w:rPr>
                <w:rFonts w:hint="eastAsia" w:cs="Times New Roman" w:asciiTheme="minorEastAsia" w:hAnsiTheme="minorEastAsia"/>
                <w:kern w:val="2"/>
                <w:sz w:val="28"/>
                <w:szCs w:val="28"/>
                <w:lang w:val="en-US" w:eastAsia="zh-CN" w:bidi="ar-SA"/>
              </w:rPr>
              <w:t>近日，商务部发布《2021年药品流通行业运行统计分析报告》。总体来看，全国药品流通市场销售规模稳步增长，增速逐渐恢复至疫情前水平。</w:t>
            </w:r>
          </w:p>
          <w:p>
            <w:pPr>
              <w:numPr>
                <w:ilvl w:val="0"/>
                <w:numId w:val="0"/>
              </w:numPr>
              <w:ind w:firstLine="280" w:firstLineChars="100"/>
              <w:rPr>
                <w:rFonts w:hint="default" w:eastAsia="宋体" w:cs="Times New Roman" w:asciiTheme="minorEastAsia" w:hAnsiTheme="minorEastAsia"/>
                <w:kern w:val="2"/>
                <w:sz w:val="28"/>
                <w:szCs w:val="28"/>
                <w:lang w:val="en-US" w:eastAsia="zh-CN" w:bidi="ar-SA"/>
              </w:rPr>
            </w:pPr>
            <w:r>
              <w:rPr>
                <w:rFonts w:hint="eastAsia" w:cs="Times New Roman" w:asciiTheme="minorEastAsia" w:hAnsiTheme="minorEastAsia"/>
                <w:kern w:val="2"/>
                <w:sz w:val="28"/>
                <w:szCs w:val="28"/>
                <w:lang w:val="en-US" w:eastAsia="zh-CN" w:bidi="ar-SA"/>
              </w:rPr>
              <w:t>1、药店数量创新高；</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right="0" w:firstLine="280" w:firstLineChars="100"/>
              <w:jc w:val="both"/>
              <w:rPr>
                <w:rFonts w:hint="eastAsia" w:eastAsia="宋体" w:cs="Times New Roman" w:asciiTheme="minorEastAsia" w:hAnsiTheme="minorEastAsia"/>
                <w:kern w:val="2"/>
                <w:sz w:val="28"/>
                <w:szCs w:val="28"/>
                <w:lang w:val="en-US" w:eastAsia="zh-CN" w:bidi="ar-SA"/>
              </w:rPr>
            </w:pPr>
            <w:r>
              <w:rPr>
                <w:rFonts w:hint="eastAsia" w:eastAsia="宋体" w:cs="Times New Roman" w:asciiTheme="minorEastAsia" w:hAnsiTheme="minorEastAsia"/>
                <w:kern w:val="2"/>
                <w:sz w:val="28"/>
                <w:szCs w:val="28"/>
                <w:lang w:val="en-US" w:eastAsia="zh-CN" w:bidi="ar-SA"/>
              </w:rPr>
              <w:t>2、连锁药店集中度稳步提升</w:t>
            </w:r>
            <w:r>
              <w:rPr>
                <w:rFonts w:hint="eastAsia" w:cs="Times New Roman" w:asciiTheme="minorEastAsia" w:hAnsiTheme="minorEastAsia"/>
                <w:kern w:val="2"/>
                <w:sz w:val="28"/>
                <w:szCs w:val="28"/>
                <w:lang w:val="en-US" w:eastAsia="zh-CN" w:bidi="ar-SA"/>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right="0" w:firstLine="280" w:firstLineChars="100"/>
              <w:jc w:val="both"/>
              <w:rPr>
                <w:rFonts w:hint="eastAsia" w:cs="Times New Roman" w:asciiTheme="minorEastAsia" w:hAnsiTheme="minorEastAsia"/>
                <w:kern w:val="2"/>
                <w:sz w:val="28"/>
                <w:szCs w:val="28"/>
                <w:lang w:val="en-US" w:eastAsia="zh-CN" w:bidi="ar-SA"/>
              </w:rPr>
            </w:pPr>
            <w:r>
              <w:rPr>
                <w:rFonts w:hint="eastAsia" w:cs="Times New Roman" w:asciiTheme="minorEastAsia" w:hAnsiTheme="minorEastAsia"/>
                <w:kern w:val="2"/>
                <w:sz w:val="28"/>
                <w:szCs w:val="28"/>
                <w:lang w:val="en-US" w:eastAsia="zh-CN" w:bidi="ar-SA"/>
              </w:rPr>
              <w:t>3、医药流通龙头迈入5000亿俱乐部；</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right="0" w:firstLine="280" w:firstLineChars="100"/>
              <w:jc w:val="both"/>
              <w:rPr>
                <w:rFonts w:hint="eastAsia" w:cs="Times New Roman" w:asciiTheme="minorEastAsia" w:hAnsiTheme="minorEastAsia"/>
                <w:kern w:val="2"/>
                <w:sz w:val="28"/>
                <w:szCs w:val="28"/>
                <w:lang w:val="en-US" w:eastAsia="zh-CN" w:bidi="ar-SA"/>
              </w:rPr>
            </w:pPr>
            <w:r>
              <w:rPr>
                <w:rFonts w:hint="eastAsia" w:cs="Times New Roman" w:asciiTheme="minorEastAsia" w:hAnsiTheme="minorEastAsia"/>
                <w:kern w:val="2"/>
                <w:sz w:val="28"/>
                <w:szCs w:val="28"/>
                <w:lang w:val="en-US" w:eastAsia="zh-CN" w:bidi="ar-SA"/>
              </w:rPr>
              <w:t>4、医药电商发展迅速。</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right="0" w:firstLine="280" w:firstLineChars="100"/>
              <w:jc w:val="both"/>
              <w:rPr>
                <w:rFonts w:hint="default" w:cs="Times New Roman" w:asciiTheme="minorEastAsia" w:hAnsiTheme="minorEastAsia"/>
                <w:kern w:val="2"/>
                <w:sz w:val="28"/>
                <w:szCs w:val="28"/>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right="0"/>
              <w:jc w:val="both"/>
              <w:rPr>
                <w:rFonts w:hint="eastAsia" w:cs="Times New Roman" w:asciiTheme="minorEastAsia" w:hAnsiTheme="minorEastAsia"/>
                <w:kern w:val="2"/>
                <w:sz w:val="28"/>
                <w:szCs w:val="28"/>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right="0"/>
              <w:jc w:val="both"/>
              <w:rPr>
                <w:rFonts w:hint="eastAsia" w:cs="Times New Roman" w:asciiTheme="minorEastAsia" w:hAnsiTheme="minorEastAsia"/>
                <w:kern w:val="2"/>
                <w:sz w:val="28"/>
                <w:szCs w:val="28"/>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right="0"/>
              <w:jc w:val="both"/>
              <w:rPr>
                <w:rFonts w:hint="eastAsia" w:cs="Times New Roman" w:asciiTheme="minorEastAsia" w:hAnsiTheme="minorEastAsia"/>
                <w:kern w:val="2"/>
                <w:sz w:val="28"/>
                <w:szCs w:val="28"/>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83" w:lineRule="atLeast"/>
              <w:ind w:right="0"/>
              <w:jc w:val="both"/>
              <w:rPr>
                <w:rFonts w:hint="eastAsia" w:cs="Times New Roman" w:asciiTheme="minorEastAsia" w:hAnsiTheme="minorEastAsia"/>
                <w:kern w:val="2"/>
                <w:sz w:val="28"/>
                <w:szCs w:val="28"/>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asciiTheme="minorEastAsia" w:hAnsiTheme="minorEastAsia" w:eastAsiaTheme="minorEastAsia"/>
                <w:sz w:val="28"/>
                <w:szCs w:val="28"/>
              </w:rPr>
            </w:pPr>
            <w:r>
              <w:rPr>
                <w:rFonts w:hint="eastAsia" w:ascii="Calibri" w:hAnsi="Calibri" w:eastAsia="宋体" w:cs="Times New Roman"/>
                <w:kern w:val="2"/>
                <w:sz w:val="21"/>
                <w:szCs w:val="22"/>
                <w:lang w:val="en-US" w:eastAsia="zh-CN" w:bidi="ar-SA"/>
              </w:rPr>
              <w:t>附件1: 重磅发布！全面解读药品流通领域！</w:t>
            </w:r>
          </w:p>
        </w:tc>
      </w:tr>
    </w:tbl>
    <w:p>
      <w:pPr>
        <w:tabs>
          <w:tab w:val="left" w:pos="5245"/>
        </w:tabs>
      </w:pPr>
    </w:p>
    <w:tbl>
      <w:tblPr>
        <w:tblStyle w:val="12"/>
        <w:tblW w:w="9073"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7"/>
        <w:gridCol w:w="2268"/>
        <w:gridCol w:w="142"/>
        <w:gridCol w:w="1843"/>
        <w:gridCol w:w="2409"/>
        <w:gridCol w:w="2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27" w:type="dxa"/>
            <w:vAlign w:val="center"/>
          </w:tcPr>
          <w:p>
            <w:pPr>
              <w:tabs>
                <w:tab w:val="left" w:pos="5245"/>
              </w:tabs>
              <w:jc w:val="center"/>
              <w:rPr>
                <w:b/>
                <w:sz w:val="30"/>
                <w:szCs w:val="30"/>
              </w:rPr>
            </w:pPr>
            <w:r>
              <w:rPr>
                <w:rFonts w:hint="eastAsia"/>
                <w:b/>
                <w:sz w:val="30"/>
                <w:szCs w:val="30"/>
              </w:rPr>
              <w:t>信息02</w:t>
            </w:r>
          </w:p>
        </w:tc>
        <w:tc>
          <w:tcPr>
            <w:tcW w:w="6946" w:type="dxa"/>
            <w:gridSpan w:val="5"/>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asciiTheme="minorEastAsia" w:hAnsiTheme="minorEastAsia" w:eastAsiaTheme="minorEastAsia"/>
                <w:b/>
                <w:sz w:val="32"/>
                <w:szCs w:val="32"/>
              </w:rPr>
            </w:pPr>
            <w:r>
              <w:rPr>
                <w:rFonts w:hint="eastAsia" w:asciiTheme="minorEastAsia" w:hAnsiTheme="minorEastAsia" w:eastAsiaTheme="minorEastAsia"/>
                <w:b/>
                <w:sz w:val="32"/>
                <w:szCs w:val="32"/>
              </w:rPr>
              <w:t>重磅！湖北牵头全国中成药联盟集采来了！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27" w:type="dxa"/>
            <w:vAlign w:val="center"/>
          </w:tcPr>
          <w:p>
            <w:pPr>
              <w:tabs>
                <w:tab w:val="left" w:pos="5245"/>
              </w:tabs>
              <w:jc w:val="center"/>
            </w:pPr>
            <w:r>
              <w:rPr>
                <w:rFonts w:hint="eastAsia"/>
                <w:b/>
                <w:sz w:val="30"/>
                <w:szCs w:val="30"/>
              </w:rPr>
              <w:t>发布</w:t>
            </w:r>
            <w:r>
              <w:rPr>
                <w:b/>
                <w:sz w:val="30"/>
                <w:szCs w:val="30"/>
              </w:rPr>
              <w:t>时间</w:t>
            </w:r>
          </w:p>
        </w:tc>
        <w:tc>
          <w:tcPr>
            <w:tcW w:w="2410" w:type="dxa"/>
            <w:gridSpan w:val="2"/>
            <w:vAlign w:val="center"/>
          </w:tcPr>
          <w:p>
            <w:pPr>
              <w:widowControl/>
              <w:spacing w:line="300" w:lineRule="atLeast"/>
              <w:ind w:firstLine="280" w:firstLineChars="100"/>
              <w:jc w:val="left"/>
              <w:rPr>
                <w:rFonts w:hint="default" w:asciiTheme="minorEastAsia" w:hAnsiTheme="minorEastAsia" w:eastAsiaTheme="minorEastAsia"/>
                <w:sz w:val="28"/>
                <w:szCs w:val="28"/>
                <w:lang w:val="en-US"/>
              </w:rPr>
            </w:pPr>
            <w:r>
              <w:rPr>
                <w:rFonts w:hint="eastAsia" w:cs="Helvetica" w:asciiTheme="minorEastAsia" w:hAnsiTheme="minorEastAsia" w:eastAsiaTheme="minorEastAsia"/>
                <w:kern w:val="0"/>
                <w:sz w:val="28"/>
                <w:szCs w:val="28"/>
              </w:rPr>
              <w:t>202</w:t>
            </w:r>
            <w:r>
              <w:rPr>
                <w:rFonts w:hint="eastAsia" w:cs="Helvetica" w:asciiTheme="minorEastAsia" w:hAnsiTheme="minorEastAsia" w:eastAsiaTheme="minorEastAsia"/>
                <w:kern w:val="0"/>
                <w:sz w:val="28"/>
                <w:szCs w:val="28"/>
                <w:lang w:val="en-US" w:eastAsia="zh-CN"/>
              </w:rPr>
              <w:t>2</w:t>
            </w:r>
            <w:r>
              <w:rPr>
                <w:rFonts w:hint="eastAsia" w:cs="Helvetica" w:asciiTheme="minorEastAsia" w:hAnsiTheme="minorEastAsia" w:eastAsiaTheme="minorEastAsia"/>
                <w:kern w:val="0"/>
                <w:sz w:val="28"/>
                <w:szCs w:val="28"/>
              </w:rPr>
              <w:t>-</w:t>
            </w:r>
            <w:r>
              <w:rPr>
                <w:rFonts w:hint="eastAsia" w:cs="Helvetica" w:asciiTheme="minorEastAsia" w:hAnsiTheme="minorEastAsia" w:eastAsiaTheme="minorEastAsia"/>
                <w:kern w:val="0"/>
                <w:sz w:val="28"/>
                <w:szCs w:val="28"/>
                <w:lang w:val="en-US" w:eastAsia="zh-CN"/>
              </w:rPr>
              <w:t>9</w:t>
            </w:r>
            <w:r>
              <w:rPr>
                <w:rFonts w:hint="eastAsia" w:cs="Helvetica" w:asciiTheme="minorEastAsia" w:hAnsiTheme="minorEastAsia" w:eastAsiaTheme="minorEastAsia"/>
                <w:kern w:val="0"/>
                <w:sz w:val="28"/>
                <w:szCs w:val="28"/>
              </w:rPr>
              <w:t>-</w:t>
            </w:r>
            <w:r>
              <w:rPr>
                <w:rFonts w:hint="eastAsia" w:cs="Helvetica" w:asciiTheme="minorEastAsia" w:hAnsiTheme="minorEastAsia" w:eastAsiaTheme="minorEastAsia"/>
                <w:kern w:val="0"/>
                <w:sz w:val="28"/>
                <w:szCs w:val="28"/>
                <w:lang w:val="en-US" w:eastAsia="zh-CN"/>
              </w:rPr>
              <w:t>10</w:t>
            </w:r>
          </w:p>
        </w:tc>
        <w:tc>
          <w:tcPr>
            <w:tcW w:w="1843" w:type="dxa"/>
            <w:vAlign w:val="center"/>
          </w:tcPr>
          <w:p>
            <w:pPr>
              <w:jc w:val="center"/>
              <w:rPr>
                <w:b/>
                <w:sz w:val="30"/>
                <w:szCs w:val="30"/>
              </w:rPr>
            </w:pPr>
            <w:r>
              <w:rPr>
                <w:rFonts w:hint="eastAsia"/>
                <w:b/>
                <w:sz w:val="30"/>
                <w:szCs w:val="30"/>
              </w:rPr>
              <w:t>信息来源</w:t>
            </w:r>
          </w:p>
        </w:tc>
        <w:tc>
          <w:tcPr>
            <w:tcW w:w="2693" w:type="dxa"/>
            <w:gridSpan w:val="2"/>
            <w:vAlign w:val="center"/>
          </w:tcPr>
          <w:p>
            <w:pPr>
              <w:jc w:val="center"/>
              <w:rPr>
                <w:rFonts w:hint="eastAsia" w:eastAsia="宋体"/>
                <w:sz w:val="28"/>
                <w:szCs w:val="28"/>
                <w:lang w:eastAsia="zh-CN"/>
              </w:rPr>
            </w:pPr>
            <w:r>
              <w:rPr>
                <w:rFonts w:hint="eastAsia" w:eastAsiaTheme="minorEastAsia"/>
                <w:sz w:val="28"/>
                <w:szCs w:val="28"/>
                <w:lang w:val="en-US" w:eastAsia="zh-CN"/>
              </w:rPr>
              <w:t>药闻康策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27" w:type="dxa"/>
            <w:vAlign w:val="center"/>
          </w:tcPr>
          <w:p>
            <w:pPr>
              <w:tabs>
                <w:tab w:val="left" w:pos="5245"/>
              </w:tabs>
              <w:jc w:val="center"/>
              <w:rPr>
                <w:b/>
                <w:sz w:val="30"/>
                <w:szCs w:val="30"/>
              </w:rPr>
            </w:pPr>
            <w:r>
              <w:rPr>
                <w:rFonts w:hint="eastAsia"/>
                <w:b/>
                <w:sz w:val="30"/>
                <w:szCs w:val="30"/>
              </w:rPr>
              <w:t>信息</w:t>
            </w:r>
            <w:r>
              <w:rPr>
                <w:b/>
                <w:sz w:val="30"/>
                <w:szCs w:val="30"/>
              </w:rPr>
              <w:t>提供</w:t>
            </w:r>
          </w:p>
        </w:tc>
        <w:tc>
          <w:tcPr>
            <w:tcW w:w="2410" w:type="dxa"/>
            <w:gridSpan w:val="2"/>
            <w:vAlign w:val="center"/>
          </w:tcPr>
          <w:p>
            <w:pPr>
              <w:jc w:val="left"/>
              <w:rPr>
                <w:sz w:val="28"/>
                <w:szCs w:val="28"/>
              </w:rPr>
            </w:pPr>
            <w:r>
              <w:rPr>
                <w:rFonts w:hint="eastAsia"/>
                <w:sz w:val="28"/>
                <w:szCs w:val="28"/>
              </w:rPr>
              <w:t>运营管理部</w:t>
            </w:r>
          </w:p>
        </w:tc>
        <w:tc>
          <w:tcPr>
            <w:tcW w:w="1843" w:type="dxa"/>
            <w:vAlign w:val="center"/>
          </w:tcPr>
          <w:p>
            <w:pPr>
              <w:jc w:val="center"/>
              <w:rPr>
                <w:b/>
                <w:sz w:val="28"/>
                <w:szCs w:val="28"/>
              </w:rPr>
            </w:pPr>
            <w:r>
              <w:rPr>
                <w:rFonts w:hint="eastAsia"/>
                <w:b/>
                <w:sz w:val="30"/>
                <w:szCs w:val="30"/>
              </w:rPr>
              <w:t>信息确认</w:t>
            </w:r>
          </w:p>
        </w:tc>
        <w:tc>
          <w:tcPr>
            <w:tcW w:w="2693" w:type="dxa"/>
            <w:gridSpan w:val="2"/>
            <w:vAlign w:val="center"/>
          </w:tcPr>
          <w:p>
            <w:pPr>
              <w:jc w:val="center"/>
              <w:rPr>
                <w:sz w:val="28"/>
                <w:szCs w:val="28"/>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9" w:hRule="atLeast"/>
        </w:trPr>
        <w:tc>
          <w:tcPr>
            <w:tcW w:w="2127" w:type="dxa"/>
            <w:vAlign w:val="center"/>
          </w:tcPr>
          <w:p>
            <w:pPr>
              <w:tabs>
                <w:tab w:val="left" w:pos="5245"/>
              </w:tabs>
              <w:jc w:val="center"/>
              <w:rPr>
                <w:b/>
                <w:sz w:val="30"/>
                <w:szCs w:val="30"/>
              </w:rPr>
            </w:pPr>
            <w:r>
              <w:rPr>
                <w:rFonts w:hint="eastAsia"/>
                <w:b/>
                <w:sz w:val="30"/>
                <w:szCs w:val="30"/>
              </w:rPr>
              <w:t>确认</w:t>
            </w:r>
            <w:r>
              <w:rPr>
                <w:b/>
                <w:sz w:val="30"/>
                <w:szCs w:val="30"/>
              </w:rPr>
              <w:t>结果</w:t>
            </w:r>
          </w:p>
        </w:tc>
        <w:tc>
          <w:tcPr>
            <w:tcW w:w="6946" w:type="dxa"/>
            <w:gridSpan w:val="5"/>
            <w:vAlign w:val="center"/>
          </w:tcPr>
          <w:p>
            <w:pPr>
              <w:rPr>
                <w:rFonts w:cs="Helvetica" w:asciiTheme="minorEastAsia" w:hAnsiTheme="minorEastAsia" w:eastAsiaTheme="minorEastAsia"/>
                <w:kern w:val="0"/>
                <w:sz w:val="32"/>
                <w:szCs w:val="32"/>
              </w:rPr>
            </w:pPr>
            <w:r>
              <w:rPr>
                <w:rFonts w:asciiTheme="minorEastAsia" w:hAnsiTheme="minorEastAsia" w:eastAsiaTheme="minorEastAsia"/>
                <w:sz w:val="28"/>
                <w:szCs w:val="28"/>
              </w:rPr>
              <w:t>来源：</w:t>
            </w:r>
            <w:r>
              <w:rPr>
                <w:rFonts w:hint="eastAsia" w:eastAsiaTheme="minorEastAsia"/>
                <w:sz w:val="28"/>
                <w:szCs w:val="28"/>
                <w:lang w:val="en-US" w:eastAsia="zh-CN"/>
              </w:rPr>
              <w:t>药闻康策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8" w:hRule="atLeast"/>
        </w:trPr>
        <w:tc>
          <w:tcPr>
            <w:tcW w:w="2127" w:type="dxa"/>
            <w:vAlign w:val="center"/>
          </w:tcPr>
          <w:p>
            <w:pPr>
              <w:tabs>
                <w:tab w:val="left" w:pos="5245"/>
              </w:tabs>
              <w:jc w:val="center"/>
              <w:rPr>
                <w:b/>
                <w:sz w:val="30"/>
                <w:szCs w:val="30"/>
              </w:rPr>
            </w:pPr>
            <w:r>
              <w:rPr>
                <w:rFonts w:hint="eastAsia"/>
                <w:b/>
                <w:sz w:val="30"/>
                <w:szCs w:val="30"/>
              </w:rPr>
              <w:t>关键词</w:t>
            </w:r>
          </w:p>
        </w:tc>
        <w:tc>
          <w:tcPr>
            <w:tcW w:w="6946" w:type="dxa"/>
            <w:gridSpan w:val="5"/>
            <w:vAlign w:val="center"/>
          </w:tcPr>
          <w:p>
            <w:pPr>
              <w:jc w:val="left"/>
              <w:rPr>
                <w:sz w:val="28"/>
                <w:szCs w:val="28"/>
              </w:rPr>
            </w:pPr>
            <w:r>
              <w:rPr>
                <w:rFonts w:hint="eastAsia" w:asciiTheme="minorEastAsia" w:hAnsiTheme="minorEastAsia" w:eastAsiaTheme="minorEastAsia"/>
                <w:sz w:val="28"/>
                <w:szCs w:val="28"/>
                <w:lang w:val="en-US" w:eastAsia="zh-CN"/>
              </w:rPr>
              <w:t>中成药，联盟采购，采购目录</w:t>
            </w:r>
            <w:r>
              <w:rPr>
                <w:rFonts w:hint="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37" w:hRule="atLeast"/>
        </w:trPr>
        <w:tc>
          <w:tcPr>
            <w:tcW w:w="2127" w:type="dxa"/>
            <w:vAlign w:val="center"/>
          </w:tcPr>
          <w:p>
            <w:pPr>
              <w:tabs>
                <w:tab w:val="left" w:pos="5245"/>
              </w:tabs>
              <w:jc w:val="center"/>
              <w:rPr>
                <w:b/>
                <w:sz w:val="30"/>
                <w:szCs w:val="30"/>
              </w:rPr>
            </w:pPr>
            <w:r>
              <w:rPr>
                <w:rFonts w:hint="eastAsia"/>
                <w:b/>
                <w:sz w:val="30"/>
                <w:szCs w:val="30"/>
              </w:rPr>
              <w:t>内容概要</w:t>
            </w:r>
          </w:p>
        </w:tc>
        <w:tc>
          <w:tcPr>
            <w:tcW w:w="6946" w:type="dxa"/>
            <w:gridSpan w:val="5"/>
            <w:vAlign w:val="center"/>
          </w:tcPr>
          <w:p>
            <w:pPr>
              <w:widowControl/>
              <w:numPr>
                <w:ilvl w:val="0"/>
                <w:numId w:val="0"/>
              </w:numPr>
              <w:spacing w:line="420" w:lineRule="atLeast"/>
              <w:ind w:firstLine="560" w:firstLineChars="200"/>
              <w:jc w:val="left"/>
              <w:rPr>
                <w:rFonts w:hint="eastAsia" w:cs="Times New Roman" w:asciiTheme="minorEastAsia" w:hAnsiTheme="minorEastAsia"/>
                <w:kern w:val="2"/>
                <w:sz w:val="28"/>
                <w:szCs w:val="28"/>
                <w:lang w:val="en-US" w:eastAsia="zh-CN" w:bidi="ar-SA"/>
              </w:rPr>
            </w:pPr>
            <w:r>
              <w:rPr>
                <w:rFonts w:hint="eastAsia" w:cs="Times New Roman" w:asciiTheme="minorEastAsia" w:hAnsiTheme="minorEastAsia"/>
                <w:kern w:val="2"/>
                <w:sz w:val="28"/>
                <w:szCs w:val="28"/>
                <w:lang w:val="en-US" w:eastAsia="zh-CN" w:bidi="ar-SA"/>
              </w:rPr>
              <w:t>9月9日，湖北省医药价格和招标采购管理服务网发布《全国中成药联盟采购公告 （2022年第1号）》，29个省市代表组成全国中成药联合采购办公室，在国家医疗保障局指导下，代表上述地区相关医药机构开展中成药及相关药品集中带量采购。</w:t>
            </w:r>
          </w:p>
          <w:p>
            <w:pPr>
              <w:widowControl/>
              <w:numPr>
                <w:ilvl w:val="0"/>
                <w:numId w:val="0"/>
              </w:numPr>
              <w:spacing w:line="420" w:lineRule="atLeast"/>
              <w:ind w:firstLine="560" w:firstLineChars="200"/>
              <w:jc w:val="left"/>
              <w:rPr>
                <w:rFonts w:hint="eastAsia" w:cs="Times New Roman" w:asciiTheme="minorEastAsia" w:hAnsiTheme="minorEastAsia"/>
                <w:kern w:val="2"/>
                <w:sz w:val="28"/>
                <w:szCs w:val="28"/>
                <w:lang w:val="en-US" w:eastAsia="zh-CN" w:bidi="ar-SA"/>
              </w:rPr>
            </w:pPr>
            <w:r>
              <w:rPr>
                <w:rFonts w:hint="eastAsia" w:cs="Times New Roman" w:asciiTheme="minorEastAsia" w:hAnsiTheme="minorEastAsia"/>
                <w:kern w:val="2"/>
                <w:sz w:val="28"/>
                <w:szCs w:val="28"/>
                <w:lang w:val="en-US" w:eastAsia="zh-CN" w:bidi="ar-SA"/>
              </w:rPr>
              <w:t>据悉，此次全国中成药集采联盟延续了首批中成药集采理念，按照“临床使用量大、采购金额高”的原则，形成了包含42个药品的16个采购组，预估涉及市场金额超过100亿元。（附采购目录）</w:t>
            </w:r>
          </w:p>
          <w:p>
            <w:pPr>
              <w:widowControl/>
              <w:spacing w:line="420" w:lineRule="atLeast"/>
              <w:ind w:firstLine="420" w:firstLineChars="200"/>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pPr>
              <w:widowControl/>
              <w:spacing w:line="420" w:lineRule="atLeast"/>
              <w:jc w:val="left"/>
              <w:rPr>
                <w:rFonts w:asciiTheme="minorEastAsia" w:hAnsiTheme="minorEastAsia" w:eastAsiaTheme="minorEastAsia"/>
              </w:rPr>
            </w:pPr>
          </w:p>
          <w:p>
            <w:r>
              <w:rPr>
                <w:rFonts w:hint="eastAsia"/>
                <w:lang w:eastAsia="zh-CN"/>
              </w:rPr>
              <w:t>附件</w:t>
            </w:r>
            <w:r>
              <w:rPr>
                <w:rFonts w:hint="eastAsia"/>
                <w:lang w:val="en-US" w:eastAsia="zh-CN"/>
              </w:rPr>
              <w:t>2：重磅！湖北牵头全国中成药联盟集采来了！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2127" w:type="dxa"/>
            <w:vAlign w:val="center"/>
          </w:tcPr>
          <w:p>
            <w:pPr>
              <w:jc w:val="center"/>
              <w:rPr>
                <w:b/>
                <w:sz w:val="30"/>
                <w:szCs w:val="30"/>
              </w:rPr>
            </w:pPr>
            <w:r>
              <w:rPr>
                <w:rFonts w:hint="eastAsia"/>
                <w:b/>
                <w:sz w:val="30"/>
                <w:szCs w:val="30"/>
              </w:rPr>
              <w:t>信息03</w:t>
            </w:r>
          </w:p>
        </w:tc>
        <w:tc>
          <w:tcPr>
            <w:tcW w:w="6946" w:type="dxa"/>
            <w:gridSpan w:val="5"/>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cs="Helvetica" w:asciiTheme="minorEastAsia" w:hAnsiTheme="minorEastAsia" w:eastAsiaTheme="minorEastAsia"/>
                <w:b/>
                <w:color w:val="000000"/>
                <w:kern w:val="0"/>
                <w:sz w:val="32"/>
                <w:szCs w:val="32"/>
              </w:rPr>
            </w:pPr>
            <w:r>
              <w:rPr>
                <w:rFonts w:hint="eastAsia" w:cs="Helvetica" w:asciiTheme="minorEastAsia" w:hAnsiTheme="minorEastAsia" w:eastAsiaTheme="minorEastAsia"/>
                <w:b/>
                <w:color w:val="000000"/>
                <w:kern w:val="0"/>
                <w:sz w:val="32"/>
                <w:szCs w:val="32"/>
              </w:rPr>
              <w:t>六大上市连锁2022半年业绩比拼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trPr>
        <w:tc>
          <w:tcPr>
            <w:tcW w:w="2127" w:type="dxa"/>
            <w:tcBorders>
              <w:bottom w:val="single" w:color="auto" w:sz="4" w:space="0"/>
            </w:tcBorders>
            <w:vAlign w:val="center"/>
          </w:tcPr>
          <w:p>
            <w:pPr>
              <w:tabs>
                <w:tab w:val="left" w:pos="5245"/>
              </w:tabs>
              <w:jc w:val="center"/>
            </w:pPr>
            <w:r>
              <w:rPr>
                <w:rFonts w:hint="eastAsia"/>
                <w:b/>
                <w:sz w:val="30"/>
                <w:szCs w:val="30"/>
              </w:rPr>
              <w:t>发布</w:t>
            </w:r>
            <w:r>
              <w:rPr>
                <w:b/>
                <w:sz w:val="30"/>
                <w:szCs w:val="30"/>
              </w:rPr>
              <w:t>时间</w:t>
            </w:r>
          </w:p>
        </w:tc>
        <w:tc>
          <w:tcPr>
            <w:tcW w:w="2268" w:type="dxa"/>
            <w:tcBorders>
              <w:bottom w:val="single" w:color="auto" w:sz="4" w:space="0"/>
            </w:tcBorders>
            <w:vAlign w:val="center"/>
          </w:tcPr>
          <w:p>
            <w:pPr>
              <w:widowControl/>
              <w:spacing w:line="300" w:lineRule="atLeast"/>
              <w:ind w:firstLine="280" w:firstLineChars="100"/>
              <w:jc w:val="left"/>
              <w:rPr>
                <w:rFonts w:hint="default" w:asciiTheme="minorEastAsia" w:hAnsiTheme="minorEastAsia" w:eastAsiaTheme="minorEastAsia"/>
                <w:sz w:val="28"/>
                <w:szCs w:val="28"/>
                <w:lang w:val="en-US" w:eastAsia="zh-CN"/>
              </w:rPr>
            </w:pPr>
            <w:r>
              <w:rPr>
                <w:rFonts w:hint="eastAsia" w:cs="Helvetica" w:asciiTheme="minorEastAsia" w:hAnsiTheme="minorEastAsia" w:eastAsiaTheme="minorEastAsia"/>
                <w:kern w:val="0"/>
                <w:sz w:val="28"/>
                <w:szCs w:val="28"/>
              </w:rPr>
              <w:t>202</w:t>
            </w:r>
            <w:r>
              <w:rPr>
                <w:rFonts w:hint="eastAsia" w:cs="Helvetica" w:asciiTheme="minorEastAsia" w:hAnsiTheme="minorEastAsia" w:eastAsiaTheme="minorEastAsia"/>
                <w:kern w:val="0"/>
                <w:sz w:val="28"/>
                <w:szCs w:val="28"/>
                <w:lang w:val="en-US" w:eastAsia="zh-CN"/>
              </w:rPr>
              <w:t>2</w:t>
            </w:r>
            <w:r>
              <w:rPr>
                <w:rFonts w:hint="eastAsia" w:cs="Helvetica" w:asciiTheme="minorEastAsia" w:hAnsiTheme="minorEastAsia" w:eastAsiaTheme="minorEastAsia"/>
                <w:kern w:val="0"/>
                <w:sz w:val="28"/>
                <w:szCs w:val="28"/>
              </w:rPr>
              <w:t>-</w:t>
            </w:r>
            <w:r>
              <w:rPr>
                <w:rFonts w:hint="eastAsia" w:cs="Helvetica" w:asciiTheme="minorEastAsia" w:hAnsiTheme="minorEastAsia" w:eastAsiaTheme="minorEastAsia"/>
                <w:kern w:val="0"/>
                <w:sz w:val="28"/>
                <w:szCs w:val="28"/>
                <w:lang w:val="en-US" w:eastAsia="zh-CN"/>
              </w:rPr>
              <w:t>8</w:t>
            </w:r>
            <w:r>
              <w:rPr>
                <w:rFonts w:hint="eastAsia" w:cs="Helvetica" w:asciiTheme="minorEastAsia" w:hAnsiTheme="minorEastAsia" w:eastAsiaTheme="minorEastAsia"/>
                <w:kern w:val="0"/>
                <w:sz w:val="28"/>
                <w:szCs w:val="28"/>
              </w:rPr>
              <w:t>-</w:t>
            </w:r>
            <w:r>
              <w:rPr>
                <w:rFonts w:hint="eastAsia" w:cs="Helvetica" w:asciiTheme="minorEastAsia" w:hAnsiTheme="minorEastAsia" w:eastAsiaTheme="minorEastAsia"/>
                <w:kern w:val="0"/>
                <w:sz w:val="28"/>
                <w:szCs w:val="28"/>
                <w:lang w:val="en-US" w:eastAsia="zh-CN"/>
              </w:rPr>
              <w:t>31</w:t>
            </w:r>
          </w:p>
        </w:tc>
        <w:tc>
          <w:tcPr>
            <w:tcW w:w="1985" w:type="dxa"/>
            <w:gridSpan w:val="2"/>
            <w:tcBorders>
              <w:bottom w:val="single" w:color="auto" w:sz="4" w:space="0"/>
            </w:tcBorders>
            <w:vAlign w:val="center"/>
          </w:tcPr>
          <w:p>
            <w:pPr>
              <w:jc w:val="center"/>
              <w:rPr>
                <w:b/>
                <w:sz w:val="30"/>
                <w:szCs w:val="30"/>
              </w:rPr>
            </w:pPr>
            <w:r>
              <w:rPr>
                <w:rFonts w:hint="eastAsia"/>
                <w:b/>
                <w:sz w:val="30"/>
                <w:szCs w:val="30"/>
              </w:rPr>
              <w:t>信息来源</w:t>
            </w:r>
          </w:p>
        </w:tc>
        <w:tc>
          <w:tcPr>
            <w:tcW w:w="2693" w:type="dxa"/>
            <w:gridSpan w:val="2"/>
            <w:tcBorders>
              <w:bottom w:val="single" w:color="auto" w:sz="4" w:space="0"/>
            </w:tcBorders>
            <w:vAlign w:val="center"/>
          </w:tcPr>
          <w:p>
            <w:pPr>
              <w:jc w:val="center"/>
              <w:rPr>
                <w:rFonts w:hint="default" w:eastAsia="宋体"/>
                <w:sz w:val="28"/>
                <w:szCs w:val="28"/>
                <w:lang w:val="en-US" w:eastAsia="zh-CN"/>
              </w:rPr>
            </w:pPr>
            <w:r>
              <w:rPr>
                <w:rFonts w:hint="eastAsia" w:eastAsiaTheme="minorEastAsia"/>
                <w:sz w:val="28"/>
                <w:szCs w:val="28"/>
                <w:lang w:val="en-US" w:eastAsia="zh-CN"/>
              </w:rPr>
              <w:t>谷丰观点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27" w:type="dxa"/>
            <w:tcBorders>
              <w:top w:val="single" w:color="auto" w:sz="4" w:space="0"/>
            </w:tcBorders>
            <w:vAlign w:val="center"/>
          </w:tcPr>
          <w:p>
            <w:pPr>
              <w:tabs>
                <w:tab w:val="left" w:pos="5245"/>
              </w:tabs>
              <w:jc w:val="center"/>
              <w:rPr>
                <w:b/>
                <w:sz w:val="30"/>
                <w:szCs w:val="30"/>
              </w:rPr>
            </w:pPr>
            <w:r>
              <w:rPr>
                <w:rFonts w:hint="eastAsia"/>
                <w:b/>
                <w:sz w:val="30"/>
                <w:szCs w:val="30"/>
              </w:rPr>
              <w:t>信息</w:t>
            </w:r>
            <w:r>
              <w:rPr>
                <w:b/>
                <w:sz w:val="30"/>
                <w:szCs w:val="30"/>
              </w:rPr>
              <w:t>提供</w:t>
            </w:r>
          </w:p>
        </w:tc>
        <w:tc>
          <w:tcPr>
            <w:tcW w:w="2268" w:type="dxa"/>
            <w:tcBorders>
              <w:top w:val="single" w:color="auto" w:sz="4" w:space="0"/>
            </w:tcBorders>
            <w:vAlign w:val="center"/>
          </w:tcPr>
          <w:p>
            <w:pPr>
              <w:jc w:val="center"/>
              <w:rPr>
                <w:sz w:val="28"/>
                <w:szCs w:val="28"/>
              </w:rPr>
            </w:pPr>
            <w:r>
              <w:rPr>
                <w:rFonts w:hint="eastAsia"/>
                <w:sz w:val="28"/>
                <w:szCs w:val="28"/>
              </w:rPr>
              <w:t>运营管理部</w:t>
            </w:r>
          </w:p>
        </w:tc>
        <w:tc>
          <w:tcPr>
            <w:tcW w:w="1985" w:type="dxa"/>
            <w:gridSpan w:val="2"/>
            <w:tcBorders>
              <w:top w:val="single" w:color="auto" w:sz="4" w:space="0"/>
            </w:tcBorders>
            <w:vAlign w:val="center"/>
          </w:tcPr>
          <w:p>
            <w:pPr>
              <w:jc w:val="center"/>
              <w:rPr>
                <w:b/>
                <w:sz w:val="28"/>
                <w:szCs w:val="28"/>
              </w:rPr>
            </w:pPr>
            <w:r>
              <w:rPr>
                <w:rFonts w:hint="eastAsia"/>
                <w:b/>
                <w:sz w:val="30"/>
                <w:szCs w:val="30"/>
              </w:rPr>
              <w:t>信息确认</w:t>
            </w:r>
          </w:p>
        </w:tc>
        <w:tc>
          <w:tcPr>
            <w:tcW w:w="2693" w:type="dxa"/>
            <w:gridSpan w:val="2"/>
            <w:tcBorders>
              <w:top w:val="single" w:color="auto" w:sz="4" w:space="0"/>
            </w:tcBorders>
            <w:vAlign w:val="center"/>
          </w:tcPr>
          <w:p>
            <w:pPr>
              <w:jc w:val="center"/>
              <w:rPr>
                <w:sz w:val="28"/>
                <w:szCs w:val="28"/>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4" w:hRule="atLeast"/>
        </w:trPr>
        <w:tc>
          <w:tcPr>
            <w:tcW w:w="2127" w:type="dxa"/>
            <w:vAlign w:val="center"/>
          </w:tcPr>
          <w:p>
            <w:pPr>
              <w:tabs>
                <w:tab w:val="left" w:pos="5245"/>
              </w:tabs>
              <w:jc w:val="center"/>
              <w:rPr>
                <w:b/>
                <w:sz w:val="30"/>
                <w:szCs w:val="30"/>
              </w:rPr>
            </w:pPr>
            <w:r>
              <w:rPr>
                <w:rFonts w:hint="eastAsia"/>
                <w:b/>
                <w:sz w:val="30"/>
                <w:szCs w:val="30"/>
              </w:rPr>
              <w:t>确认</w:t>
            </w:r>
            <w:r>
              <w:rPr>
                <w:b/>
                <w:sz w:val="30"/>
                <w:szCs w:val="30"/>
              </w:rPr>
              <w:t>结果</w:t>
            </w:r>
          </w:p>
        </w:tc>
        <w:tc>
          <w:tcPr>
            <w:tcW w:w="6946" w:type="dxa"/>
            <w:gridSpan w:val="5"/>
            <w:vAlign w:val="center"/>
          </w:tcPr>
          <w:p>
            <w:pPr>
              <w:widowControl/>
              <w:spacing w:line="300" w:lineRule="atLeast"/>
              <w:jc w:val="left"/>
              <w:rPr>
                <w:rFonts w:hint="eastAsia" w:ascii="Helvetica" w:hAnsi="Helvetica" w:cs="Helvetica" w:eastAsiaTheme="minorEastAsia"/>
                <w:color w:val="000000" w:themeColor="text1"/>
                <w:kern w:val="0"/>
                <w:sz w:val="28"/>
                <w:szCs w:val="28"/>
                <w:lang w:eastAsia="zh-CN"/>
              </w:rPr>
            </w:pPr>
            <w:r>
              <w:rPr>
                <w:rFonts w:hint="eastAsia" w:cs="Helvetica" w:asciiTheme="minorEastAsia" w:hAnsiTheme="minorEastAsia" w:eastAsiaTheme="minorEastAsia"/>
                <w:color w:val="000000" w:themeColor="text1"/>
                <w:kern w:val="0"/>
                <w:sz w:val="28"/>
                <w:szCs w:val="28"/>
              </w:rPr>
              <w:t>来源：</w:t>
            </w:r>
            <w:r>
              <w:rPr>
                <w:rFonts w:hint="eastAsia" w:eastAsiaTheme="minorEastAsia"/>
                <w:sz w:val="28"/>
                <w:szCs w:val="28"/>
                <w:lang w:val="en-US" w:eastAsia="zh-CN"/>
              </w:rPr>
              <w:t>谷丰观点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127" w:type="dxa"/>
            <w:vAlign w:val="center"/>
          </w:tcPr>
          <w:p>
            <w:pPr>
              <w:jc w:val="center"/>
              <w:rPr>
                <w:b/>
                <w:sz w:val="30"/>
                <w:szCs w:val="30"/>
              </w:rPr>
            </w:pPr>
            <w:r>
              <w:rPr>
                <w:rFonts w:hint="eastAsia"/>
                <w:b/>
                <w:sz w:val="30"/>
                <w:szCs w:val="30"/>
              </w:rPr>
              <w:t>关键词</w:t>
            </w:r>
          </w:p>
        </w:tc>
        <w:tc>
          <w:tcPr>
            <w:tcW w:w="6946" w:type="dxa"/>
            <w:gridSpan w:val="5"/>
            <w:vAlign w:val="center"/>
          </w:tcPr>
          <w:p>
            <w:pPr>
              <w:jc w:val="left"/>
              <w:rPr>
                <w:rFonts w:asciiTheme="minorEastAsia" w:hAnsiTheme="minorEastAsia" w:eastAsiaTheme="minorEastAsia"/>
                <w:color w:val="000000" w:themeColor="text1"/>
                <w:sz w:val="28"/>
                <w:szCs w:val="28"/>
              </w:rPr>
            </w:pPr>
            <w:r>
              <w:rPr>
                <w:rFonts w:hint="eastAsia" w:asciiTheme="minorEastAsia" w:hAnsiTheme="minorEastAsia" w:eastAsiaTheme="minorEastAsia"/>
                <w:sz w:val="28"/>
                <w:szCs w:val="28"/>
                <w:lang w:val="en-US" w:eastAsia="zh-CN"/>
              </w:rPr>
              <w:t>上市连锁，</w:t>
            </w:r>
            <w:r>
              <w:rPr>
                <w:rFonts w:hint="eastAsia" w:asciiTheme="minorEastAsia" w:hAnsiTheme="minorEastAsia" w:eastAsiaTheme="minorEastAsia"/>
                <w:sz w:val="28"/>
                <w:szCs w:val="28"/>
                <w:lang w:eastAsia="zh-CN"/>
              </w:rPr>
              <w:t>营收增长，门店，会员，线上，品牌</w:t>
            </w:r>
            <w:r>
              <w:rPr>
                <w:rFonts w:hint="eastAsia" w:asciiTheme="minorEastAsia" w:hAnsiTheme="minorEastAsia" w:eastAsiaTheme="minor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27" w:hRule="atLeast"/>
        </w:trPr>
        <w:tc>
          <w:tcPr>
            <w:tcW w:w="2127" w:type="dxa"/>
            <w:vAlign w:val="center"/>
          </w:tcPr>
          <w:p>
            <w:pPr>
              <w:tabs>
                <w:tab w:val="left" w:pos="7088"/>
              </w:tabs>
              <w:spacing w:line="380" w:lineRule="exact"/>
              <w:jc w:val="center"/>
              <w:rPr>
                <w:b/>
                <w:sz w:val="30"/>
                <w:szCs w:val="30"/>
              </w:rPr>
            </w:pPr>
            <w:r>
              <w:rPr>
                <w:rFonts w:hint="eastAsia"/>
                <w:b/>
                <w:sz w:val="30"/>
                <w:szCs w:val="30"/>
              </w:rPr>
              <w:t>内容概要</w:t>
            </w:r>
          </w:p>
        </w:tc>
        <w:tc>
          <w:tcPr>
            <w:tcW w:w="6946" w:type="dxa"/>
            <w:gridSpan w:val="5"/>
            <w:vAlign w:val="center"/>
          </w:tcPr>
          <w:p>
            <w:pPr>
              <w:numPr>
                <w:ilvl w:val="0"/>
                <w:numId w:val="0"/>
              </w:numPr>
              <w:ind w:left="420" w:leftChars="0" w:firstLine="560" w:firstLineChars="200"/>
              <w:rPr>
                <w:rFonts w:hint="eastAsia" w:ascii="宋体" w:hAnsi="宋体" w:cs="宋体"/>
                <w:kern w:val="2"/>
                <w:sz w:val="28"/>
                <w:szCs w:val="28"/>
                <w:lang w:val="en-US" w:eastAsia="zh-CN" w:bidi="ar-SA"/>
              </w:rPr>
            </w:pPr>
            <w:r>
              <w:rPr>
                <w:rFonts w:hint="eastAsia" w:ascii="宋体" w:hAnsi="宋体" w:cs="宋体"/>
                <w:kern w:val="2"/>
                <w:sz w:val="28"/>
                <w:szCs w:val="28"/>
                <w:lang w:val="en-US" w:eastAsia="zh-CN" w:bidi="ar-SA"/>
              </w:rPr>
              <w:t>六大民营上市连锁半年报披露完毕，从财务数据看，营收持续增长，线下渠道坚挺，线上渠道增速持续拔高。</w:t>
            </w:r>
          </w:p>
          <w:p>
            <w:pPr>
              <w:numPr>
                <w:ilvl w:val="0"/>
                <w:numId w:val="1"/>
              </w:numPr>
              <w:ind w:left="420" w:leftChars="0" w:firstLineChars="0"/>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营收：漱玉平民营收同比增长最快；</w:t>
            </w:r>
          </w:p>
          <w:p>
            <w:pPr>
              <w:numPr>
                <w:ilvl w:val="0"/>
                <w:numId w:val="1"/>
              </w:numPr>
              <w:ind w:left="420" w:leftChars="0" w:firstLineChars="0"/>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门店数：老百姓破万，益丰、一心堂破万可期；</w:t>
            </w:r>
          </w:p>
          <w:p>
            <w:pPr>
              <w:numPr>
                <w:ilvl w:val="0"/>
                <w:numId w:val="1"/>
              </w:numPr>
              <w:ind w:left="420" w:leftChars="0" w:firstLineChars="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会员数量：6000万俱乐部又有新成员</w:t>
            </w:r>
            <w:r>
              <w:rPr>
                <w:rFonts w:hint="eastAsia" w:ascii="宋体" w:hAnsi="宋体" w:cs="宋体"/>
                <w:kern w:val="2"/>
                <w:sz w:val="28"/>
                <w:szCs w:val="28"/>
                <w:lang w:val="en-US" w:eastAsia="zh-CN" w:bidi="ar-SA"/>
              </w:rPr>
              <w:t>；</w:t>
            </w:r>
          </w:p>
          <w:p>
            <w:pPr>
              <w:numPr>
                <w:ilvl w:val="0"/>
                <w:numId w:val="1"/>
              </w:numPr>
              <w:ind w:left="420" w:leftChars="0" w:firstLineChars="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线上渠道：益丰营收、增长均最多</w:t>
            </w:r>
            <w:r>
              <w:rPr>
                <w:rFonts w:hint="eastAsia" w:ascii="宋体" w:hAnsi="宋体" w:cs="宋体"/>
                <w:kern w:val="2"/>
                <w:sz w:val="28"/>
                <w:szCs w:val="28"/>
                <w:lang w:val="en-US" w:eastAsia="zh-CN" w:bidi="ar-SA"/>
              </w:rPr>
              <w:t>；</w:t>
            </w:r>
          </w:p>
          <w:p>
            <w:pPr>
              <w:numPr>
                <w:ilvl w:val="0"/>
                <w:numId w:val="1"/>
              </w:numPr>
              <w:ind w:left="420" w:leftChars="0" w:firstLineChars="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自有品牌：中药板块齐发力</w:t>
            </w:r>
            <w:r>
              <w:rPr>
                <w:rFonts w:hint="eastAsia" w:ascii="宋体" w:hAnsi="宋体" w:cs="宋体"/>
                <w:kern w:val="2"/>
                <w:sz w:val="28"/>
                <w:szCs w:val="28"/>
                <w:lang w:val="en-US" w:eastAsia="zh-CN" w:bidi="ar-SA"/>
              </w:rPr>
              <w:t>。</w:t>
            </w:r>
          </w:p>
          <w:p>
            <w:pPr>
              <w:numPr>
                <w:ilvl w:val="0"/>
                <w:numId w:val="0"/>
              </w:numPr>
              <w:ind w:left="420" w:leftChars="0"/>
              <w:rPr>
                <w:rFonts w:hint="eastAsia" w:ascii="宋体" w:hAnsi="宋体" w:eastAsia="宋体" w:cs="宋体"/>
                <w:kern w:val="2"/>
                <w:sz w:val="28"/>
                <w:szCs w:val="28"/>
                <w:lang w:val="en-US" w:eastAsia="zh-CN" w:bidi="ar-SA"/>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asciiTheme="minorEastAsia" w:hAnsiTheme="minorEastAsia" w:eastAsiaTheme="minorEastAsia"/>
                <w:color w:val="000000" w:themeColor="text1"/>
                <w:szCs w:val="21"/>
              </w:rPr>
            </w:pPr>
          </w:p>
          <w:p>
            <w:pPr>
              <w:rPr>
                <w:rFonts w:cs="Helvetica" w:asciiTheme="minorEastAsia" w:hAnsiTheme="minorEastAsia" w:eastAsiaTheme="minorEastAsia"/>
                <w:color w:val="000000" w:themeColor="text1"/>
                <w:kern w:val="0"/>
                <w:szCs w:val="21"/>
              </w:rPr>
            </w:pPr>
            <w:r>
              <w:rPr>
                <w:rFonts w:hint="eastAsia" w:asciiTheme="minorEastAsia" w:hAnsiTheme="minorEastAsia" w:eastAsiaTheme="minorEastAsia"/>
                <w:color w:val="000000" w:themeColor="text1"/>
                <w:szCs w:val="21"/>
              </w:rPr>
              <w:t>附件3：六大上市连锁2022半年业绩比拼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1090" w:hRule="atLeast"/>
        </w:trPr>
        <w:tc>
          <w:tcPr>
            <w:tcW w:w="2127" w:type="dxa"/>
            <w:tcBorders>
              <w:right w:val="outset" w:color="auto" w:sz="6" w:space="0"/>
            </w:tcBorders>
            <w:vAlign w:val="center"/>
          </w:tcPr>
          <w:p>
            <w:pPr>
              <w:tabs>
                <w:tab w:val="left" w:pos="7088"/>
              </w:tabs>
              <w:jc w:val="center"/>
              <w:rPr>
                <w:b/>
                <w:sz w:val="30"/>
                <w:szCs w:val="30"/>
              </w:rPr>
            </w:pPr>
            <w:r>
              <w:rPr>
                <w:rFonts w:hint="eastAsia"/>
                <w:b/>
                <w:sz w:val="30"/>
                <w:szCs w:val="30"/>
              </w:rPr>
              <w:t>信息04</w:t>
            </w:r>
          </w:p>
        </w:tc>
        <w:tc>
          <w:tcPr>
            <w:tcW w:w="6662" w:type="dxa"/>
            <w:gridSpan w:val="4"/>
            <w:tcBorders>
              <w:top w:val="outset" w:color="auto" w:sz="6" w:space="0"/>
              <w:left w:val="outset" w:color="auto" w:sz="6" w:space="0"/>
              <w:bottom w:val="inset" w:color="auto" w:sz="6" w:space="0"/>
              <w:right w:val="inset" w:color="auto" w:sz="6" w:space="0"/>
            </w:tcBorders>
            <w:vAlign w:val="center"/>
          </w:tcPr>
          <w:p>
            <w:pPr>
              <w:rPr>
                <w:rFonts w:cs="Helvetica" w:asciiTheme="minorEastAsia" w:hAnsiTheme="minorEastAsia" w:eastAsiaTheme="minorEastAsia"/>
                <w:b/>
                <w:color w:val="000000"/>
                <w:kern w:val="0"/>
                <w:sz w:val="32"/>
                <w:szCs w:val="32"/>
              </w:rPr>
            </w:pPr>
            <w:r>
              <w:rPr>
                <w:rFonts w:cs="Helvetica" w:asciiTheme="minorEastAsia" w:hAnsiTheme="minorEastAsia" w:eastAsiaTheme="minorEastAsia"/>
                <w:b/>
                <w:color w:val="000000"/>
                <w:kern w:val="0"/>
                <w:sz w:val="32"/>
                <w:szCs w:val="32"/>
              </w:rPr>
              <w:t>漱玉平民大药房的新业态、新布局、新战略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38" w:hRule="atLeast"/>
        </w:trPr>
        <w:tc>
          <w:tcPr>
            <w:tcW w:w="2127" w:type="dxa"/>
            <w:vAlign w:val="center"/>
          </w:tcPr>
          <w:p>
            <w:pPr>
              <w:tabs>
                <w:tab w:val="left" w:pos="7088"/>
              </w:tabs>
              <w:jc w:val="center"/>
            </w:pPr>
            <w:r>
              <w:rPr>
                <w:rFonts w:hint="eastAsia"/>
                <w:b/>
                <w:sz w:val="30"/>
                <w:szCs w:val="30"/>
              </w:rPr>
              <w:t>发布</w:t>
            </w:r>
            <w:r>
              <w:rPr>
                <w:b/>
                <w:sz w:val="30"/>
                <w:szCs w:val="30"/>
              </w:rPr>
              <w:t>时间</w:t>
            </w:r>
          </w:p>
        </w:tc>
        <w:tc>
          <w:tcPr>
            <w:tcW w:w="2268" w:type="dxa"/>
            <w:tcBorders>
              <w:top w:val="inset" w:color="auto" w:sz="6" w:space="0"/>
            </w:tcBorders>
            <w:vAlign w:val="center"/>
          </w:tcPr>
          <w:p>
            <w:pPr>
              <w:tabs>
                <w:tab w:val="left" w:pos="7088"/>
              </w:tabs>
              <w:jc w:val="center"/>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rPr>
              <w:t>202</w:t>
            </w:r>
            <w:r>
              <w:rPr>
                <w:rFonts w:hint="eastAsia" w:asciiTheme="minorEastAsia" w:hAnsiTheme="minorEastAsia" w:eastAsiaTheme="minorEastAsia"/>
                <w:sz w:val="28"/>
                <w:szCs w:val="28"/>
                <w:lang w:val="en-US" w:eastAsia="zh-CN"/>
              </w:rPr>
              <w:t>2</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9</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27</w:t>
            </w:r>
          </w:p>
        </w:tc>
        <w:tc>
          <w:tcPr>
            <w:tcW w:w="1985" w:type="dxa"/>
            <w:gridSpan w:val="2"/>
            <w:tcBorders>
              <w:top w:val="inset" w:color="auto" w:sz="6" w:space="0"/>
            </w:tcBorders>
            <w:vAlign w:val="center"/>
          </w:tcPr>
          <w:p>
            <w:pPr>
              <w:tabs>
                <w:tab w:val="left" w:pos="7088"/>
              </w:tabs>
              <w:jc w:val="center"/>
              <w:rPr>
                <w:b/>
                <w:sz w:val="30"/>
                <w:szCs w:val="30"/>
              </w:rPr>
            </w:pPr>
            <w:r>
              <w:rPr>
                <w:rFonts w:hint="eastAsia"/>
                <w:b/>
                <w:sz w:val="30"/>
                <w:szCs w:val="30"/>
              </w:rPr>
              <w:t>信息来源</w:t>
            </w:r>
          </w:p>
        </w:tc>
        <w:tc>
          <w:tcPr>
            <w:tcW w:w="2409" w:type="dxa"/>
            <w:tcBorders>
              <w:top w:val="inset" w:color="auto" w:sz="6" w:space="0"/>
            </w:tcBorders>
            <w:vAlign w:val="center"/>
          </w:tcPr>
          <w:p>
            <w:pPr>
              <w:tabs>
                <w:tab w:val="left" w:pos="7088"/>
              </w:tabs>
              <w:jc w:val="center"/>
              <w:rPr>
                <w:rFonts w:asciiTheme="minorEastAsia" w:hAnsiTheme="minorEastAsia" w:eastAsiaTheme="minorEastAsia"/>
                <w:sz w:val="28"/>
                <w:szCs w:val="28"/>
              </w:rPr>
            </w:pPr>
            <w:r>
              <w:rPr>
                <w:rFonts w:hint="eastAsia" w:eastAsiaTheme="minorEastAsia"/>
                <w:sz w:val="28"/>
                <w:szCs w:val="28"/>
                <w:lang w:val="en-US" w:eastAsia="zh-CN"/>
              </w:rPr>
              <w:t>中国药店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56" w:hRule="atLeast"/>
        </w:trPr>
        <w:tc>
          <w:tcPr>
            <w:tcW w:w="2127"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268" w:type="dxa"/>
            <w:vAlign w:val="center"/>
          </w:tcPr>
          <w:p>
            <w:pPr>
              <w:tabs>
                <w:tab w:val="left" w:pos="7088"/>
              </w:tabs>
              <w:jc w:val="center"/>
              <w:rPr>
                <w:sz w:val="28"/>
                <w:szCs w:val="28"/>
              </w:rPr>
            </w:pPr>
            <w:r>
              <w:rPr>
                <w:rFonts w:hint="eastAsia"/>
                <w:sz w:val="28"/>
                <w:szCs w:val="28"/>
              </w:rPr>
              <w:t>运营管理部</w:t>
            </w:r>
          </w:p>
        </w:tc>
        <w:tc>
          <w:tcPr>
            <w:tcW w:w="1985" w:type="dxa"/>
            <w:gridSpan w:val="2"/>
            <w:vAlign w:val="center"/>
          </w:tcPr>
          <w:p>
            <w:pPr>
              <w:tabs>
                <w:tab w:val="left" w:pos="7088"/>
              </w:tabs>
              <w:jc w:val="center"/>
              <w:rPr>
                <w:b/>
                <w:sz w:val="30"/>
                <w:szCs w:val="30"/>
              </w:rPr>
            </w:pPr>
            <w:r>
              <w:rPr>
                <w:rFonts w:hint="eastAsia"/>
                <w:b/>
                <w:sz w:val="30"/>
                <w:szCs w:val="30"/>
              </w:rPr>
              <w:t>信息确认</w:t>
            </w:r>
          </w:p>
        </w:tc>
        <w:tc>
          <w:tcPr>
            <w:tcW w:w="2409" w:type="dxa"/>
            <w:vAlign w:val="center"/>
          </w:tcPr>
          <w:p>
            <w:pPr>
              <w:tabs>
                <w:tab w:val="left" w:pos="7088"/>
              </w:tabs>
              <w:jc w:val="center"/>
              <w:rPr>
                <w:sz w:val="28"/>
                <w:szCs w:val="28"/>
              </w:rPr>
            </w:pPr>
            <w:r>
              <w:rPr>
                <w:rFonts w:hint="eastAsia"/>
                <w:sz w:val="28"/>
                <w:szCs w:val="28"/>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78" w:hRule="atLeast"/>
        </w:trPr>
        <w:tc>
          <w:tcPr>
            <w:tcW w:w="2127" w:type="dxa"/>
            <w:tcBorders>
              <w:bottom w:val="single" w:color="auto" w:sz="4" w:space="0"/>
            </w:tcBorders>
            <w:vAlign w:val="center"/>
          </w:tcPr>
          <w:p>
            <w:pPr>
              <w:tabs>
                <w:tab w:val="left" w:pos="7088"/>
              </w:tabs>
              <w:jc w:val="center"/>
              <w:rPr>
                <w:b/>
                <w:sz w:val="30"/>
                <w:szCs w:val="30"/>
              </w:rPr>
            </w:pPr>
            <w:r>
              <w:rPr>
                <w:rFonts w:hint="eastAsia"/>
                <w:b/>
                <w:sz w:val="30"/>
                <w:szCs w:val="30"/>
              </w:rPr>
              <w:t>确认</w:t>
            </w:r>
            <w:r>
              <w:rPr>
                <w:b/>
                <w:sz w:val="30"/>
                <w:szCs w:val="30"/>
              </w:rPr>
              <w:t>结果</w:t>
            </w:r>
          </w:p>
        </w:tc>
        <w:tc>
          <w:tcPr>
            <w:tcW w:w="6662" w:type="dxa"/>
            <w:gridSpan w:val="4"/>
            <w:tcBorders>
              <w:bottom w:val="single" w:color="auto" w:sz="4" w:space="0"/>
            </w:tcBorders>
            <w:vAlign w:val="center"/>
          </w:tcPr>
          <w:p>
            <w:pPr>
              <w:tabs>
                <w:tab w:val="left" w:pos="7088"/>
              </w:tabs>
              <w:jc w:val="left"/>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rPr>
              <w:t>来源：</w:t>
            </w:r>
            <w:r>
              <w:rPr>
                <w:rFonts w:hint="eastAsia" w:asciiTheme="minorEastAsia" w:hAnsiTheme="minorEastAsia" w:eastAsiaTheme="minorEastAsia"/>
                <w:sz w:val="28"/>
                <w:szCs w:val="28"/>
                <w:lang w:val="en-US" w:eastAsia="zh-CN"/>
              </w:rPr>
              <w:t>中国药店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958" w:hRule="atLeast"/>
        </w:trPr>
        <w:tc>
          <w:tcPr>
            <w:tcW w:w="2127" w:type="dxa"/>
            <w:tcBorders>
              <w:top w:val="single" w:color="auto" w:sz="4" w:space="0"/>
            </w:tcBorders>
            <w:vAlign w:val="center"/>
          </w:tcPr>
          <w:p>
            <w:pPr>
              <w:tabs>
                <w:tab w:val="left" w:pos="7088"/>
              </w:tabs>
              <w:jc w:val="center"/>
              <w:rPr>
                <w:b/>
                <w:sz w:val="30"/>
                <w:szCs w:val="30"/>
              </w:rPr>
            </w:pPr>
            <w:r>
              <w:rPr>
                <w:rFonts w:hint="eastAsia"/>
                <w:b/>
                <w:sz w:val="30"/>
                <w:szCs w:val="30"/>
              </w:rPr>
              <w:t xml:space="preserve">   关键词</w:t>
            </w:r>
            <w:r>
              <w:rPr>
                <w:rFonts w:hint="eastAsia"/>
                <w:b/>
                <w:sz w:val="30"/>
                <w:szCs w:val="30"/>
              </w:rPr>
              <w:tab/>
            </w:r>
            <w:r>
              <w:rPr>
                <w:rFonts w:hint="eastAsia"/>
                <w:b/>
                <w:sz w:val="30"/>
                <w:szCs w:val="30"/>
              </w:rPr>
              <w:t>药政重点 二票制</w:t>
            </w:r>
          </w:p>
        </w:tc>
        <w:tc>
          <w:tcPr>
            <w:tcW w:w="6662" w:type="dxa"/>
            <w:gridSpan w:val="4"/>
            <w:tcBorders>
              <w:top w:val="single" w:color="auto" w:sz="4" w:space="0"/>
            </w:tcBorders>
            <w:vAlign w:val="center"/>
          </w:tcPr>
          <w:p>
            <w:pPr>
              <w:tabs>
                <w:tab w:val="left" w:pos="7088"/>
              </w:tabs>
              <w:jc w:val="left"/>
              <w:rPr>
                <w:rFonts w:asciiTheme="minorEastAsia" w:hAnsiTheme="minorEastAsia" w:eastAsiaTheme="minorEastAsia"/>
                <w:sz w:val="28"/>
                <w:szCs w:val="28"/>
              </w:rPr>
            </w:pPr>
            <w:r>
              <w:rPr>
                <w:rFonts w:hint="eastAsia" w:asciiTheme="minorEastAsia" w:hAnsiTheme="minorEastAsia" w:eastAsiaTheme="minorEastAsia"/>
                <w:sz w:val="28"/>
                <w:szCs w:val="28"/>
                <w:lang w:eastAsia="zh-CN"/>
              </w:rPr>
              <w:t>零售行业、漱玉平民、创新</w:t>
            </w:r>
            <w:r>
              <w:rPr>
                <w:rFonts w:hint="eastAsia" w:asciiTheme="minorEastAsia" w:hAnsiTheme="minorEastAsia" w:eastAsiaTheme="minor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79" w:hRule="atLeast"/>
        </w:trPr>
        <w:tc>
          <w:tcPr>
            <w:tcW w:w="2127" w:type="dxa"/>
            <w:vAlign w:val="center"/>
          </w:tcPr>
          <w:p>
            <w:pPr>
              <w:tabs>
                <w:tab w:val="left" w:pos="7088"/>
              </w:tabs>
              <w:jc w:val="center"/>
              <w:rPr>
                <w:b/>
                <w:color w:val="000000" w:themeColor="text1"/>
                <w:sz w:val="30"/>
                <w:szCs w:val="30"/>
              </w:rPr>
            </w:pPr>
            <w:r>
              <w:rPr>
                <w:b/>
                <w:color w:val="000000" w:themeColor="text1"/>
                <w:sz w:val="30"/>
                <w:szCs w:val="30"/>
              </w:rPr>
              <w:t>内容概要</w:t>
            </w:r>
          </w:p>
        </w:tc>
        <w:tc>
          <w:tcPr>
            <w:tcW w:w="6662" w:type="dxa"/>
            <w:gridSpan w:val="4"/>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60" w:firstLineChars="200"/>
              <w:jc w:val="both"/>
              <w:rPr>
                <w:rFonts w:hint="eastAsia"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lang w:val="en-US" w:eastAsia="zh-CN"/>
              </w:rPr>
              <w:t>近年来，全国药品零售行业的各家企业都在持续不断地扩展规模、改进经营、完善流程、提高效率、进阶管理。创新的战略、创新的模式、创新的打法、创新的合作、创新的服务等层出不穷地涌现，既提升了相关企业的竞争力，也抬高了行业发展水平的基准线。</w:t>
            </w:r>
            <w:r>
              <w:rPr>
                <w:rFonts w:hint="eastAsia" w:ascii="宋体" w:hAnsi="宋体" w:eastAsia="宋体" w:cs="宋体"/>
                <w:color w:val="000000"/>
                <w:spacing w:val="0"/>
                <w:sz w:val="28"/>
                <w:szCs w:val="28"/>
              </w:rPr>
              <w:t>漱玉平民大药房连锁股份有限公司探索“新业态、新布局、新战略”的脚步从未停止</w:t>
            </w:r>
            <w:r>
              <w:rPr>
                <w:rFonts w:hint="eastAsia" w:eastAsia="宋体" w:cs="Times New Roman" w:asciiTheme="minorEastAsia" w:hAnsiTheme="minorEastAsia"/>
                <w:color w:val="auto"/>
                <w:kern w:val="2"/>
                <w:sz w:val="28"/>
                <w:szCs w:val="28"/>
                <w:lang w:val="en-US" w:eastAsia="zh-CN" w:bidi="ar-SA"/>
              </w:rPr>
              <w:t>。</w:t>
            </w:r>
          </w:p>
          <w:p>
            <w:pPr>
              <w:numPr>
                <w:ilvl w:val="0"/>
                <w:numId w:val="0"/>
              </w:numPr>
              <w:ind w:firstLine="560" w:firstLineChars="200"/>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1、精细化管理和稳步扩张；</w:t>
            </w:r>
          </w:p>
          <w:p>
            <w:pPr>
              <w:ind w:firstLine="560" w:firstLineChars="200"/>
              <w:rPr>
                <w:rFonts w:hint="eastAsia" w:cs="宋体" w:asciiTheme="minorEastAsia" w:hAnsiTheme="minorEastAsia" w:eastAsiaTheme="minorEastAsia"/>
                <w:kern w:val="0"/>
                <w:sz w:val="28"/>
                <w:szCs w:val="28"/>
                <w:lang w:eastAsia="zh-CN"/>
              </w:rPr>
            </w:pPr>
            <w:r>
              <w:rPr>
                <w:rFonts w:hint="eastAsia" w:cs="宋体" w:asciiTheme="minorEastAsia" w:hAnsiTheme="minorEastAsia" w:eastAsiaTheme="minorEastAsia"/>
                <w:kern w:val="0"/>
                <w:sz w:val="28"/>
                <w:szCs w:val="28"/>
              </w:rPr>
              <w:t>2、多触点营销</w:t>
            </w:r>
            <w:r>
              <w:rPr>
                <w:rFonts w:hint="eastAsia" w:cs="宋体" w:asciiTheme="minorEastAsia" w:hAnsiTheme="minorEastAsia" w:eastAsiaTheme="minorEastAsia"/>
                <w:kern w:val="0"/>
                <w:sz w:val="28"/>
                <w:szCs w:val="28"/>
                <w:lang w:eastAsia="zh-CN"/>
              </w:rPr>
              <w:t>；</w:t>
            </w:r>
          </w:p>
          <w:p>
            <w:pPr>
              <w:ind w:firstLine="560" w:firstLineChars="200"/>
              <w:rPr>
                <w:rFonts w:hint="eastAsia" w:cs="宋体" w:asciiTheme="minorEastAsia" w:hAnsiTheme="minorEastAsia" w:eastAsiaTheme="minorEastAsia"/>
                <w:kern w:val="0"/>
                <w:sz w:val="28"/>
                <w:szCs w:val="28"/>
                <w:lang w:val="en-US" w:eastAsia="zh-CN"/>
              </w:rPr>
            </w:pPr>
            <w:r>
              <w:rPr>
                <w:rFonts w:hint="eastAsia" w:cs="宋体" w:asciiTheme="minorEastAsia" w:hAnsiTheme="minorEastAsia" w:eastAsiaTheme="minorEastAsia"/>
                <w:kern w:val="0"/>
                <w:sz w:val="28"/>
                <w:szCs w:val="28"/>
                <w:lang w:val="en-US" w:eastAsia="zh-CN"/>
              </w:rPr>
              <w:t>3、聚焦DTP专业药房；</w:t>
            </w:r>
          </w:p>
          <w:p>
            <w:pPr>
              <w:ind w:firstLine="560" w:firstLineChars="200"/>
              <w:rPr>
                <w:rFonts w:hint="eastAsia" w:cs="宋体" w:asciiTheme="minorEastAsia" w:hAnsiTheme="minorEastAsia" w:eastAsiaTheme="minorEastAsia"/>
                <w:kern w:val="0"/>
                <w:sz w:val="28"/>
                <w:szCs w:val="28"/>
                <w:lang w:val="en-US" w:eastAsia="zh-CN"/>
              </w:rPr>
            </w:pPr>
            <w:r>
              <w:rPr>
                <w:rFonts w:hint="eastAsia" w:cs="宋体" w:asciiTheme="minorEastAsia" w:hAnsiTheme="minorEastAsia" w:eastAsiaTheme="minorEastAsia"/>
                <w:kern w:val="0"/>
                <w:sz w:val="28"/>
                <w:szCs w:val="28"/>
                <w:lang w:val="en-US" w:eastAsia="zh-CN"/>
              </w:rPr>
              <w:t>4、开启全新品牌IP形象；</w:t>
            </w:r>
          </w:p>
          <w:p>
            <w:pPr>
              <w:ind w:firstLine="560" w:firstLineChars="200"/>
              <w:rPr>
                <w:rFonts w:hint="eastAsia" w:cs="宋体" w:asciiTheme="minorEastAsia" w:hAnsiTheme="minorEastAsia" w:eastAsiaTheme="minorEastAsia"/>
                <w:kern w:val="0"/>
                <w:sz w:val="28"/>
                <w:szCs w:val="28"/>
                <w:lang w:val="en-US" w:eastAsia="zh-CN"/>
              </w:rPr>
            </w:pPr>
            <w:r>
              <w:rPr>
                <w:rFonts w:hint="eastAsia" w:cs="宋体" w:asciiTheme="minorEastAsia" w:hAnsiTheme="minorEastAsia" w:eastAsiaTheme="minorEastAsia"/>
                <w:kern w:val="0"/>
                <w:sz w:val="28"/>
                <w:szCs w:val="28"/>
                <w:lang w:val="en-US" w:eastAsia="zh-CN"/>
              </w:rPr>
              <w:t>5、完善物流园和物流体系。</w:t>
            </w: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szCs w:val="21"/>
              </w:rPr>
            </w:pPr>
            <w:r>
              <w:rPr>
                <w:rFonts w:hint="eastAsia" w:ascii="宋体" w:hAnsi="宋体" w:cs="宋体"/>
                <w:kern w:val="0"/>
                <w:szCs w:val="21"/>
              </w:rPr>
              <w:t>附件4：漱玉平民大药房的新业态、新布局、新战略</w:t>
            </w:r>
          </w:p>
        </w:tc>
      </w:tr>
    </w:tbl>
    <w:tbl>
      <w:tblPr>
        <w:tblStyle w:val="12"/>
        <w:tblpPr w:leftFromText="180" w:rightFromText="180" w:vertAnchor="text" w:horzAnchor="margin" w:tblpXSpec="center" w:tblpY="347"/>
        <w:tblW w:w="90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6"/>
        <w:gridCol w:w="2341"/>
        <w:gridCol w:w="2341"/>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2" w:hRule="atLeast"/>
        </w:trPr>
        <w:tc>
          <w:tcPr>
            <w:tcW w:w="2196" w:type="dxa"/>
            <w:vAlign w:val="center"/>
          </w:tcPr>
          <w:p>
            <w:pPr>
              <w:tabs>
                <w:tab w:val="left" w:pos="7088"/>
              </w:tabs>
              <w:jc w:val="center"/>
              <w:rPr>
                <w:b/>
                <w:sz w:val="30"/>
                <w:szCs w:val="30"/>
              </w:rPr>
            </w:pPr>
            <w:r>
              <w:rPr>
                <w:rFonts w:hint="eastAsia"/>
                <w:b/>
                <w:sz w:val="30"/>
                <w:szCs w:val="30"/>
              </w:rPr>
              <w:t>信息05</w:t>
            </w:r>
          </w:p>
        </w:tc>
        <w:tc>
          <w:tcPr>
            <w:tcW w:w="6877" w:type="dxa"/>
            <w:gridSpan w:val="3"/>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asciiTheme="minorEastAsia" w:hAnsiTheme="minorEastAsia" w:eastAsiaTheme="minorEastAsia"/>
                <w:b/>
                <w:sz w:val="32"/>
                <w:szCs w:val="32"/>
              </w:rPr>
            </w:pPr>
            <w:r>
              <w:rPr>
                <w:rFonts w:hint="eastAsia"/>
                <w:sz w:val="33"/>
                <w:szCs w:val="33"/>
              </w:rPr>
              <w:t>【重磅】O2O成零售药店增长源动力，2030年将占整体市场规模32.1%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96" w:type="dxa"/>
            <w:vAlign w:val="center"/>
          </w:tcPr>
          <w:p>
            <w:pPr>
              <w:tabs>
                <w:tab w:val="left" w:pos="7088"/>
              </w:tabs>
              <w:jc w:val="center"/>
            </w:pPr>
            <w:r>
              <w:rPr>
                <w:rFonts w:hint="eastAsia"/>
                <w:b/>
                <w:sz w:val="30"/>
                <w:szCs w:val="30"/>
              </w:rPr>
              <w:t>发布</w:t>
            </w:r>
            <w:r>
              <w:rPr>
                <w:b/>
                <w:sz w:val="30"/>
                <w:szCs w:val="30"/>
              </w:rPr>
              <w:t>时间</w:t>
            </w:r>
          </w:p>
        </w:tc>
        <w:tc>
          <w:tcPr>
            <w:tcW w:w="2341" w:type="dxa"/>
            <w:vAlign w:val="center"/>
          </w:tcPr>
          <w:p>
            <w:pPr>
              <w:tabs>
                <w:tab w:val="left" w:pos="7088"/>
              </w:tabs>
              <w:jc w:val="center"/>
              <w:rPr>
                <w:rFonts w:hint="default" w:asciiTheme="minorEastAsia" w:hAnsiTheme="minorEastAsia" w:eastAsiaTheme="minorEastAsia"/>
                <w:sz w:val="30"/>
                <w:szCs w:val="30"/>
                <w:lang w:val="en-US" w:eastAsia="zh-CN"/>
              </w:rPr>
            </w:pPr>
            <w:r>
              <w:rPr>
                <w:rFonts w:hint="eastAsia" w:asciiTheme="minorEastAsia" w:hAnsiTheme="minorEastAsia" w:eastAsiaTheme="minorEastAsia"/>
                <w:sz w:val="30"/>
                <w:szCs w:val="30"/>
              </w:rPr>
              <w:t>202</w:t>
            </w:r>
            <w:r>
              <w:rPr>
                <w:rFonts w:hint="eastAsia" w:asciiTheme="minorEastAsia" w:hAnsiTheme="minorEastAsia" w:eastAsiaTheme="minorEastAsia"/>
                <w:sz w:val="30"/>
                <w:szCs w:val="30"/>
                <w:lang w:val="en-US" w:eastAsia="zh-CN"/>
              </w:rPr>
              <w:t>2</w:t>
            </w:r>
            <w:r>
              <w:rPr>
                <w:rFonts w:hint="eastAsia" w:asciiTheme="minorEastAsia" w:hAnsiTheme="minorEastAsia" w:eastAsiaTheme="minorEastAsia"/>
                <w:sz w:val="30"/>
                <w:szCs w:val="30"/>
              </w:rPr>
              <w:t>-</w:t>
            </w:r>
            <w:r>
              <w:rPr>
                <w:rFonts w:hint="eastAsia" w:asciiTheme="minorEastAsia" w:hAnsiTheme="minorEastAsia" w:eastAsiaTheme="minorEastAsia"/>
                <w:sz w:val="30"/>
                <w:szCs w:val="30"/>
                <w:lang w:val="en-US" w:eastAsia="zh-CN"/>
              </w:rPr>
              <w:t>9</w:t>
            </w:r>
            <w:r>
              <w:rPr>
                <w:rFonts w:hint="eastAsia" w:asciiTheme="minorEastAsia" w:hAnsiTheme="minorEastAsia" w:eastAsiaTheme="minorEastAsia"/>
                <w:sz w:val="30"/>
                <w:szCs w:val="30"/>
              </w:rPr>
              <w:t>-</w:t>
            </w:r>
            <w:r>
              <w:rPr>
                <w:rFonts w:hint="eastAsia" w:asciiTheme="minorEastAsia" w:hAnsiTheme="minorEastAsia" w:eastAsiaTheme="minorEastAsia"/>
                <w:sz w:val="30"/>
                <w:szCs w:val="30"/>
                <w:lang w:val="en-US" w:eastAsia="zh-CN"/>
              </w:rPr>
              <w:t>8</w:t>
            </w:r>
          </w:p>
        </w:tc>
        <w:tc>
          <w:tcPr>
            <w:tcW w:w="2341" w:type="dxa"/>
            <w:vAlign w:val="center"/>
          </w:tcPr>
          <w:p>
            <w:pPr>
              <w:tabs>
                <w:tab w:val="left" w:pos="7088"/>
              </w:tabs>
              <w:jc w:val="center"/>
              <w:rPr>
                <w:b/>
                <w:sz w:val="28"/>
                <w:szCs w:val="28"/>
              </w:rPr>
            </w:pPr>
            <w:r>
              <w:rPr>
                <w:rFonts w:hint="eastAsia"/>
                <w:b/>
                <w:sz w:val="30"/>
                <w:szCs w:val="30"/>
              </w:rPr>
              <w:t>信息来源</w:t>
            </w:r>
          </w:p>
        </w:tc>
        <w:tc>
          <w:tcPr>
            <w:tcW w:w="2195" w:type="dxa"/>
            <w:vAlign w:val="center"/>
          </w:tcPr>
          <w:p>
            <w:pPr>
              <w:tabs>
                <w:tab w:val="left" w:pos="7088"/>
              </w:tabs>
              <w:jc w:val="center"/>
              <w:rPr>
                <w:rFonts w:hint="eastAsia" w:eastAsia="宋体"/>
                <w:sz w:val="28"/>
                <w:szCs w:val="28"/>
                <w:lang w:eastAsia="zh-CN"/>
              </w:rPr>
            </w:pPr>
            <w:r>
              <w:rPr>
                <w:rFonts w:hint="eastAsia"/>
                <w:sz w:val="28"/>
                <w:szCs w:val="28"/>
                <w:lang w:eastAsia="zh-CN"/>
              </w:rPr>
              <w:t>米内网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96"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341" w:type="dxa"/>
            <w:vAlign w:val="center"/>
          </w:tcPr>
          <w:p>
            <w:pPr>
              <w:tabs>
                <w:tab w:val="left" w:pos="7088"/>
              </w:tabs>
              <w:jc w:val="center"/>
              <w:rPr>
                <w:sz w:val="30"/>
                <w:szCs w:val="30"/>
              </w:rPr>
            </w:pPr>
            <w:r>
              <w:rPr>
                <w:rFonts w:hint="eastAsia"/>
                <w:sz w:val="28"/>
                <w:szCs w:val="28"/>
              </w:rPr>
              <w:t>运营管理部</w:t>
            </w:r>
          </w:p>
        </w:tc>
        <w:tc>
          <w:tcPr>
            <w:tcW w:w="2341" w:type="dxa"/>
            <w:vAlign w:val="center"/>
          </w:tcPr>
          <w:p>
            <w:pPr>
              <w:tabs>
                <w:tab w:val="left" w:pos="7088"/>
              </w:tabs>
              <w:jc w:val="center"/>
              <w:rPr>
                <w:b/>
                <w:sz w:val="28"/>
                <w:szCs w:val="28"/>
              </w:rPr>
            </w:pPr>
            <w:r>
              <w:rPr>
                <w:rFonts w:hint="eastAsia"/>
                <w:b/>
                <w:sz w:val="30"/>
                <w:szCs w:val="30"/>
              </w:rPr>
              <w:t>信息确认</w:t>
            </w:r>
          </w:p>
        </w:tc>
        <w:tc>
          <w:tcPr>
            <w:tcW w:w="2195" w:type="dxa"/>
            <w:vAlign w:val="center"/>
          </w:tcPr>
          <w:p>
            <w:pPr>
              <w:tabs>
                <w:tab w:val="left" w:pos="7088"/>
              </w:tabs>
              <w:jc w:val="center"/>
              <w:rPr>
                <w:sz w:val="30"/>
                <w:szCs w:val="30"/>
              </w:rPr>
            </w:pPr>
            <w:r>
              <w:rPr>
                <w:rFonts w:hint="eastAsia"/>
                <w:sz w:val="28"/>
                <w:szCs w:val="28"/>
                <w:lang w:eastAsia="zh-CN"/>
              </w:rPr>
              <w:t>车成刚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2196" w:type="dxa"/>
            <w:tcBorders>
              <w:bottom w:val="single" w:color="auto" w:sz="4" w:space="0"/>
            </w:tcBorders>
            <w:vAlign w:val="center"/>
          </w:tcPr>
          <w:p>
            <w:pPr>
              <w:tabs>
                <w:tab w:val="left" w:pos="7088"/>
              </w:tabs>
              <w:ind w:firstLine="452" w:firstLineChars="150"/>
              <w:rPr>
                <w:b/>
                <w:sz w:val="30"/>
                <w:szCs w:val="30"/>
              </w:rPr>
            </w:pPr>
            <w:r>
              <w:rPr>
                <w:rFonts w:hint="eastAsia"/>
                <w:b/>
                <w:sz w:val="30"/>
                <w:szCs w:val="30"/>
              </w:rPr>
              <w:t>确认</w:t>
            </w:r>
            <w:r>
              <w:rPr>
                <w:b/>
                <w:sz w:val="30"/>
                <w:szCs w:val="30"/>
              </w:rPr>
              <w:t>结果</w:t>
            </w:r>
          </w:p>
        </w:tc>
        <w:tc>
          <w:tcPr>
            <w:tcW w:w="6877" w:type="dxa"/>
            <w:gridSpan w:val="3"/>
            <w:tcBorders>
              <w:bottom w:val="single" w:color="auto" w:sz="4" w:space="0"/>
            </w:tcBorders>
            <w:vAlign w:val="center"/>
          </w:tcPr>
          <w:p>
            <w:pPr>
              <w:tabs>
                <w:tab w:val="left" w:pos="7088"/>
              </w:tabs>
              <w:jc w:val="left"/>
              <w:rPr>
                <w:sz w:val="30"/>
                <w:szCs w:val="30"/>
              </w:rPr>
            </w:pPr>
            <w:r>
              <w:rPr>
                <w:rFonts w:hint="eastAsia"/>
                <w:sz w:val="28"/>
                <w:szCs w:val="28"/>
                <w:lang w:eastAsia="zh-CN"/>
              </w:rPr>
              <w:t>来源：米内网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5" w:hRule="atLeast"/>
        </w:trPr>
        <w:tc>
          <w:tcPr>
            <w:tcW w:w="2196" w:type="dxa"/>
            <w:tcBorders>
              <w:top w:val="single" w:color="auto" w:sz="4" w:space="0"/>
            </w:tcBorders>
            <w:vAlign w:val="center"/>
          </w:tcPr>
          <w:p>
            <w:pPr>
              <w:tabs>
                <w:tab w:val="left" w:pos="7088"/>
              </w:tabs>
              <w:jc w:val="center"/>
              <w:rPr>
                <w:b/>
                <w:sz w:val="30"/>
                <w:szCs w:val="30"/>
              </w:rPr>
            </w:pPr>
            <w:r>
              <w:rPr>
                <w:rFonts w:hint="eastAsia"/>
                <w:b/>
                <w:sz w:val="30"/>
                <w:szCs w:val="30"/>
              </w:rPr>
              <w:t>关键词</w:t>
            </w:r>
          </w:p>
        </w:tc>
        <w:tc>
          <w:tcPr>
            <w:tcW w:w="6877" w:type="dxa"/>
            <w:gridSpan w:val="3"/>
            <w:tcBorders>
              <w:top w:val="single" w:color="auto" w:sz="4" w:space="0"/>
            </w:tcBorders>
            <w:vAlign w:val="center"/>
          </w:tcPr>
          <w:p>
            <w:pPr>
              <w:tabs>
                <w:tab w:val="left" w:pos="7088"/>
              </w:tabs>
              <w:jc w:val="left"/>
              <w:rPr>
                <w:rFonts w:cs="宋体" w:asciiTheme="majorEastAsia" w:hAnsiTheme="majorEastAsia" w:eastAsiaTheme="majorEastAsia"/>
                <w:kern w:val="0"/>
                <w:sz w:val="30"/>
                <w:szCs w:val="30"/>
              </w:rPr>
            </w:pPr>
            <w:r>
              <w:rPr>
                <w:rFonts w:hint="eastAsia" w:cs="宋体" w:asciiTheme="minorEastAsia" w:hAnsiTheme="minorEastAsia" w:eastAsiaTheme="minorEastAsia"/>
                <w:kern w:val="0"/>
                <w:sz w:val="28"/>
                <w:szCs w:val="28"/>
                <w:lang w:eastAsia="zh-CN"/>
              </w:rPr>
              <w:t>数字化、</w:t>
            </w:r>
            <w:r>
              <w:rPr>
                <w:rFonts w:hint="eastAsia" w:cs="宋体" w:asciiTheme="minorEastAsia" w:hAnsiTheme="minorEastAsia" w:eastAsiaTheme="minorEastAsia"/>
                <w:kern w:val="0"/>
                <w:sz w:val="28"/>
                <w:szCs w:val="28"/>
                <w:lang w:val="en-US" w:eastAsia="zh-CN"/>
              </w:rPr>
              <w:t>零售</w:t>
            </w:r>
            <w:r>
              <w:rPr>
                <w:rFonts w:hint="eastAsia" w:cs="宋体" w:asciiTheme="minorEastAsia" w:hAnsiTheme="minorEastAsia" w:eastAsiaTheme="minorEastAsia"/>
                <w:kern w:val="0"/>
                <w:sz w:val="28"/>
                <w:szCs w:val="28"/>
                <w:lang w:eastAsia="zh-CN"/>
              </w:rPr>
              <w:t>、</w:t>
            </w:r>
            <w:r>
              <w:rPr>
                <w:rFonts w:hint="eastAsia" w:cs="宋体" w:asciiTheme="minorEastAsia" w:hAnsiTheme="minorEastAsia" w:eastAsiaTheme="minorEastAsia"/>
                <w:kern w:val="0"/>
                <w:sz w:val="28"/>
                <w:szCs w:val="28"/>
                <w:lang w:val="en-US" w:eastAsia="zh-CN"/>
              </w:rPr>
              <w:t>O2O</w:t>
            </w:r>
            <w:r>
              <w:rPr>
                <w:rFonts w:hint="eastAsia" w:cs="宋体" w:asciiTheme="minorEastAsia" w:hAnsiTheme="minorEastAsia" w:eastAsiaTheme="minorEastAsia"/>
                <w:kern w:val="0"/>
                <w:sz w:val="28"/>
                <w:szCs w:val="28"/>
                <w:lang w:eastAsia="zh-CN"/>
              </w:rPr>
              <w:t>、规模</w:t>
            </w:r>
            <w:r>
              <w:rPr>
                <w:rFonts w:hint="eastAsia" w:asciiTheme="minorEastAsia" w:hAnsiTheme="minorEastAsia" w:eastAsiaTheme="minorEastAsia"/>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6" w:hRule="atLeast"/>
        </w:trPr>
        <w:tc>
          <w:tcPr>
            <w:tcW w:w="2196" w:type="dxa"/>
            <w:vAlign w:val="center"/>
          </w:tcPr>
          <w:p>
            <w:pPr>
              <w:tabs>
                <w:tab w:val="left" w:pos="7088"/>
              </w:tabs>
              <w:jc w:val="center"/>
              <w:rPr>
                <w:b/>
                <w:sz w:val="30"/>
                <w:szCs w:val="30"/>
              </w:rPr>
            </w:pPr>
            <w:r>
              <w:rPr>
                <w:b/>
                <w:sz w:val="30"/>
                <w:szCs w:val="30"/>
              </w:rPr>
              <w:t>内容概要</w:t>
            </w:r>
          </w:p>
        </w:tc>
        <w:tc>
          <w:tcPr>
            <w:tcW w:w="6877" w:type="dxa"/>
            <w:gridSpan w:val="3"/>
            <w:vAlign w:val="center"/>
          </w:tcPr>
          <w:p>
            <w:pPr>
              <w:numPr>
                <w:ilvl w:val="0"/>
                <w:numId w:val="0"/>
              </w:numPr>
              <w:ind w:leftChars="0" w:firstLine="560" w:firstLineChars="200"/>
              <w:rPr>
                <w:rFonts w:hint="eastAsia" w:cs="宋体" w:asciiTheme="minorEastAsia" w:hAnsiTheme="minorEastAsia" w:eastAsiaTheme="minorEastAsia"/>
                <w:kern w:val="0"/>
                <w:sz w:val="28"/>
                <w:szCs w:val="28"/>
                <w:lang w:val="en-US" w:eastAsia="zh-CN"/>
              </w:rPr>
            </w:pPr>
            <w:r>
              <w:rPr>
                <w:rFonts w:hint="eastAsia" w:cs="宋体" w:asciiTheme="minorEastAsia" w:hAnsiTheme="minorEastAsia" w:eastAsiaTheme="minorEastAsia"/>
                <w:kern w:val="0"/>
                <w:sz w:val="28"/>
                <w:szCs w:val="28"/>
                <w:lang w:val="en-US" w:eastAsia="zh-CN"/>
              </w:rPr>
              <w:t xml:space="preserve">在数字化大潮下，全渠道布局成为众多零售药店的共识，较早布局O2O的上市企业，近两年O2O的销售额增长翻倍。米内网认为，零售药店O2O主要以药品为主，与网上药店的品类结构差异较大，预计2030年零售药店O2O药品规模将追平或赶超B2C网上药店药品规模。     </w:t>
            </w:r>
          </w:p>
          <w:p>
            <w:pPr>
              <w:numPr>
                <w:ilvl w:val="0"/>
                <w:numId w:val="0"/>
              </w:numPr>
              <w:ind w:leftChars="0" w:firstLine="560" w:firstLineChars="200"/>
              <w:rPr>
                <w:rFonts w:hint="eastAsia"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lang w:val="en-US" w:eastAsia="zh-CN"/>
              </w:rPr>
              <w:t>1、O2O成药店线上化的主流方式，预计2030年占整体市场规模32.1% ；</w:t>
            </w:r>
          </w:p>
          <w:p>
            <w:pPr>
              <w:numPr>
                <w:ilvl w:val="0"/>
                <w:numId w:val="2"/>
              </w:numPr>
              <w:ind w:firstLine="560" w:firstLineChars="200"/>
              <w:rPr>
                <w:rFonts w:hint="eastAsia" w:cs="宋体" w:asciiTheme="minorEastAsia" w:hAnsiTheme="minorEastAsia" w:eastAsiaTheme="minorEastAsia"/>
                <w:kern w:val="0"/>
                <w:sz w:val="28"/>
                <w:szCs w:val="28"/>
                <w:lang w:val="en-US" w:eastAsia="zh-CN"/>
              </w:rPr>
            </w:pPr>
            <w:r>
              <w:rPr>
                <w:rFonts w:hint="eastAsia" w:cs="宋体" w:asciiTheme="minorEastAsia" w:hAnsiTheme="minorEastAsia" w:eastAsiaTheme="minorEastAsia"/>
                <w:kern w:val="0"/>
                <w:sz w:val="28"/>
                <w:szCs w:val="28"/>
                <w:lang w:val="en-US" w:eastAsia="zh-CN"/>
              </w:rPr>
              <w:t>O2O业态更加服务实体，预计2030年赶超B2C药品规模；</w:t>
            </w:r>
          </w:p>
          <w:p>
            <w:pPr>
              <w:numPr>
                <w:ilvl w:val="0"/>
                <w:numId w:val="2"/>
              </w:numPr>
              <w:ind w:firstLine="560" w:firstLineChars="200"/>
              <w:rPr>
                <w:rFonts w:hint="eastAsia" w:cs="宋体" w:asciiTheme="minorEastAsia" w:hAnsiTheme="minorEastAsia" w:eastAsiaTheme="minorEastAsia"/>
                <w:kern w:val="0"/>
                <w:sz w:val="28"/>
                <w:szCs w:val="28"/>
                <w:lang w:val="en-US" w:eastAsia="zh-CN"/>
              </w:rPr>
            </w:pPr>
            <w:r>
              <w:rPr>
                <w:rFonts w:hint="eastAsia" w:cs="宋体" w:asciiTheme="minorEastAsia" w:hAnsiTheme="minorEastAsia" w:eastAsiaTheme="minorEastAsia"/>
                <w:kern w:val="0"/>
                <w:sz w:val="28"/>
                <w:szCs w:val="28"/>
                <w:lang w:val="en-US" w:eastAsia="zh-CN"/>
              </w:rPr>
              <w:t>O2O成零售药店增长源动力，近三年部分上市公司O2O销售额翻倍；</w:t>
            </w:r>
          </w:p>
          <w:p>
            <w:pPr>
              <w:numPr>
                <w:ilvl w:val="0"/>
                <w:numId w:val="0"/>
              </w:numPr>
              <w:ind w:firstLine="560" w:firstLineChars="200"/>
              <w:rPr>
                <w:rFonts w:cs="宋体" w:asciiTheme="minorEastAsia" w:hAnsiTheme="minorEastAsia" w:eastAsiaTheme="minorEastAsia"/>
                <w:kern w:val="0"/>
                <w:szCs w:val="21"/>
              </w:rPr>
            </w:pPr>
            <w:r>
              <w:rPr>
                <w:rFonts w:hint="eastAsia" w:cs="宋体" w:asciiTheme="minorEastAsia" w:hAnsiTheme="minorEastAsia" w:eastAsiaTheme="minorEastAsia"/>
                <w:kern w:val="0"/>
                <w:sz w:val="28"/>
                <w:szCs w:val="28"/>
                <w:lang w:val="en-US" w:eastAsia="zh-CN"/>
              </w:rPr>
              <w:t>4、数字化成零售药店竞争关键，第三方平台助力药店O2O业务升级。</w:t>
            </w:r>
          </w:p>
          <w:p>
            <w:pPr>
              <w:rPr>
                <w:b/>
                <w:sz w:val="32"/>
                <w:szCs w:val="32"/>
              </w:rPr>
            </w:pPr>
            <w:r>
              <w:rPr>
                <w:rFonts w:hint="eastAsia" w:ascii="宋体" w:hAnsi="宋体" w:cs="宋体"/>
                <w:kern w:val="0"/>
                <w:szCs w:val="21"/>
              </w:rPr>
              <w:t>附件5: 【重磅】O2O成零售药店增长源动力，2030年将占整体市场规模32.1%</w:t>
            </w:r>
          </w:p>
        </w:tc>
      </w:tr>
    </w:tbl>
    <w:p>
      <w:pPr>
        <w:widowControl/>
        <w:shd w:val="clear" w:color="auto" w:fill="FFFFFF"/>
        <w:spacing w:after="210"/>
        <w:jc w:val="left"/>
        <w:outlineLvl w:val="1"/>
        <w:rPr>
          <w:rFonts w:hint="eastAsia" w:ascii="微软雅黑" w:hAnsi="微软雅黑" w:eastAsia="微软雅黑" w:cs="宋体"/>
          <w:b/>
          <w:color w:val="333333"/>
          <w:kern w:val="36"/>
          <w:sz w:val="24"/>
          <w:szCs w:val="24"/>
        </w:rPr>
      </w:pPr>
      <w:r>
        <w:rPr>
          <w:rFonts w:hint="eastAsia" w:ascii="微软雅黑" w:hAnsi="微软雅黑" w:eastAsia="微软雅黑" w:cs="宋体"/>
          <w:b/>
          <w:color w:val="333333"/>
          <w:kern w:val="36"/>
          <w:sz w:val="24"/>
          <w:szCs w:val="24"/>
        </w:rPr>
        <w:t xml:space="preserve">附件1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宋体" w:hAnsi="宋体" w:eastAsia="宋体" w:cs="宋体"/>
          <w:i w:val="0"/>
          <w:iCs w:val="0"/>
          <w:caps w:val="0"/>
          <w:color w:val="222222"/>
          <w:spacing w:val="8"/>
          <w:sz w:val="33"/>
          <w:szCs w:val="33"/>
        </w:rPr>
      </w:pPr>
      <w:r>
        <w:rPr>
          <w:rFonts w:hint="eastAsia" w:ascii="宋体" w:hAnsi="宋体" w:eastAsia="宋体" w:cs="宋体"/>
          <w:i w:val="0"/>
          <w:iCs w:val="0"/>
          <w:caps w:val="0"/>
          <w:color w:val="222222"/>
          <w:spacing w:val="8"/>
          <w:sz w:val="33"/>
          <w:szCs w:val="33"/>
          <w:shd w:val="clear" w:fill="FFFFFF"/>
        </w:rPr>
        <w:t>重磅发布！全面解读药品流通领域！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iCs w:val="0"/>
          <w:caps w:val="0"/>
          <w:color w:val="222222"/>
          <w:spacing w:val="8"/>
          <w:sz w:val="0"/>
          <w:szCs w:val="0"/>
        </w:rPr>
      </w:pP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begin"/>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separate"/>
      </w:r>
      <w:r>
        <w:rPr>
          <w:rStyle w:val="16"/>
          <w:rFonts w:hint="eastAsia" w:ascii="Microsoft YaHei UI" w:hAnsi="Microsoft YaHei UI" w:eastAsia="Microsoft YaHei UI" w:cs="Microsoft YaHei UI"/>
          <w:i w:val="0"/>
          <w:iCs w:val="0"/>
          <w:caps w:val="0"/>
          <w:color w:val="576B95"/>
          <w:spacing w:val="8"/>
          <w:sz w:val="22"/>
          <w:szCs w:val="22"/>
          <w:u w:val="none"/>
          <w:shd w:val="clear" w:fill="FFFFFF"/>
        </w:rPr>
        <w:t>药闻康策</w: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end"/>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2022-09-12 00:00</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发表于福建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92" w:firstLineChars="200"/>
        <w:jc w:val="both"/>
        <w:rPr>
          <w:rFonts w:hint="eastAsia" w:ascii="宋体" w:hAnsi="宋体" w:eastAsia="宋体" w:cs="宋体"/>
          <w:sz w:val="28"/>
          <w:szCs w:val="28"/>
        </w:rPr>
      </w:pPr>
      <w:r>
        <w:rPr>
          <w:rFonts w:hint="eastAsia" w:ascii="宋体" w:hAnsi="宋体" w:eastAsia="宋体" w:cs="宋体"/>
          <w:i w:val="0"/>
          <w:iCs w:val="0"/>
          <w:caps w:val="0"/>
          <w:color w:val="021EAA"/>
          <w:spacing w:val="8"/>
          <w:sz w:val="28"/>
          <w:szCs w:val="28"/>
          <w:shd w:val="clear" w:fill="FFFFFF"/>
        </w:rPr>
        <w:t>近日，商务部发布《2021年药品流通行业运行统计分析报告》。总体来看，全国药品流通市场销售规模稳步增长，增速逐渐恢复至疫情前水平。</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92" w:firstLineChars="200"/>
        <w:jc w:val="both"/>
        <w:rPr>
          <w:rFonts w:hint="eastAsia" w:ascii="宋体" w:hAnsi="宋体" w:eastAsia="宋体" w:cs="宋体"/>
          <w:sz w:val="28"/>
          <w:szCs w:val="28"/>
        </w:rPr>
      </w:pPr>
      <w:r>
        <w:rPr>
          <w:rFonts w:hint="eastAsia" w:ascii="宋体" w:hAnsi="宋体" w:eastAsia="宋体" w:cs="宋体"/>
          <w:i w:val="0"/>
          <w:iCs w:val="0"/>
          <w:caps w:val="0"/>
          <w:color w:val="021EAA"/>
          <w:spacing w:val="8"/>
          <w:sz w:val="28"/>
          <w:szCs w:val="28"/>
          <w:shd w:val="clear" w:fill="FFFFFF"/>
        </w:rPr>
        <w:t>统计显示，全国七大类医药商品销售总额26,064亿元，扣除不可比因素同比增长8.5%。其中，药品零售市场销售额为5,449亿元，扣除不可比因素同比增长7.4%。药品批发市场销售额为20,615 亿元，扣除不可比因素同比增长8.65%</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0" w:right="0"/>
        <w:jc w:val="center"/>
      </w:pPr>
      <w:r>
        <w:rPr>
          <w:rStyle w:val="14"/>
          <w:rFonts w:hint="eastAsia" w:ascii="Microsoft YaHei UI" w:hAnsi="Microsoft YaHei UI" w:eastAsia="Microsoft YaHei UI" w:cs="Microsoft YaHei UI"/>
          <w:i w:val="0"/>
          <w:iCs w:val="0"/>
          <w:caps w:val="0"/>
          <w:color w:val="FFFFFF"/>
          <w:spacing w:val="15"/>
          <w:sz w:val="30"/>
          <w:szCs w:val="30"/>
          <w:shd w:val="clear" w:fill="159196"/>
        </w:rPr>
        <w:t>01</w:t>
      </w:r>
    </w:p>
    <w:p>
      <w:pPr>
        <w:keepNext w:val="0"/>
        <w:keepLines w:val="0"/>
        <w:widowControl/>
        <w:suppressLineNumbers w:val="0"/>
        <w:spacing w:before="0" w:beforeAutospacing="0" w:after="0" w:afterAutospacing="0"/>
        <w:ind w:left="0" w:right="0"/>
        <w:jc w:val="left"/>
      </w:pPr>
      <w:r>
        <w:rPr>
          <w:rStyle w:val="14"/>
          <w:rFonts w:hint="eastAsia" w:ascii="Microsoft YaHei UI" w:hAnsi="Microsoft YaHei UI" w:eastAsia="Microsoft YaHei UI" w:cs="Microsoft YaHei UI"/>
          <w:i w:val="0"/>
          <w:iCs w:val="0"/>
          <w:caps w:val="0"/>
          <w:color w:val="159196"/>
          <w:spacing w:val="15"/>
          <w:kern w:val="0"/>
          <w:sz w:val="25"/>
          <w:szCs w:val="25"/>
          <w:shd w:val="clear" w:fill="FFFFFF"/>
          <w:lang w:val="en-US" w:eastAsia="zh-CN" w:bidi="ar"/>
        </w:rPr>
        <w:t>药店数量创新高</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0" w:right="0"/>
        <w:jc w:val="center"/>
      </w:pPr>
      <w:r>
        <w:rPr>
          <w:rStyle w:val="14"/>
          <w:rFonts w:hint="eastAsia" w:ascii="Microsoft YaHei UI" w:hAnsi="Microsoft YaHei UI" w:eastAsia="Microsoft YaHei UI" w:cs="Microsoft YaHei UI"/>
          <w:i w:val="0"/>
          <w:iCs w:val="0"/>
          <w:caps w:val="0"/>
          <w:color w:val="159196"/>
          <w:spacing w:val="15"/>
          <w:sz w:val="25"/>
          <w:szCs w:val="25"/>
          <w:shd w:val="clear" w:fill="FFFFFF"/>
        </w:rPr>
        <w:t>连锁化率提升至57.2%</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0" w:right="0" w:firstLine="560" w:firstLineChars="200"/>
        <w:jc w:val="both"/>
        <w:rPr>
          <w:b/>
          <w:bCs/>
        </w:rPr>
      </w:pPr>
      <w:r>
        <w:rPr>
          <w:rFonts w:hint="eastAsia" w:eastAsia="宋体" w:cs="Times New Roman" w:asciiTheme="minorEastAsia" w:hAnsiTheme="minorEastAsia"/>
          <w:color w:val="auto"/>
          <w:kern w:val="2"/>
          <w:sz w:val="28"/>
          <w:szCs w:val="28"/>
          <w:lang w:val="en-US" w:eastAsia="zh-CN" w:bidi="ar-SA"/>
        </w:rPr>
        <w:t>截至2021 年底，全国零售药店共59万家，</w:t>
      </w:r>
      <w:r>
        <w:rPr>
          <w:rFonts w:hint="eastAsia" w:eastAsia="宋体" w:cs="Times New Roman" w:asciiTheme="minorEastAsia" w:hAnsiTheme="minorEastAsia"/>
          <w:b/>
          <w:bCs/>
          <w:color w:val="auto"/>
          <w:kern w:val="2"/>
          <w:sz w:val="28"/>
          <w:szCs w:val="28"/>
          <w:lang w:val="en-US" w:eastAsia="zh-CN" w:bidi="ar-SA"/>
        </w:rPr>
        <w:t>连锁化率提升至57.2%。</w:t>
      </w:r>
      <w:r>
        <w:rPr>
          <w:rFonts w:hint="eastAsia" w:eastAsia="宋体" w:cs="Times New Roman" w:asciiTheme="minorEastAsia" w:hAnsiTheme="minorEastAsia"/>
          <w:color w:val="auto"/>
          <w:kern w:val="2"/>
          <w:sz w:val="28"/>
          <w:szCs w:val="28"/>
          <w:lang w:val="en-US" w:eastAsia="zh-CN" w:bidi="ar-SA"/>
        </w:rPr>
        <w:t>其中，零售连锁总部6,596家、下辖门店33.74万家，零售单体药店25.23 万家。值得注意的是，</w:t>
      </w:r>
      <w:r>
        <w:rPr>
          <w:rFonts w:hint="eastAsia" w:eastAsia="宋体" w:cs="Times New Roman" w:asciiTheme="minorEastAsia" w:hAnsiTheme="minorEastAsia"/>
          <w:b/>
          <w:bCs/>
          <w:color w:val="auto"/>
          <w:kern w:val="2"/>
          <w:sz w:val="28"/>
          <w:szCs w:val="28"/>
          <w:lang w:val="en-US" w:eastAsia="zh-CN" w:bidi="ar-SA"/>
        </w:rPr>
        <w:t>连锁药店从2017年的22.9万家增加到2021年的33.7万家，年复合增长率达10.2%，同期单体药店年复合增长率仅为2.9%。</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545454"/>
          <w:spacing w:val="15"/>
          <w:kern w:val="0"/>
          <w:sz w:val="22"/>
          <w:szCs w:val="22"/>
          <w:shd w:val="clear" w:fill="FFFFFF"/>
          <w:lang w:val="en-US" w:eastAsia="zh-CN" w:bidi="ar"/>
        </w:rPr>
        <w:t>图1：2017-2021年全国药店总数（万家）及连锁化率</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274310" cy="2962275"/>
            <wp:effectExtent l="0" t="0" r="2540" b="9525"/>
            <wp:docPr id="34" name="图片 2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6" descr="IMG_260"/>
                    <pic:cNvPicPr>
                      <a:picLocks noChangeAspect="1"/>
                    </pic:cNvPicPr>
                  </pic:nvPicPr>
                  <pic:blipFill>
                    <a:blip r:embed="rId9"/>
                    <a:stretch>
                      <a:fillRect/>
                    </a:stretch>
                  </pic:blipFill>
                  <pic:spPr>
                    <a:xfrm>
                      <a:off x="0" y="0"/>
                      <a:ext cx="5274310" cy="296227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0" w:right="0"/>
        <w:jc w:val="center"/>
      </w:pPr>
      <w:r>
        <w:rPr>
          <w:rFonts w:hint="eastAsia" w:ascii="Microsoft YaHei UI" w:hAnsi="Microsoft YaHei UI" w:eastAsia="Microsoft YaHei UI" w:cs="Microsoft YaHei UI"/>
          <w:i w:val="0"/>
          <w:iCs w:val="0"/>
          <w:caps w:val="0"/>
          <w:color w:val="B2B2B2"/>
          <w:spacing w:val="15"/>
          <w:sz w:val="19"/>
          <w:szCs w:val="19"/>
          <w:shd w:val="clear" w:fill="FFFFFF"/>
        </w:rPr>
        <w:t>数据来源：商务部、药监局、中康产业研究中心整理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0" w:right="0"/>
        <w:jc w:val="center"/>
      </w:pPr>
      <w:r>
        <w:rPr>
          <w:rStyle w:val="14"/>
          <w:rFonts w:hint="eastAsia" w:ascii="Microsoft YaHei UI" w:hAnsi="Microsoft YaHei UI" w:eastAsia="Microsoft YaHei UI" w:cs="Microsoft YaHei UI"/>
          <w:i w:val="0"/>
          <w:iCs w:val="0"/>
          <w:caps w:val="0"/>
          <w:color w:val="FFFFFF"/>
          <w:spacing w:val="15"/>
          <w:sz w:val="30"/>
          <w:szCs w:val="30"/>
          <w:shd w:val="clear" w:fill="159196"/>
        </w:rPr>
        <w:t>02</w:t>
      </w:r>
    </w:p>
    <w:p>
      <w:pPr>
        <w:keepNext w:val="0"/>
        <w:keepLines w:val="0"/>
        <w:widowControl/>
        <w:suppressLineNumbers w:val="0"/>
        <w:spacing w:before="0" w:beforeAutospacing="0" w:after="0" w:afterAutospacing="0"/>
        <w:ind w:left="0" w:right="0"/>
        <w:jc w:val="left"/>
      </w:pPr>
      <w:r>
        <w:rPr>
          <w:rStyle w:val="14"/>
          <w:rFonts w:hint="eastAsia" w:ascii="Microsoft YaHei UI" w:hAnsi="Microsoft YaHei UI" w:eastAsia="Microsoft YaHei UI" w:cs="Microsoft YaHei UI"/>
          <w:i w:val="0"/>
          <w:iCs w:val="0"/>
          <w:caps w:val="0"/>
          <w:color w:val="159196"/>
          <w:spacing w:val="15"/>
          <w:kern w:val="0"/>
          <w:sz w:val="25"/>
          <w:szCs w:val="25"/>
          <w:shd w:val="clear" w:fill="FFFFFF"/>
          <w:lang w:val="en-US" w:eastAsia="zh-CN" w:bidi="ar"/>
        </w:rPr>
        <w:t>连锁药店集中度稳步提升</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0" w:right="0"/>
        <w:jc w:val="center"/>
      </w:pPr>
      <w:r>
        <w:rPr>
          <w:rStyle w:val="14"/>
          <w:rFonts w:hint="eastAsia" w:ascii="Microsoft YaHei UI" w:hAnsi="Microsoft YaHei UI" w:eastAsia="Microsoft YaHei UI" w:cs="Microsoft YaHei UI"/>
          <w:i w:val="0"/>
          <w:iCs w:val="0"/>
          <w:caps w:val="0"/>
          <w:color w:val="159196"/>
          <w:spacing w:val="15"/>
          <w:sz w:val="25"/>
          <w:szCs w:val="25"/>
          <w:shd w:val="clear" w:fill="FFFFFF"/>
        </w:rPr>
        <w:t>十强市场份额超20%</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0" w:right="0" w:firstLine="560" w:firstLineChars="200"/>
        <w:jc w:val="both"/>
        <w:rPr>
          <w:b/>
          <w:bCs/>
        </w:rPr>
      </w:pPr>
      <w:r>
        <w:rPr>
          <w:rFonts w:hint="eastAsia" w:eastAsia="宋体" w:cs="Times New Roman" w:asciiTheme="minorEastAsia" w:hAnsiTheme="minorEastAsia"/>
          <w:color w:val="auto"/>
          <w:kern w:val="2"/>
          <w:sz w:val="28"/>
          <w:szCs w:val="28"/>
          <w:lang w:val="en-US" w:eastAsia="zh-CN" w:bidi="ar-SA"/>
        </w:rPr>
        <w:t>从市场占有率来看，2021年百强药店销售总额为1,912亿元，扣除不可比因素占全国零售市场总额的35.6%，同比上升0.3 个百分点。其中，</w:t>
      </w:r>
      <w:r>
        <w:rPr>
          <w:rFonts w:hint="eastAsia" w:eastAsia="宋体" w:cs="Times New Roman" w:asciiTheme="minorEastAsia" w:hAnsiTheme="minorEastAsia"/>
          <w:b/>
          <w:bCs/>
          <w:color w:val="auto"/>
          <w:kern w:val="2"/>
          <w:sz w:val="28"/>
          <w:szCs w:val="28"/>
          <w:lang w:val="en-US" w:eastAsia="zh-CN" w:bidi="ar-SA"/>
        </w:rPr>
        <w:t>TOP10占全国零售市场总额的21.1%，与上年持平；TOP20占全国零售市场总额的25.5%，TOP50销售总额1729 亿元，占全国零售市场总额的31.7%。</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0" w:right="0"/>
        <w:jc w:val="center"/>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图2：2017-2021年药店零售行业百强企业规模&amp;市场集中度</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line="368" w:lineRule="atLeast"/>
        <w:ind w:left="0" w:right="0"/>
        <w:jc w:val="center"/>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5238750" cy="2828925"/>
            <wp:effectExtent l="0" t="0" r="0" b="9525"/>
            <wp:docPr id="33" name="图片 2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descr="IMG_261"/>
                    <pic:cNvPicPr>
                      <a:picLocks noChangeAspect="1"/>
                    </pic:cNvPicPr>
                  </pic:nvPicPr>
                  <pic:blipFill>
                    <a:blip r:embed="rId10"/>
                    <a:stretch>
                      <a:fillRect/>
                    </a:stretch>
                  </pic:blipFill>
                  <pic:spPr>
                    <a:xfrm>
                      <a:off x="0" y="0"/>
                      <a:ext cx="5238750" cy="282892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0" w:right="0"/>
        <w:jc w:val="center"/>
      </w:pPr>
      <w:r>
        <w:rPr>
          <w:rFonts w:hint="eastAsia" w:ascii="Microsoft YaHei UI" w:hAnsi="Microsoft YaHei UI" w:eastAsia="Microsoft YaHei UI" w:cs="Microsoft YaHei UI"/>
          <w:i w:val="0"/>
          <w:iCs w:val="0"/>
          <w:caps w:val="0"/>
          <w:color w:val="B2B2B2"/>
          <w:spacing w:val="15"/>
          <w:sz w:val="19"/>
          <w:szCs w:val="19"/>
          <w:shd w:val="clear" w:fill="FFFFFF"/>
        </w:rPr>
        <w:t>数据来源：商务部、中康产业研究中心整理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0" w:right="0"/>
        <w:jc w:val="center"/>
      </w:pPr>
      <w:r>
        <w:rPr>
          <w:rStyle w:val="14"/>
          <w:rFonts w:hint="eastAsia" w:ascii="Microsoft YaHei UI" w:hAnsi="Microsoft YaHei UI" w:eastAsia="Microsoft YaHei UI" w:cs="Microsoft YaHei UI"/>
          <w:i w:val="0"/>
          <w:iCs w:val="0"/>
          <w:caps w:val="0"/>
          <w:color w:val="FFFFFF"/>
          <w:spacing w:val="15"/>
          <w:sz w:val="30"/>
          <w:szCs w:val="30"/>
          <w:shd w:val="clear" w:fill="159196"/>
        </w:rPr>
        <w:t>03</w:t>
      </w:r>
    </w:p>
    <w:p>
      <w:pPr>
        <w:keepNext w:val="0"/>
        <w:keepLines w:val="0"/>
        <w:widowControl/>
        <w:suppressLineNumbers w:val="0"/>
        <w:spacing w:before="0" w:beforeAutospacing="0" w:after="0" w:afterAutospacing="0"/>
        <w:ind w:left="0" w:right="0"/>
        <w:jc w:val="left"/>
      </w:pPr>
      <w:r>
        <w:rPr>
          <w:rStyle w:val="14"/>
          <w:rFonts w:hint="eastAsia" w:ascii="Microsoft YaHei UI" w:hAnsi="Microsoft YaHei UI" w:eastAsia="Microsoft YaHei UI" w:cs="Microsoft YaHei UI"/>
          <w:i w:val="0"/>
          <w:iCs w:val="0"/>
          <w:caps w:val="0"/>
          <w:color w:val="159196"/>
          <w:spacing w:val="15"/>
          <w:kern w:val="0"/>
          <w:sz w:val="25"/>
          <w:szCs w:val="25"/>
          <w:shd w:val="clear" w:fill="FFFFFF"/>
          <w:lang w:val="en-US" w:eastAsia="zh-CN" w:bidi="ar"/>
        </w:rPr>
        <w:t>医药流通龙头</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0" w:right="0"/>
        <w:jc w:val="center"/>
      </w:pPr>
      <w:r>
        <w:rPr>
          <w:rStyle w:val="14"/>
          <w:rFonts w:hint="eastAsia" w:ascii="Microsoft YaHei UI" w:hAnsi="Microsoft YaHei UI" w:eastAsia="Microsoft YaHei UI" w:cs="Microsoft YaHei UI"/>
          <w:i w:val="0"/>
          <w:iCs w:val="0"/>
          <w:caps w:val="0"/>
          <w:color w:val="159196"/>
          <w:spacing w:val="15"/>
          <w:sz w:val="25"/>
          <w:szCs w:val="25"/>
          <w:shd w:val="clear" w:fill="FFFFFF"/>
        </w:rPr>
        <w:t>迈入5000亿俱乐部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right="0" w:firstLine="562" w:firstLineChars="200"/>
        <w:jc w:val="both"/>
        <w:rPr>
          <w:rFonts w:hint="eastAsia" w:eastAsia="宋体" w:cs="Times New Roman" w:asciiTheme="minorEastAsia" w:hAnsiTheme="minorEastAsia"/>
          <w:b/>
          <w:bCs/>
          <w:color w:val="auto"/>
          <w:kern w:val="2"/>
          <w:sz w:val="28"/>
          <w:szCs w:val="28"/>
          <w:lang w:val="en-US" w:eastAsia="zh-CN" w:bidi="ar-SA"/>
        </w:rPr>
      </w:pPr>
      <w:r>
        <w:rPr>
          <w:rFonts w:hint="eastAsia" w:eastAsia="宋体" w:cs="Times New Roman" w:asciiTheme="minorEastAsia" w:hAnsiTheme="minorEastAsia"/>
          <w:b/>
          <w:bCs/>
          <w:color w:val="auto"/>
          <w:kern w:val="2"/>
          <w:sz w:val="28"/>
          <w:szCs w:val="28"/>
          <w:lang w:val="en-US" w:eastAsia="zh-CN" w:bidi="ar-SA"/>
        </w:rPr>
        <w:t>2021年4家全国医药流通龙头企业营收均超千亿元，合计收入占同期全国医药市场总规模的44.2%，同比提高1.6 %；</w:t>
      </w:r>
      <w:r>
        <w:rPr>
          <w:rFonts w:hint="eastAsia" w:eastAsia="宋体" w:cs="Times New Roman" w:asciiTheme="minorEastAsia" w:hAnsiTheme="minorEastAsia"/>
          <w:color w:val="auto"/>
          <w:kern w:val="2"/>
          <w:sz w:val="28"/>
          <w:szCs w:val="28"/>
          <w:lang w:val="en-US" w:eastAsia="zh-CN" w:bidi="ar-SA"/>
        </w:rPr>
        <w:t>药品批发企业百强占同期全国医药市场总规模的74.5%，占同期全国药品批发市场总规模的94.1%。其中，</w:t>
      </w:r>
      <w:r>
        <w:rPr>
          <w:rFonts w:hint="eastAsia" w:eastAsia="宋体" w:cs="Times New Roman" w:asciiTheme="minorEastAsia" w:hAnsiTheme="minorEastAsia"/>
          <w:b/>
          <w:bCs/>
          <w:color w:val="auto"/>
          <w:kern w:val="2"/>
          <w:sz w:val="28"/>
          <w:szCs w:val="28"/>
          <w:lang w:val="en-US" w:eastAsia="zh-CN" w:bidi="ar-SA"/>
        </w:rPr>
        <w:t>排名第一位的中国医药集团有限公司收入5390 亿元，是第一家收入超5000 亿元的大型数字化、综合性药品流通企业。</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0" w:right="0"/>
        <w:jc w:val="center"/>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图3：2017-2021年药品批发行业百强企业规模&amp;市场集中度</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289550" cy="2828925"/>
            <wp:effectExtent l="0" t="0" r="6350" b="9525"/>
            <wp:docPr id="35" name="图片 2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descr="IMG_262"/>
                    <pic:cNvPicPr>
                      <a:picLocks noChangeAspect="1"/>
                    </pic:cNvPicPr>
                  </pic:nvPicPr>
                  <pic:blipFill>
                    <a:blip r:embed="rId11"/>
                    <a:stretch>
                      <a:fillRect/>
                    </a:stretch>
                  </pic:blipFill>
                  <pic:spPr>
                    <a:xfrm>
                      <a:off x="0" y="0"/>
                      <a:ext cx="5289550" cy="282892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0" w:right="0"/>
        <w:jc w:val="center"/>
      </w:pPr>
      <w:r>
        <w:rPr>
          <w:rFonts w:hint="eastAsia" w:ascii="Microsoft YaHei UI" w:hAnsi="Microsoft YaHei UI" w:eastAsia="Microsoft YaHei UI" w:cs="Microsoft YaHei UI"/>
          <w:i w:val="0"/>
          <w:iCs w:val="0"/>
          <w:caps w:val="0"/>
          <w:color w:val="B2B2B2"/>
          <w:spacing w:val="15"/>
          <w:sz w:val="19"/>
          <w:szCs w:val="19"/>
          <w:shd w:val="clear" w:fill="FFFFFF"/>
        </w:rPr>
        <w:t>数据来源：商务部、中康产业研究中心整理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0" w:right="0"/>
        <w:jc w:val="center"/>
      </w:pPr>
      <w:r>
        <w:rPr>
          <w:rStyle w:val="14"/>
          <w:rFonts w:hint="eastAsia" w:ascii="Microsoft YaHei UI" w:hAnsi="Microsoft YaHei UI" w:eastAsia="Microsoft YaHei UI" w:cs="Microsoft YaHei UI"/>
          <w:i w:val="0"/>
          <w:iCs w:val="0"/>
          <w:caps w:val="0"/>
          <w:color w:val="FFFFFF"/>
          <w:spacing w:val="15"/>
          <w:sz w:val="30"/>
          <w:szCs w:val="30"/>
          <w:shd w:val="clear" w:fill="159196"/>
        </w:rPr>
        <w:t>04</w:t>
      </w:r>
    </w:p>
    <w:p>
      <w:pPr>
        <w:keepNext w:val="0"/>
        <w:keepLines w:val="0"/>
        <w:widowControl/>
        <w:suppressLineNumbers w:val="0"/>
        <w:spacing w:before="0" w:beforeAutospacing="0" w:after="0" w:afterAutospacing="0"/>
        <w:ind w:left="0" w:right="0"/>
        <w:jc w:val="left"/>
      </w:pPr>
      <w:r>
        <w:rPr>
          <w:rStyle w:val="14"/>
          <w:rFonts w:hint="eastAsia" w:ascii="Microsoft YaHei UI" w:hAnsi="Microsoft YaHei UI" w:eastAsia="Microsoft YaHei UI" w:cs="Microsoft YaHei UI"/>
          <w:i w:val="0"/>
          <w:iCs w:val="0"/>
          <w:caps w:val="0"/>
          <w:color w:val="159196"/>
          <w:spacing w:val="15"/>
          <w:kern w:val="0"/>
          <w:sz w:val="25"/>
          <w:szCs w:val="25"/>
          <w:shd w:val="clear" w:fill="FFFFFF"/>
          <w:lang w:val="en-US" w:eastAsia="zh-CN" w:bidi="ar"/>
        </w:rPr>
        <w:t>医药电商发展迅速</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0" w:right="0"/>
        <w:jc w:val="center"/>
      </w:pPr>
      <w:r>
        <w:rPr>
          <w:rStyle w:val="14"/>
          <w:rFonts w:hint="eastAsia" w:ascii="Microsoft YaHei UI" w:hAnsi="Microsoft YaHei UI" w:eastAsia="Microsoft YaHei UI" w:cs="Microsoft YaHei UI"/>
          <w:i w:val="0"/>
          <w:iCs w:val="0"/>
          <w:caps w:val="0"/>
          <w:color w:val="159196"/>
          <w:spacing w:val="15"/>
          <w:sz w:val="25"/>
          <w:szCs w:val="25"/>
          <w:shd w:val="clear" w:fill="FFFFFF"/>
        </w:rPr>
        <w:t>2021年市场规模增超2000亿元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0" w:right="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据不完全统计，2021年医药电商直报企业销售总额达2,162亿元，占同期全国医药市场总规模的8.3%，比2020年提升0.9%。其中，</w:t>
      </w:r>
      <w:r>
        <w:rPr>
          <w:rFonts w:hint="eastAsia" w:eastAsia="宋体" w:cs="Times New Roman" w:asciiTheme="minorEastAsia" w:hAnsiTheme="minorEastAsia"/>
          <w:b/>
          <w:bCs/>
          <w:color w:val="auto"/>
          <w:kern w:val="2"/>
          <w:sz w:val="28"/>
          <w:szCs w:val="28"/>
          <w:lang w:val="en-US" w:eastAsia="zh-CN" w:bidi="ar-SA"/>
        </w:rPr>
        <w:t>第三方交易服务平台交易额849亿元，占医药电商销售总额的39.3%；</w:t>
      </w:r>
      <w:r>
        <w:rPr>
          <w:rFonts w:hint="eastAsia" w:eastAsia="宋体" w:cs="Times New Roman" w:asciiTheme="minorEastAsia" w:hAnsiTheme="minorEastAsia"/>
          <w:color w:val="auto"/>
          <w:kern w:val="2"/>
          <w:sz w:val="28"/>
          <w:szCs w:val="28"/>
          <w:lang w:val="en-US" w:eastAsia="zh-CN" w:bidi="ar-SA"/>
        </w:rPr>
        <w:t>B2B销售额1,221亿元，占医药电商销售总额的56.4%；B2C销售额92亿元，占医药电商销售总额的4.3%。</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0" w:right="0"/>
        <w:jc w:val="center"/>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图4：2021年医药电商各类型占比情况</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302250" cy="3180715"/>
            <wp:effectExtent l="0" t="0" r="12700" b="635"/>
            <wp:docPr id="36" name="图片 2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descr="IMG_263"/>
                    <pic:cNvPicPr>
                      <a:picLocks noChangeAspect="1"/>
                    </pic:cNvPicPr>
                  </pic:nvPicPr>
                  <pic:blipFill>
                    <a:blip r:embed="rId12"/>
                    <a:stretch>
                      <a:fillRect/>
                    </a:stretch>
                  </pic:blipFill>
                  <pic:spPr>
                    <a:xfrm>
                      <a:off x="0" y="0"/>
                      <a:ext cx="5302250" cy="318071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0" w:right="0"/>
        <w:jc w:val="center"/>
      </w:pPr>
      <w:r>
        <w:rPr>
          <w:rFonts w:hint="eastAsia" w:ascii="Microsoft YaHei UI" w:hAnsi="Microsoft YaHei UI" w:eastAsia="Microsoft YaHei UI" w:cs="Microsoft YaHei UI"/>
          <w:i w:val="0"/>
          <w:iCs w:val="0"/>
          <w:caps w:val="0"/>
          <w:color w:val="B2B2B2"/>
          <w:spacing w:val="15"/>
          <w:sz w:val="19"/>
          <w:szCs w:val="19"/>
          <w:shd w:val="clear" w:fill="FFFFFF"/>
        </w:rPr>
        <w:t>数据来源：商务部、中康产业研究中心整理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0" w:right="0" w:firstLine="560" w:firstLineChars="200"/>
        <w:jc w:val="both"/>
        <w:rPr>
          <w:rFonts w:hint="eastAsia" w:eastAsia="宋体" w:cs="Times New Roman" w:asciiTheme="minorEastAsia" w:hAnsiTheme="minorEastAsia"/>
          <w:b/>
          <w:bCs/>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从销售结构来看，B2B与B2C销售结构差异较为明显，</w:t>
      </w:r>
      <w:r>
        <w:rPr>
          <w:rFonts w:hint="eastAsia" w:eastAsia="宋体" w:cs="Times New Roman" w:asciiTheme="minorEastAsia" w:hAnsiTheme="minorEastAsia"/>
          <w:b/>
          <w:bCs/>
          <w:color w:val="auto"/>
          <w:kern w:val="2"/>
          <w:sz w:val="28"/>
          <w:szCs w:val="28"/>
          <w:lang w:val="en-US" w:eastAsia="zh-CN" w:bidi="ar-SA"/>
        </w:rPr>
        <w:t>B2B业务主要集中在西药类（占比77.9%），其次是中成药（10.5%）；而B2C业务主要集中在西药类（44.6%）、医疗器材类（24.3%），其次是其他类，中成药占比8.2%。</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0" w:right="0" w:firstLine="560" w:firstLineChars="200"/>
        <w:jc w:val="both"/>
        <w:rPr>
          <w:rFonts w:hint="eastAsia" w:eastAsia="宋体" w:cs="Times New Roman" w:asciiTheme="minorEastAsia" w:hAnsiTheme="minorEastAsia"/>
          <w:b/>
          <w:bCs/>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从电商费用率来看，</w:t>
      </w:r>
      <w:r>
        <w:rPr>
          <w:rFonts w:hint="eastAsia" w:eastAsia="宋体" w:cs="Times New Roman" w:asciiTheme="minorEastAsia" w:hAnsiTheme="minorEastAsia"/>
          <w:b/>
          <w:bCs/>
          <w:color w:val="auto"/>
          <w:kern w:val="2"/>
          <w:sz w:val="28"/>
          <w:szCs w:val="28"/>
          <w:lang w:val="en-US" w:eastAsia="zh-CN" w:bidi="ar-SA"/>
        </w:rPr>
        <w:t>B2B电商业务费用率7.5%，与去年大致持平；B2C电商业务费用率17.1%，比去年的16.3%高出8个百分点，行业平均费用率呈上升趋势。</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0" w:right="0" w:firstLine="560" w:firstLineChars="200"/>
        <w:jc w:val="both"/>
        <w:rPr>
          <w:rFonts w:hint="eastAsia" w:eastAsia="宋体" w:cs="Times New Roman" w:asciiTheme="minorEastAsia" w:hAnsiTheme="minorEastAsia"/>
          <w:color w:val="auto"/>
          <w:kern w:val="2"/>
          <w:sz w:val="28"/>
          <w:szCs w:val="28"/>
          <w:lang w:val="en-US" w:eastAsia="zh-CN" w:bidi="ar-SA"/>
        </w:rPr>
      </w:pPr>
      <w:r>
        <w:rPr>
          <w:rFonts w:hint="eastAsia" w:eastAsia="宋体" w:cs="Times New Roman" w:asciiTheme="minorEastAsia" w:hAnsiTheme="minorEastAsia"/>
          <w:color w:val="auto"/>
          <w:kern w:val="2"/>
          <w:sz w:val="28"/>
          <w:szCs w:val="28"/>
          <w:lang w:val="en-US" w:eastAsia="zh-CN" w:bidi="ar-SA"/>
        </w:rPr>
        <w:t>随着线上问诊购药业务的不断发展和线上医保支付渠道的打通、医院处方外流逐步放开，实体药店将不断深化线上布局，通过线上商城、入驻第三方医药电商平台和O2O 服务平台扩大服务半径；互联网企业也会持续加深与实体药店的合作或布局线下实体药店，为患者提供更优质的服务体验，药品流通行业线上线下融合成大势所趋。</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line="368" w:lineRule="atLeast"/>
        <w:ind w:left="0" w:right="0"/>
        <w:jc w:val="both"/>
        <w:rPr>
          <w:rFonts w:hint="eastAsia" w:eastAsia="宋体" w:cs="Times New Roman" w:asciiTheme="minorEastAsia" w:hAnsiTheme="minorEastAsia"/>
          <w:color w:val="auto"/>
          <w:kern w:val="2"/>
          <w:sz w:val="28"/>
          <w:szCs w:val="28"/>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宋体"/>
          <w:b/>
          <w:color w:val="333333"/>
          <w:kern w:val="36"/>
          <w:sz w:val="24"/>
          <w:szCs w:val="22"/>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宋体"/>
          <w:b/>
          <w:color w:val="333333"/>
          <w:kern w:val="36"/>
          <w:sz w:val="24"/>
          <w:szCs w:val="22"/>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宋体"/>
          <w:b/>
          <w:color w:val="333333"/>
          <w:kern w:val="36"/>
          <w:sz w:val="24"/>
          <w:szCs w:val="22"/>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宋体"/>
          <w:b/>
          <w:color w:val="333333"/>
          <w:kern w:val="36"/>
          <w:sz w:val="24"/>
          <w:szCs w:val="22"/>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宋体"/>
          <w:b/>
          <w:color w:val="333333"/>
          <w:kern w:val="36"/>
          <w:sz w:val="24"/>
          <w:szCs w:val="22"/>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宋体"/>
          <w:b/>
          <w:color w:val="333333"/>
          <w:kern w:val="36"/>
          <w:sz w:val="24"/>
          <w:szCs w:val="22"/>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宋体"/>
          <w:b/>
          <w:color w:val="333333"/>
          <w:kern w:val="36"/>
          <w:sz w:val="24"/>
          <w:szCs w:val="22"/>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宋体"/>
          <w:b/>
          <w:color w:val="333333"/>
          <w:kern w:val="36"/>
          <w:sz w:val="24"/>
          <w:szCs w:val="22"/>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宋体"/>
          <w:b/>
          <w:color w:val="333333"/>
          <w:kern w:val="36"/>
          <w:sz w:val="24"/>
          <w:szCs w:val="22"/>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宋体"/>
          <w:b/>
          <w:color w:val="333333"/>
          <w:kern w:val="36"/>
          <w:sz w:val="24"/>
          <w:szCs w:val="22"/>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宋体"/>
          <w:b/>
          <w:color w:val="333333"/>
          <w:kern w:val="36"/>
          <w:sz w:val="24"/>
          <w:szCs w:val="22"/>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宋体"/>
          <w:b/>
          <w:color w:val="333333"/>
          <w:kern w:val="36"/>
          <w:sz w:val="24"/>
          <w:szCs w:val="22"/>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宋体"/>
          <w:b/>
          <w:color w:val="333333"/>
          <w:kern w:val="36"/>
          <w:sz w:val="24"/>
          <w:szCs w:val="22"/>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宋体"/>
          <w:b/>
          <w:color w:val="333333"/>
          <w:kern w:val="36"/>
          <w:sz w:val="24"/>
          <w:szCs w:val="22"/>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宋体"/>
          <w:b/>
          <w:color w:val="333333"/>
          <w:kern w:val="36"/>
          <w:sz w:val="24"/>
          <w:szCs w:val="22"/>
          <w:lang w:val="en-US" w:eastAsia="zh-CN" w:bidi="ar-SA"/>
        </w:rPr>
      </w:pPr>
      <w:r>
        <w:rPr>
          <w:rFonts w:hint="eastAsia" w:ascii="微软雅黑" w:hAnsi="微软雅黑" w:eastAsia="微软雅黑" w:cs="宋体"/>
          <w:b/>
          <w:color w:val="333333"/>
          <w:kern w:val="36"/>
          <w:sz w:val="24"/>
          <w:szCs w:val="22"/>
          <w:lang w:val="en-US" w:eastAsia="zh-CN" w:bidi="ar-SA"/>
        </w:rPr>
        <w:t>附件2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宋体" w:hAnsi="宋体" w:eastAsia="宋体" w:cs="宋体"/>
          <w:i w:val="0"/>
          <w:iCs w:val="0"/>
          <w:caps w:val="0"/>
          <w:color w:val="222222"/>
          <w:spacing w:val="8"/>
          <w:sz w:val="33"/>
          <w:szCs w:val="33"/>
        </w:rPr>
      </w:pPr>
      <w:r>
        <w:rPr>
          <w:rFonts w:hint="eastAsia" w:ascii="宋体" w:hAnsi="宋体" w:eastAsia="宋体" w:cs="宋体"/>
          <w:i w:val="0"/>
          <w:iCs w:val="0"/>
          <w:caps w:val="0"/>
          <w:color w:val="222222"/>
          <w:spacing w:val="8"/>
          <w:sz w:val="33"/>
          <w:szCs w:val="33"/>
          <w:shd w:val="clear" w:fill="FFFFFF"/>
        </w:rPr>
        <w:t>重磅！湖北牵头全国中成药联盟集采来了！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Style w:val="15"/>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pPr>
      <w:r>
        <w:rPr>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点击关注</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begin"/>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separate"/>
      </w:r>
      <w:r>
        <w:rPr>
          <w:rStyle w:val="16"/>
          <w:rFonts w:hint="eastAsia" w:ascii="Microsoft YaHei UI" w:hAnsi="Microsoft YaHei UI" w:eastAsia="Microsoft YaHei UI" w:cs="Microsoft YaHei UI"/>
          <w:i w:val="0"/>
          <w:iCs w:val="0"/>
          <w:caps w:val="0"/>
          <w:color w:val="576B95"/>
          <w:spacing w:val="8"/>
          <w:sz w:val="22"/>
          <w:szCs w:val="22"/>
          <w:u w:val="none"/>
          <w:shd w:val="clear" w:fill="FFFFFF"/>
        </w:rPr>
        <w:t>药闻康策</w: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end"/>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2022-09-10 00:00</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发表于福建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592" w:firstLineChars="200"/>
        <w:jc w:val="left"/>
      </w:pPr>
      <w:r>
        <w:rPr>
          <w:rFonts w:hint="eastAsia" w:ascii="宋体" w:hAnsi="宋体" w:eastAsia="宋体" w:cs="宋体"/>
          <w:i w:val="0"/>
          <w:iCs w:val="0"/>
          <w:caps w:val="0"/>
          <w:color w:val="021EAA"/>
          <w:spacing w:val="8"/>
          <w:sz w:val="28"/>
          <w:szCs w:val="28"/>
          <w:shd w:val="clear" w:fill="FFFFFF"/>
        </w:rPr>
        <w:t>9月9日，湖北省医药价格和招标采购管理服务网发布《全国中成药联盟采购公告 （2022年第1号）》，《公告》为深入推进药品集中带量采购制度改革，根据《国务院办公厅关于推动药品集中带量采购工作常态化制度化开展的意见》（国办发〔2021〕2号）精神，由</w:t>
      </w:r>
      <w:r>
        <w:rPr>
          <w:rStyle w:val="14"/>
          <w:rFonts w:hint="eastAsia" w:ascii="宋体" w:hAnsi="宋体" w:eastAsia="宋体" w:cs="宋体"/>
          <w:i w:val="0"/>
          <w:iCs w:val="0"/>
          <w:caps w:val="0"/>
          <w:color w:val="FF0000"/>
          <w:spacing w:val="8"/>
          <w:sz w:val="28"/>
          <w:szCs w:val="28"/>
          <w:shd w:val="clear" w:fill="FFFFFF"/>
        </w:rPr>
        <w:t>湖北省、北京市、天津市、河北省、山西省、内蒙古自治区、辽宁省、吉林省、黑龙江省、上海市、江苏省、浙江省、安徽省、江西省、山东省、河南省、广东省、广西壮族自治区、海南省、重庆市、四川省、贵州省、云南省、西藏自治区、陕西省、甘肃省、青海省、宁夏回族自治区、新疆维吾尔自治区、新疆生产建设兵团</w:t>
      </w:r>
      <w:r>
        <w:rPr>
          <w:rFonts w:hint="eastAsia" w:ascii="宋体" w:hAnsi="宋体" w:eastAsia="宋体" w:cs="宋体"/>
          <w:i w:val="0"/>
          <w:iCs w:val="0"/>
          <w:caps w:val="0"/>
          <w:color w:val="021EAA"/>
          <w:spacing w:val="8"/>
          <w:sz w:val="28"/>
          <w:szCs w:val="28"/>
          <w:shd w:val="clear" w:fill="FFFFFF"/>
        </w:rPr>
        <w:t>等联盟地区委派代表组成全国中成药联合采购办公室（以下简称联合采购办公室），在国家医疗保障局指导下，代表上述地区相关医药机构开展中成药及相关药品集中带量采购。湖北省医疗保障局承担联合采购办公室日常工作并负责具体实施，相关公告由联合采购办公室发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eastAsia="宋体" w:cs="Times New Roman" w:asciiTheme="minorEastAsia" w:hAnsiTheme="minorEastAsia"/>
          <w:b w:val="0"/>
          <w:bCs w:val="0"/>
          <w:color w:val="auto"/>
          <w:kern w:val="2"/>
          <w:sz w:val="28"/>
          <w:szCs w:val="28"/>
          <w:lang w:val="en-US" w:eastAsia="zh-CN" w:bidi="ar-SA"/>
        </w:rPr>
      </w:pPr>
      <w:r>
        <w:rPr>
          <w:rFonts w:hint="eastAsia" w:eastAsia="宋体" w:cs="Times New Roman" w:asciiTheme="minorEastAsia" w:hAnsiTheme="minorEastAsia"/>
          <w:b w:val="0"/>
          <w:bCs w:val="0"/>
          <w:color w:val="auto"/>
          <w:kern w:val="2"/>
          <w:sz w:val="28"/>
          <w:szCs w:val="28"/>
          <w:lang w:val="en-US" w:eastAsia="zh-CN" w:bidi="ar-SA"/>
        </w:rPr>
        <w:t>此次集采由湖北牵头，共有29个省市参与，福建和湖南没有参与。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eastAsia="宋体" w:cs="Times New Roman" w:asciiTheme="minorEastAsia" w:hAnsiTheme="minorEastAsia"/>
          <w:b w:val="0"/>
          <w:bCs w:val="0"/>
          <w:color w:val="auto"/>
          <w:kern w:val="2"/>
          <w:sz w:val="28"/>
          <w:szCs w:val="28"/>
          <w:lang w:val="en-US" w:eastAsia="zh-CN" w:bidi="ar-SA"/>
        </w:rPr>
      </w:pPr>
      <w:r>
        <w:rPr>
          <w:rFonts w:hint="eastAsia" w:eastAsia="宋体" w:cs="Times New Roman" w:asciiTheme="minorEastAsia" w:hAnsiTheme="minorEastAsia"/>
          <w:b w:val="0"/>
          <w:bCs w:val="0"/>
          <w:color w:val="auto"/>
          <w:kern w:val="2"/>
          <w:sz w:val="28"/>
          <w:szCs w:val="28"/>
          <w:lang w:val="en-US" w:eastAsia="zh-CN" w:bidi="ar-SA"/>
        </w:rPr>
        <w:t>此前，在国家医保局的指导下，湖北省医疗保障局向全国各省份发出邀约，继2021年19省中成药省际联盟集采之后，牵头成立全国中成药联合采购办公室，建立全国中成药联盟采购机制。</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eastAsia="宋体" w:cs="Times New Roman" w:asciiTheme="minorEastAsia" w:hAnsiTheme="minorEastAsia"/>
          <w:b w:val="0"/>
          <w:bCs w:val="0"/>
          <w:color w:val="auto"/>
          <w:kern w:val="2"/>
          <w:sz w:val="28"/>
          <w:szCs w:val="28"/>
          <w:lang w:val="en-US" w:eastAsia="zh-CN" w:bidi="ar-SA"/>
        </w:rPr>
      </w:pPr>
      <w:r>
        <w:rPr>
          <w:rFonts w:hint="eastAsia" w:eastAsia="宋体" w:cs="Times New Roman" w:asciiTheme="minorEastAsia" w:hAnsiTheme="minorEastAsia"/>
          <w:b w:val="0"/>
          <w:bCs w:val="0"/>
          <w:color w:val="auto"/>
          <w:kern w:val="2"/>
          <w:sz w:val="28"/>
          <w:szCs w:val="28"/>
          <w:lang w:val="en-US" w:eastAsia="zh-CN" w:bidi="ar-SA"/>
        </w:rPr>
        <w:t>2021年下半年，湖北牵头19省（区、市）组建中成药省际联盟，开展了为期半年的中成药集采。157家企业的182个产品参与报价，采购规模近100亿元，97家企业、111个产品中选，中选率达62%，中选价格平均降幅42.27%，最大降幅82.63%，预计每年可节约药品费用超过30亿元。通过合并通用名采购、采用综合评分入围、品内竞争和品间竞争相结合破除围标、引入医疗机构认可度指标、日均治疗费用最低可中选等五大创新，此次集采系统解决了中成药质量难以评价、中成药独家产品多等集采难点。总体而言，中选价格结果达到了预期，总体上符合量价挂钩的原则，且绝大多数产品特别是采购量大的产品都达到了相当降幅。</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eastAsia="宋体" w:cs="Times New Roman" w:asciiTheme="minorEastAsia" w:hAnsiTheme="minorEastAsia"/>
          <w:b w:val="0"/>
          <w:bCs w:val="0"/>
          <w:color w:val="auto"/>
          <w:kern w:val="2"/>
          <w:sz w:val="28"/>
          <w:szCs w:val="28"/>
          <w:lang w:val="en-US" w:eastAsia="zh-CN" w:bidi="ar-SA"/>
        </w:rPr>
      </w:pPr>
      <w:r>
        <w:rPr>
          <w:rFonts w:hint="eastAsia" w:eastAsia="宋体" w:cs="Times New Roman" w:asciiTheme="minorEastAsia" w:hAnsiTheme="minorEastAsia"/>
          <w:b w:val="0"/>
          <w:bCs w:val="0"/>
          <w:color w:val="auto"/>
          <w:kern w:val="2"/>
          <w:sz w:val="28"/>
          <w:szCs w:val="28"/>
          <w:lang w:val="en-US" w:eastAsia="zh-CN" w:bidi="ar-SA"/>
        </w:rPr>
        <w:t>湖北中成药集采的破冰之举，破除了业内“中成药是集采禁区”的观念，标志着集中带量采购改革拓展到了中成药领域，对于全方位推进集中带量采购改革具有重大意义。其社会认可度高，突破进展大，集采过程和结果得到了国家局领导和广大业内同行的充分肯定。</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eastAsia="宋体" w:cs="Times New Roman" w:asciiTheme="minorEastAsia" w:hAnsiTheme="minorEastAsia"/>
          <w:b w:val="0"/>
          <w:bCs w:val="0"/>
          <w:color w:val="auto"/>
          <w:kern w:val="2"/>
          <w:sz w:val="28"/>
          <w:szCs w:val="28"/>
          <w:lang w:val="en-US" w:eastAsia="zh-CN" w:bidi="ar-SA"/>
        </w:rPr>
      </w:pPr>
      <w:r>
        <w:rPr>
          <w:rFonts w:hint="eastAsia" w:eastAsia="宋体" w:cs="Times New Roman" w:asciiTheme="minorEastAsia" w:hAnsiTheme="minorEastAsia"/>
          <w:b w:val="0"/>
          <w:bCs w:val="0"/>
          <w:color w:val="auto"/>
          <w:kern w:val="2"/>
          <w:sz w:val="28"/>
          <w:szCs w:val="28"/>
          <w:lang w:val="en-US" w:eastAsia="zh-CN" w:bidi="ar-SA"/>
        </w:rPr>
        <w:t>在此背景下，国家医保局要求湖北再次开展中成药联盟集采工作，充分彰显出国家医保局对湖北医保工作的信任与重托。湖北在首批19省省际联盟的基础上，对全国各省进行了邀约，建立全国中成药联盟采购机制。继上海化药、生物药全国集采联盟、天津耗材全国集采联盟之后，湖北有望成为国家中成药集采中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eastAsia="宋体" w:cs="Times New Roman" w:asciiTheme="minorEastAsia" w:hAnsiTheme="minorEastAsia"/>
          <w:b w:val="0"/>
          <w:bCs w:val="0"/>
          <w:color w:val="auto"/>
          <w:kern w:val="2"/>
          <w:sz w:val="28"/>
          <w:szCs w:val="28"/>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eastAsia="宋体" w:cs="Times New Roman" w:asciiTheme="minorEastAsia" w:hAnsiTheme="minorEastAsia"/>
          <w:b w:val="0"/>
          <w:bCs w:val="0"/>
          <w:color w:val="auto"/>
          <w:kern w:val="2"/>
          <w:sz w:val="28"/>
          <w:szCs w:val="28"/>
          <w:lang w:val="en-US" w:eastAsia="zh-CN" w:bidi="ar-SA"/>
        </w:rPr>
      </w:pPr>
      <w:r>
        <w:rPr>
          <w:rFonts w:hint="eastAsia" w:eastAsia="宋体" w:cs="Times New Roman" w:asciiTheme="minorEastAsia" w:hAnsiTheme="minorEastAsia"/>
          <w:b w:val="0"/>
          <w:bCs w:val="0"/>
          <w:color w:val="auto"/>
          <w:kern w:val="2"/>
          <w:sz w:val="28"/>
          <w:szCs w:val="28"/>
          <w:lang w:val="en-US" w:eastAsia="zh-CN" w:bidi="ar-SA"/>
        </w:rPr>
        <w:t>据悉，此次全国中成药集采联盟延续了首批中成药集采理念，按照“临床使用量大、采购金额高”的原则，形成了包含42个药品的16个采购组，预估涉及市场金额超过100亿元。针对中成药质量评价难、独家产品多、市场集中度高等特点，以及首批集采中出现的个别产品组内不同中选产品价格、降幅差异大等争议，此次集采将如何从规则层面继续优化和完善，需要整个中成药行业拭目以待。</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center"/>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5304155" cy="2442845"/>
            <wp:effectExtent l="0" t="0" r="10795" b="14605"/>
            <wp:docPr id="43" name="图片 3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3" descr="IMG_259"/>
                    <pic:cNvPicPr>
                      <a:picLocks noChangeAspect="1"/>
                    </pic:cNvPicPr>
                  </pic:nvPicPr>
                  <pic:blipFill>
                    <a:blip r:embed="rId13"/>
                    <a:stretch>
                      <a:fillRect/>
                    </a:stretch>
                  </pic:blipFill>
                  <pic:spPr>
                    <a:xfrm>
                      <a:off x="0" y="0"/>
                      <a:ext cx="5304155" cy="244284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Style w:val="14"/>
          <w:rFonts w:hint="eastAsia" w:ascii="宋体" w:hAnsi="宋体" w:eastAsia="宋体" w:cs="宋体"/>
          <w:i w:val="0"/>
          <w:iCs w:val="0"/>
          <w:caps w:val="0"/>
          <w:color w:val="021EAA"/>
          <w:spacing w:val="8"/>
          <w:kern w:val="0"/>
          <w:sz w:val="28"/>
          <w:szCs w:val="28"/>
          <w:shd w:val="clear" w:fill="FFFFFF"/>
          <w:lang w:val="en-US" w:eastAsia="zh-CN" w:bidi="ar"/>
        </w:rPr>
        <w:t> 一、采购目录</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222222"/>
          <w:spacing w:val="15"/>
          <w:sz w:val="24"/>
          <w:szCs w:val="24"/>
          <w:shd w:val="clear" w:fill="FFFFFF"/>
        </w:rPr>
        <w:drawing>
          <wp:inline distT="0" distB="0" distL="114300" distR="114300">
            <wp:extent cx="5295265" cy="8105775"/>
            <wp:effectExtent l="0" t="0" r="635" b="9525"/>
            <wp:docPr id="42" name="图片 3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4" descr="IMG_260"/>
                    <pic:cNvPicPr>
                      <a:picLocks noChangeAspect="1"/>
                    </pic:cNvPicPr>
                  </pic:nvPicPr>
                  <pic:blipFill>
                    <a:blip r:embed="rId14"/>
                    <a:stretch>
                      <a:fillRect/>
                    </a:stretch>
                  </pic:blipFill>
                  <pic:spPr>
                    <a:xfrm>
                      <a:off x="0" y="0"/>
                      <a:ext cx="5295265" cy="810577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jc w:val="center"/>
        <w:rPr>
          <w:rStyle w:val="14"/>
          <w:rFonts w:hint="eastAsia" w:ascii="宋体" w:hAnsi="宋体" w:eastAsia="宋体" w:cs="宋体"/>
          <w:i w:val="0"/>
          <w:iCs w:val="0"/>
          <w:caps w:val="0"/>
          <w:color w:val="021EAA"/>
          <w:spacing w:val="8"/>
          <w:kern w:val="0"/>
          <w:sz w:val="28"/>
          <w:szCs w:val="28"/>
          <w:shd w:val="clear" w:fill="FFFFFF"/>
          <w:lang w:val="en-US" w:eastAsia="zh-CN" w:bidi="ar"/>
        </w:rPr>
      </w:pPr>
      <w:r>
        <w:rPr>
          <w:rStyle w:val="14"/>
          <w:rFonts w:hint="eastAsia" w:ascii="宋体" w:hAnsi="宋体" w:eastAsia="宋体" w:cs="宋体"/>
          <w:i w:val="0"/>
          <w:iCs w:val="0"/>
          <w:caps w:val="0"/>
          <w:color w:val="021EAA"/>
          <w:spacing w:val="8"/>
          <w:kern w:val="0"/>
          <w:sz w:val="28"/>
          <w:szCs w:val="28"/>
          <w:shd w:val="clear" w:fill="FFFFFF"/>
          <w:lang w:val="en-US" w:eastAsia="zh-CN" w:bidi="ar"/>
        </w:rPr>
        <w:t>本次集采涉及的产品组及其对应厂家信息</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jc w:val="both"/>
        <w:rPr>
          <w:rFonts w:hint="eastAsia" w:ascii="Microsoft YaHei UI" w:hAnsi="Microsoft YaHei UI" w:eastAsia="Microsoft YaHei UI" w:cs="Microsoft YaHei UI"/>
          <w:color w:val="222222"/>
          <w:spacing w:val="8"/>
        </w:rPr>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5265420" cy="9030970"/>
            <wp:effectExtent l="0" t="0" r="11430" b="17780"/>
            <wp:docPr id="40" name="图片 36"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6" descr="IMG_262"/>
                    <pic:cNvPicPr>
                      <a:picLocks noChangeAspect="1"/>
                    </pic:cNvPicPr>
                  </pic:nvPicPr>
                  <pic:blipFill>
                    <a:blip r:embed="rId15"/>
                    <a:stretch>
                      <a:fillRect/>
                    </a:stretch>
                  </pic:blipFill>
                  <pic:spPr>
                    <a:xfrm>
                      <a:off x="0" y="0"/>
                      <a:ext cx="5265420" cy="903097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B2B2B2"/>
          <w:spacing w:val="8"/>
          <w:sz w:val="19"/>
          <w:szCs w:val="19"/>
          <w:shd w:val="clear" w:fill="FFFFFF"/>
        </w:rPr>
        <w:t>（信息来源：药融云/ IMS/米内等  风云药谈整理）</w:t>
      </w:r>
    </w:p>
    <w:p>
      <w:pPr>
        <w:keepNext w:val="0"/>
        <w:keepLines w:val="0"/>
        <w:widowControl/>
        <w:suppressLineNumbers w:val="0"/>
        <w:spacing w:before="0" w:beforeAutospacing="0" w:after="0" w:afterAutospacing="0"/>
        <w:ind w:left="0" w:right="0"/>
        <w:jc w:val="left"/>
        <w:rPr>
          <w:rFonts w:hint="eastAsia" w:ascii="宋体" w:hAnsi="宋体" w:eastAsia="宋体" w:cs="宋体"/>
          <w:sz w:val="28"/>
          <w:szCs w:val="28"/>
        </w:rPr>
      </w:pPr>
      <w:r>
        <w:rPr>
          <w:rStyle w:val="14"/>
          <w:rFonts w:hint="eastAsia" w:ascii="宋体" w:hAnsi="宋体" w:eastAsia="宋体" w:cs="宋体"/>
          <w:i w:val="0"/>
          <w:iCs w:val="0"/>
          <w:caps w:val="0"/>
          <w:color w:val="021EAA"/>
          <w:spacing w:val="8"/>
          <w:kern w:val="0"/>
          <w:sz w:val="28"/>
          <w:szCs w:val="28"/>
          <w:shd w:val="clear" w:fill="FFFFFF"/>
          <w:lang w:val="en-US" w:eastAsia="zh-CN" w:bidi="ar"/>
        </w:rPr>
        <w:t>二、执行范围</w:t>
      </w:r>
      <w:r>
        <w:rPr>
          <w:rFonts w:hint="eastAsia" w:ascii="宋体" w:hAnsi="宋体" w:eastAsia="宋体" w:cs="宋体"/>
          <w:i w:val="0"/>
          <w:iCs w:val="0"/>
          <w:caps w:val="0"/>
          <w:color w:val="222222"/>
          <w:spacing w:val="8"/>
          <w:kern w:val="0"/>
          <w:sz w:val="28"/>
          <w:szCs w:val="28"/>
          <w:shd w:val="clear" w:fill="FFFFFF"/>
          <w:lang w:val="en-US" w:eastAsia="zh-CN" w:bidi="ar"/>
        </w:rPr>
        <w:t>联盟地区所有公立医疗机构（含军队医疗机构）均应参加，鼓励医保定点社会办医疗机构和定点药店按所在联盟地区相关规定参加。</w:t>
      </w:r>
      <w:r>
        <w:rPr>
          <w:rStyle w:val="14"/>
          <w:rFonts w:hint="eastAsia" w:ascii="宋体" w:hAnsi="宋体" w:eastAsia="宋体" w:cs="宋体"/>
          <w:i w:val="0"/>
          <w:iCs w:val="0"/>
          <w:caps w:val="0"/>
          <w:color w:val="021EAA"/>
          <w:spacing w:val="8"/>
          <w:kern w:val="0"/>
          <w:sz w:val="28"/>
          <w:szCs w:val="28"/>
          <w:shd w:val="clear" w:fill="FFFFFF"/>
          <w:lang w:val="en-US" w:eastAsia="zh-CN" w:bidi="ar"/>
        </w:rPr>
        <w:t>三、申报资格</w:t>
      </w:r>
      <w:r>
        <w:rPr>
          <w:rFonts w:hint="eastAsia" w:ascii="宋体" w:hAnsi="宋体" w:eastAsia="宋体" w:cs="宋体"/>
          <w:i w:val="0"/>
          <w:iCs w:val="0"/>
          <w:caps w:val="0"/>
          <w:color w:val="222222"/>
          <w:spacing w:val="8"/>
          <w:kern w:val="0"/>
          <w:sz w:val="28"/>
          <w:szCs w:val="28"/>
          <w:shd w:val="clear" w:fill="FFFFFF"/>
          <w:lang w:val="en-US" w:eastAsia="zh-CN" w:bidi="ar"/>
        </w:rPr>
        <w:t>提供药品及伴随服务的国内药品生产企业、药品上市许可持有人、境外药品上市许可持有人境内代理人，在质量标准、生产能力、供应稳定性、信用评价等方面达到本次集中采购要求的均可参加。</w:t>
      </w:r>
      <w:r>
        <w:rPr>
          <w:rStyle w:val="14"/>
          <w:rFonts w:hint="eastAsia" w:ascii="宋体" w:hAnsi="宋体" w:eastAsia="宋体" w:cs="宋体"/>
          <w:i w:val="0"/>
          <w:iCs w:val="0"/>
          <w:caps w:val="0"/>
          <w:color w:val="021EAA"/>
          <w:spacing w:val="8"/>
          <w:kern w:val="0"/>
          <w:sz w:val="28"/>
          <w:szCs w:val="28"/>
          <w:shd w:val="clear" w:fill="FFFFFF"/>
          <w:lang w:val="en-US" w:eastAsia="zh-CN" w:bidi="ar"/>
        </w:rPr>
        <w:t>四、医药机构报量</w:t>
      </w:r>
      <w:r>
        <w:rPr>
          <w:rFonts w:hint="eastAsia" w:ascii="宋体" w:hAnsi="宋体" w:eastAsia="宋体" w:cs="宋体"/>
          <w:i w:val="0"/>
          <w:iCs w:val="0"/>
          <w:caps w:val="0"/>
          <w:color w:val="222222"/>
          <w:spacing w:val="8"/>
          <w:kern w:val="0"/>
          <w:sz w:val="28"/>
          <w:szCs w:val="28"/>
          <w:shd w:val="clear" w:fill="FFFFFF"/>
          <w:lang w:val="en-US" w:eastAsia="zh-CN" w:bidi="ar"/>
        </w:rPr>
        <w:t>医药机构依据采购目录，如实填报2021年实际使用每个产品的历史采购量、采购价格及采购金额；结合历史使用情况、临床用药需求等因素，准确填报未来一年每个产品的采购需求量。同时，医药机构应按要求填报承诺函，由院长（或法定代表人）签字并加盖本单位公章后，扫描上传至填报系统。联盟地区省级医保部门组织审核医药机构填报的采购数据并指导修正。</w:t>
      </w:r>
      <w:r>
        <w:rPr>
          <w:rStyle w:val="14"/>
          <w:rFonts w:hint="eastAsia" w:ascii="宋体" w:hAnsi="宋体" w:eastAsia="宋体" w:cs="宋体"/>
          <w:i w:val="0"/>
          <w:iCs w:val="0"/>
          <w:caps w:val="0"/>
          <w:color w:val="021EAA"/>
          <w:spacing w:val="8"/>
          <w:kern w:val="0"/>
          <w:sz w:val="28"/>
          <w:szCs w:val="28"/>
          <w:shd w:val="clear" w:fill="FFFFFF"/>
          <w:lang w:val="en-US" w:eastAsia="zh-CN" w:bidi="ar"/>
        </w:rPr>
        <w:t>五、采购周期</w:t>
      </w:r>
      <w:r>
        <w:rPr>
          <w:rFonts w:hint="eastAsia" w:ascii="宋体" w:hAnsi="宋体" w:eastAsia="宋体" w:cs="宋体"/>
          <w:i w:val="0"/>
          <w:iCs w:val="0"/>
          <w:caps w:val="0"/>
          <w:color w:val="222222"/>
          <w:spacing w:val="8"/>
          <w:kern w:val="0"/>
          <w:sz w:val="28"/>
          <w:szCs w:val="28"/>
          <w:shd w:val="clear" w:fill="FFFFFF"/>
          <w:lang w:val="en-US" w:eastAsia="zh-CN" w:bidi="ar"/>
        </w:rPr>
        <w:t>本次集中带量采购周期为2年，视情况可延长。如需延长采购周期，联合采购办公室在采购周期结束前另行公告。采购周期内采购协议每年一签，采购周期内若提前完成当年协议采购量，超出部分中选企业仍按中选价格进行供应，直至采购周期届满。</w:t>
      </w:r>
      <w:r>
        <w:rPr>
          <w:rStyle w:val="14"/>
          <w:rFonts w:hint="eastAsia" w:ascii="宋体" w:hAnsi="宋体" w:eastAsia="宋体" w:cs="宋体"/>
          <w:i w:val="0"/>
          <w:iCs w:val="0"/>
          <w:caps w:val="0"/>
          <w:color w:val="021EAA"/>
          <w:spacing w:val="8"/>
          <w:kern w:val="0"/>
          <w:sz w:val="28"/>
          <w:szCs w:val="28"/>
          <w:shd w:val="clear" w:fill="FFFFFF"/>
          <w:lang w:val="en-US" w:eastAsia="zh-CN" w:bidi="ar"/>
        </w:rPr>
        <w:t>六、执行说明</w:t>
      </w:r>
      <w:r>
        <w:rPr>
          <w:rFonts w:hint="eastAsia" w:ascii="宋体" w:hAnsi="宋体" w:eastAsia="宋体" w:cs="宋体"/>
          <w:i w:val="0"/>
          <w:iCs w:val="0"/>
          <w:caps w:val="0"/>
          <w:color w:val="222222"/>
          <w:spacing w:val="8"/>
          <w:kern w:val="0"/>
          <w:sz w:val="28"/>
          <w:szCs w:val="28"/>
          <w:shd w:val="clear" w:fill="FFFFFF"/>
          <w:lang w:val="en-US" w:eastAsia="zh-CN" w:bidi="ar"/>
        </w:rPr>
        <w:t>（一）采购周期内，未中选产品纳入联盟地区监控管理，医疗机构采购未中选产品不得超过同采购组实际采购量的10%。（二）存在纳入国家和联盟地区省级重点监控合理用药药品目录或因公共卫生事件等因素导致临床需求发生重大变化等情形的药品，协议采购量完成情况可按同采购组中选产品使用占比进行考核。</w:t>
      </w:r>
    </w:p>
    <w:p>
      <w:pPr>
        <w:keepNext w:val="0"/>
        <w:keepLines w:val="0"/>
        <w:widowControl/>
        <w:suppressLineNumbers w:val="0"/>
        <w:pBdr>
          <w:top w:val="single" w:color="auto" w:sz="6" w:space="0"/>
          <w:left w:val="single" w:color="auto" w:sz="2" w:space="0"/>
          <w:bottom w:val="single" w:color="auto" w:sz="2" w:space="0"/>
          <w:right w:val="single" w:color="auto" w:sz="2" w:space="0"/>
        </w:pBdr>
        <w:spacing w:before="0" w:beforeAutospacing="0" w:after="0" w:afterAutospacing="0"/>
        <w:ind w:left="0" w:right="0"/>
        <w:jc w:val="both"/>
        <w:rPr>
          <w:rFonts w:hint="eastAsia" w:ascii="宋体" w:hAnsi="宋体" w:eastAsia="宋体" w:cs="宋体"/>
          <w:sz w:val="28"/>
          <w:szCs w:val="28"/>
        </w:rPr>
      </w:pPr>
      <w:r>
        <w:rPr>
          <w:rFonts w:hint="eastAsia" w:ascii="宋体" w:hAnsi="宋体" w:eastAsia="宋体" w:cs="宋体"/>
          <w:sz w:val="28"/>
          <w:szCs w:val="28"/>
        </w:rPr>
        <w:pict>
          <v:rect id="_x0000_i1025" o:spt="1" style="height:1.5pt;width:432pt;" fillcolor="#A0A0A0" filled="t" stroked="f" coordsize="21600,21600" o:hr="t" o:hrstd="t" o:hralign="center">
            <v:path/>
            <v:fill on="t" focussize="0,0"/>
            <v:stroke on="f"/>
            <v:imagedata o:title=""/>
            <o:lock v:ext="edit"/>
            <w10:wrap type="none"/>
            <w10:anchorlock/>
          </v:rect>
        </w:pic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i w:val="0"/>
          <w:iCs w:val="0"/>
          <w:caps w:val="0"/>
          <w:color w:val="222222"/>
          <w:spacing w:val="8"/>
          <w:sz w:val="28"/>
          <w:szCs w:val="28"/>
          <w:shd w:val="clear" w:fill="FFFFFF"/>
        </w:rPr>
        <w:t>2021年9月25日，湖北牵头19省开展中成药集采，目前，湖北第一批中成药联盟集采已进入采购阶段。此前，湖北省医保局发布《关于邀请参加中成药联盟集中带量采购的函》，明确探索构建跨省联盟采购机制，推进中成药第二批联盟集采工作，争创国家中成药集采中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i w:val="0"/>
          <w:iCs w:val="0"/>
          <w:caps w:val="0"/>
          <w:color w:val="222222"/>
          <w:spacing w:val="8"/>
          <w:sz w:val="28"/>
          <w:szCs w:val="28"/>
          <w:shd w:val="clear" w:fill="FFFFFF"/>
        </w:rPr>
        <w:t>湖北本次公布的拟采购品种目录中，共有16个产品组、42个通用名产品包含在内。每个分组包含个数不等的通用名产品，最少1个，最多5个。</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rPr>
          <w:rFonts w:hint="eastAsia" w:ascii="Microsoft YaHei UI" w:hAnsi="Microsoft YaHei UI" w:eastAsia="Microsoft YaHei UI" w:cs="Microsoft YaHei UI"/>
          <w:color w:val="222222"/>
          <w:spacing w:val="8"/>
        </w:rPr>
      </w:pPr>
      <w:r>
        <w:rPr>
          <w:rFonts w:hint="eastAsia" w:ascii="微软雅黑" w:hAnsi="微软雅黑" w:eastAsia="微软雅黑" w:cs="微软雅黑"/>
          <w:i w:val="0"/>
          <w:iCs w:val="0"/>
          <w:caps w:val="0"/>
          <w:color w:val="222222"/>
          <w:spacing w:val="8"/>
          <w:sz w:val="22"/>
          <w:szCs w:val="22"/>
          <w:shd w:val="clear" w:fill="FFFFFF"/>
        </w:rPr>
        <w:drawing>
          <wp:inline distT="0" distB="0" distL="114300" distR="114300">
            <wp:extent cx="5285740" cy="3112770"/>
            <wp:effectExtent l="0" t="0" r="10160" b="11430"/>
            <wp:docPr id="39" name="图片 3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IMG_263"/>
                    <pic:cNvPicPr>
                      <a:picLocks noChangeAspect="1"/>
                    </pic:cNvPicPr>
                  </pic:nvPicPr>
                  <pic:blipFill>
                    <a:blip r:embed="rId16"/>
                    <a:stretch>
                      <a:fillRect/>
                    </a:stretch>
                  </pic:blipFill>
                  <pic:spPr>
                    <a:xfrm>
                      <a:off x="0" y="0"/>
                      <a:ext cx="5285740" cy="311277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383" w:lineRule="atLeast"/>
        <w:ind w:left="0" w:right="0" w:firstLine="0"/>
        <w:jc w:val="center"/>
        <w:rPr>
          <w:rFonts w:hint="eastAsia" w:ascii="Microsoft YaHei UI" w:hAnsi="Microsoft YaHei UI" w:eastAsia="Microsoft YaHei UI" w:cs="Microsoft YaHei UI"/>
          <w:color w:val="222222"/>
          <w:spacing w:val="8"/>
        </w:rPr>
      </w:pPr>
      <w:r>
        <w:rPr>
          <w:rStyle w:val="14"/>
          <w:rFonts w:hint="eastAsia" w:ascii="微软雅黑" w:hAnsi="微软雅黑" w:eastAsia="微软雅黑" w:cs="微软雅黑"/>
          <w:i w:val="0"/>
          <w:iCs w:val="0"/>
          <w:caps w:val="0"/>
          <w:color w:val="222222"/>
          <w:spacing w:val="8"/>
          <w:sz w:val="22"/>
          <w:szCs w:val="22"/>
          <w:shd w:val="clear" w:fill="FFFFFF"/>
        </w:rPr>
        <w:t>图 1 治疗领域（按通用名）</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592" w:firstLineChars="200"/>
        <w:jc w:val="both"/>
        <w:rPr>
          <w:rFonts w:hint="eastAsia" w:ascii="宋体" w:hAnsi="宋体" w:eastAsia="宋体" w:cs="宋体"/>
          <w:i w:val="0"/>
          <w:iCs w:val="0"/>
          <w:caps w:val="0"/>
          <w:color w:val="222222"/>
          <w:spacing w:val="8"/>
          <w:sz w:val="28"/>
          <w:szCs w:val="28"/>
          <w:shd w:val="clear" w:fill="FFFFFF"/>
        </w:rPr>
      </w:pPr>
      <w:r>
        <w:rPr>
          <w:rFonts w:hint="eastAsia" w:ascii="宋体" w:hAnsi="宋体" w:eastAsia="宋体" w:cs="宋体"/>
          <w:i w:val="0"/>
          <w:iCs w:val="0"/>
          <w:caps w:val="0"/>
          <w:color w:val="222222"/>
          <w:spacing w:val="8"/>
          <w:sz w:val="28"/>
          <w:szCs w:val="28"/>
          <w:shd w:val="clear" w:fill="FFFFFF"/>
        </w:rPr>
        <w:t>从此次公布的拟采购目录治疗领域来看，共涉及内科用药、骨伤科用药、眼科用药、肿瘤用药、心血管系统用药以及妇科用药六个治疗领域。其中，内科用药基本上仍以心血管疾病等慢病治疗药品为主，占比最大，有7个产品组，占比超五成。从药品分类来看，祛瘀剂数量最多，达到19种，占比近半。</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594" w:firstLineChars="200"/>
        <w:jc w:val="both"/>
        <w:rPr>
          <w:rFonts w:hint="eastAsia" w:ascii="宋体" w:hAnsi="宋体" w:eastAsia="宋体" w:cs="宋体"/>
          <w:color w:val="222222"/>
          <w:spacing w:val="8"/>
          <w:sz w:val="28"/>
          <w:szCs w:val="28"/>
          <w:lang w:eastAsia="zh-CN"/>
        </w:rPr>
      </w:pPr>
      <w:r>
        <w:rPr>
          <w:rStyle w:val="14"/>
          <w:rFonts w:hint="eastAsia" w:ascii="宋体" w:hAnsi="宋体" w:eastAsia="宋体" w:cs="宋体"/>
          <w:i w:val="0"/>
          <w:iCs w:val="0"/>
          <w:caps w:val="0"/>
          <w:color w:val="0070C0"/>
          <w:spacing w:val="8"/>
          <w:sz w:val="28"/>
          <w:szCs w:val="28"/>
          <w:shd w:val="clear" w:fill="FFFFFF"/>
        </w:rPr>
        <w:t>剂型占比：口服制剂多达36个，占比超八成</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592" w:firstLineChars="200"/>
        <w:jc w:val="both"/>
        <w:rPr>
          <w:rFonts w:hint="eastAsia" w:ascii="宋体" w:hAnsi="宋体" w:eastAsia="宋体" w:cs="宋体"/>
          <w:color w:val="222222"/>
          <w:spacing w:val="8"/>
          <w:sz w:val="28"/>
          <w:szCs w:val="28"/>
        </w:rPr>
      </w:pPr>
      <w:r>
        <w:rPr>
          <w:rFonts w:hint="eastAsia" w:ascii="宋体" w:hAnsi="宋体" w:eastAsia="宋体" w:cs="宋体"/>
          <w:i w:val="0"/>
          <w:iCs w:val="0"/>
          <w:caps w:val="0"/>
          <w:color w:val="222222"/>
          <w:spacing w:val="8"/>
          <w:sz w:val="28"/>
          <w:szCs w:val="28"/>
          <w:shd w:val="clear" w:fill="FFFFFF"/>
        </w:rPr>
        <w:t>湖北公布的拟采购目录，从剂型方面来看，口服制剂居多达10个产品组，占比超八成，其余6个为注射剂产品组。</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color w:val="222222"/>
          <w:spacing w:val="8"/>
        </w:rPr>
      </w:pPr>
      <w:r>
        <w:rPr>
          <w:rFonts w:hint="eastAsia" w:ascii="微软雅黑" w:hAnsi="微软雅黑" w:eastAsia="微软雅黑" w:cs="微软雅黑"/>
          <w:i w:val="0"/>
          <w:iCs w:val="0"/>
          <w:caps w:val="0"/>
          <w:color w:val="222222"/>
          <w:spacing w:val="8"/>
          <w:sz w:val="22"/>
          <w:szCs w:val="22"/>
          <w:shd w:val="clear" w:fill="FFFFFF"/>
        </w:rPr>
        <w:drawing>
          <wp:inline distT="0" distB="0" distL="114300" distR="114300">
            <wp:extent cx="5190490" cy="3150235"/>
            <wp:effectExtent l="0" t="0" r="10160" b="12065"/>
            <wp:docPr id="38" name="图片 3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9" descr="IMG_264"/>
                    <pic:cNvPicPr>
                      <a:picLocks noChangeAspect="1"/>
                    </pic:cNvPicPr>
                  </pic:nvPicPr>
                  <pic:blipFill>
                    <a:blip r:embed="rId17"/>
                    <a:stretch>
                      <a:fillRect/>
                    </a:stretch>
                  </pic:blipFill>
                  <pic:spPr>
                    <a:xfrm>
                      <a:off x="0" y="0"/>
                      <a:ext cx="5190490" cy="315023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sz w:val="22"/>
          <w:szCs w:val="22"/>
          <w:shd w:val="clear" w:fill="FFFFFF"/>
        </w:rPr>
        <w:t> </w:t>
      </w:r>
      <w:r>
        <w:rPr>
          <w:rStyle w:val="14"/>
          <w:rFonts w:hint="eastAsia" w:ascii="微软雅黑" w:hAnsi="微软雅黑" w:eastAsia="微软雅黑" w:cs="微软雅黑"/>
          <w:i w:val="0"/>
          <w:iCs w:val="0"/>
          <w:caps w:val="0"/>
          <w:color w:val="222222"/>
          <w:spacing w:val="8"/>
          <w:sz w:val="22"/>
          <w:szCs w:val="22"/>
          <w:shd w:val="clear" w:fill="FFFFFF"/>
        </w:rPr>
        <w:t>图 2 剂型占比（按通用名）</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宋体" w:hAnsi="宋体" w:eastAsia="宋体" w:cs="宋体"/>
          <w:color w:val="222222"/>
          <w:spacing w:val="8"/>
          <w:sz w:val="28"/>
          <w:szCs w:val="28"/>
        </w:rPr>
      </w:pPr>
      <w:r>
        <w:rPr>
          <w:rStyle w:val="14"/>
          <w:rFonts w:hint="eastAsia" w:ascii="宋体" w:hAnsi="宋体" w:eastAsia="宋体" w:cs="宋体"/>
          <w:i w:val="0"/>
          <w:iCs w:val="0"/>
          <w:caps w:val="0"/>
          <w:color w:val="0070C0"/>
          <w:spacing w:val="8"/>
          <w:sz w:val="28"/>
          <w:szCs w:val="28"/>
          <w:shd w:val="clear" w:fill="FFFFFF"/>
        </w:rPr>
        <w:t>涵盖省份众多，福建和湖南未参与</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color w:val="222222"/>
          <w:spacing w:val="8"/>
        </w:rPr>
      </w:pPr>
      <w:r>
        <w:rPr>
          <w:rFonts w:hint="eastAsia" w:ascii="微软雅黑" w:hAnsi="微软雅黑" w:eastAsia="微软雅黑" w:cs="微软雅黑"/>
          <w:i w:val="0"/>
          <w:iCs w:val="0"/>
          <w:caps w:val="0"/>
          <w:color w:val="222222"/>
          <w:spacing w:val="8"/>
          <w:sz w:val="25"/>
          <w:szCs w:val="25"/>
          <w:shd w:val="clear" w:fill="FFFFFF"/>
        </w:rPr>
        <w:drawing>
          <wp:inline distT="0" distB="0" distL="114300" distR="114300">
            <wp:extent cx="5218430" cy="3874770"/>
            <wp:effectExtent l="0" t="0" r="1270" b="11430"/>
            <wp:docPr id="37" name="图片 4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0" descr="IMG_265"/>
                    <pic:cNvPicPr>
                      <a:picLocks noChangeAspect="1"/>
                    </pic:cNvPicPr>
                  </pic:nvPicPr>
                  <pic:blipFill>
                    <a:blip r:embed="rId18"/>
                    <a:stretch>
                      <a:fillRect/>
                    </a:stretch>
                  </pic:blipFill>
                  <pic:spPr>
                    <a:xfrm>
                      <a:off x="0" y="0"/>
                      <a:ext cx="5218430" cy="387477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592" w:firstLineChars="200"/>
        <w:jc w:val="left"/>
        <w:rPr>
          <w:rFonts w:hint="eastAsia" w:ascii="宋体" w:hAnsi="宋体" w:eastAsia="宋体" w:cs="宋体"/>
          <w:color w:val="222222"/>
          <w:spacing w:val="8"/>
          <w:sz w:val="28"/>
          <w:szCs w:val="28"/>
        </w:rPr>
      </w:pPr>
      <w:r>
        <w:rPr>
          <w:rFonts w:hint="eastAsia" w:ascii="宋体" w:hAnsi="宋体" w:eastAsia="宋体" w:cs="宋体"/>
          <w:i w:val="0"/>
          <w:iCs w:val="0"/>
          <w:caps w:val="0"/>
          <w:color w:val="222222"/>
          <w:spacing w:val="8"/>
          <w:sz w:val="28"/>
          <w:szCs w:val="28"/>
          <w:shd w:val="clear" w:fill="FFFFFF"/>
        </w:rPr>
        <w:t>与第一批集采规则相同，本次集中带量采购周期为2年，视情况可延长。值得注意的是，第二批集采规则对医疗机构采购未中选产品作出了明确规定。采购公告中提到，采购周期内，未中选产品纳入联盟地区监控管理，</w:t>
      </w:r>
      <w:r>
        <w:rPr>
          <w:rStyle w:val="14"/>
          <w:rFonts w:hint="eastAsia" w:ascii="宋体" w:hAnsi="宋体" w:eastAsia="宋体" w:cs="宋体"/>
          <w:i w:val="0"/>
          <w:iCs w:val="0"/>
          <w:caps w:val="0"/>
          <w:color w:val="1C71BE"/>
          <w:spacing w:val="23"/>
          <w:sz w:val="28"/>
          <w:szCs w:val="28"/>
          <w:shd w:val="clear" w:fill="F6F9FD"/>
        </w:rPr>
        <w:t>医疗机构采购未中选产品不得超过同采购组实际采购量的10%</w:t>
      </w:r>
      <w:r>
        <w:rPr>
          <w:rFonts w:hint="eastAsia" w:ascii="宋体" w:hAnsi="宋体" w:eastAsia="宋体" w:cs="宋体"/>
          <w:i w:val="0"/>
          <w:iCs w:val="0"/>
          <w:caps w:val="0"/>
          <w:color w:val="222222"/>
          <w:spacing w:val="8"/>
          <w:sz w:val="28"/>
          <w:szCs w:val="28"/>
          <w:shd w:val="clear" w:fill="FFFFFF"/>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592" w:firstLineChars="200"/>
        <w:jc w:val="left"/>
        <w:rPr>
          <w:rFonts w:hint="eastAsia" w:ascii="宋体" w:hAnsi="宋体" w:eastAsia="宋体" w:cs="宋体"/>
          <w:color w:val="222222"/>
          <w:spacing w:val="8"/>
          <w:sz w:val="28"/>
          <w:szCs w:val="28"/>
        </w:rPr>
      </w:pPr>
      <w:r>
        <w:rPr>
          <w:rFonts w:hint="eastAsia" w:ascii="宋体" w:hAnsi="宋体" w:eastAsia="宋体" w:cs="宋体"/>
          <w:i w:val="0"/>
          <w:iCs w:val="0"/>
          <w:caps w:val="0"/>
          <w:color w:val="222222"/>
          <w:spacing w:val="8"/>
          <w:sz w:val="28"/>
          <w:szCs w:val="28"/>
          <w:shd w:val="clear" w:fill="FFFFFF"/>
        </w:rPr>
        <w:t>此前，湖北牵头19省组建中成药联盟采购，共涉及17个产品组76个品种。2021年12月27日，该联盟集采中选结果公布，共有157家企业、182个产品参与报价，采购规模近100亿元。最终97家企业、111个产品中选，中选率达62%，平均降幅42.27%，最大降幅82.63%。从结果来看，</w:t>
      </w:r>
      <w:r>
        <w:rPr>
          <w:rStyle w:val="14"/>
          <w:rFonts w:hint="eastAsia" w:ascii="宋体" w:hAnsi="宋体" w:eastAsia="宋体" w:cs="宋体"/>
          <w:i w:val="0"/>
          <w:iCs w:val="0"/>
          <w:caps w:val="0"/>
          <w:color w:val="222222"/>
          <w:spacing w:val="8"/>
          <w:sz w:val="28"/>
          <w:szCs w:val="28"/>
          <w:shd w:val="clear" w:fill="FFFFFF"/>
        </w:rPr>
        <w:t>中选产品剂型规格齐全，目前临床使用的主流产品大多中选，可有效满足临床和常态化疫情防控用药需求</w:t>
      </w:r>
      <w:r>
        <w:rPr>
          <w:rFonts w:hint="eastAsia" w:ascii="宋体" w:hAnsi="宋体" w:eastAsia="宋体" w:cs="宋体"/>
          <w:i w:val="0"/>
          <w:iCs w:val="0"/>
          <w:caps w:val="0"/>
          <w:color w:val="222222"/>
          <w:spacing w:val="8"/>
          <w:sz w:val="28"/>
          <w:szCs w:val="28"/>
          <w:shd w:val="clear" w:fill="FFFFFF"/>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592" w:firstLineChars="200"/>
        <w:jc w:val="left"/>
        <w:rPr>
          <w:rFonts w:hint="eastAsia" w:ascii="宋体" w:hAnsi="宋体" w:eastAsia="宋体" w:cs="宋体"/>
          <w:color w:val="222222"/>
          <w:spacing w:val="8"/>
          <w:sz w:val="28"/>
          <w:szCs w:val="28"/>
        </w:rPr>
      </w:pPr>
      <w:r>
        <w:rPr>
          <w:rFonts w:hint="eastAsia" w:ascii="宋体" w:hAnsi="宋体" w:eastAsia="宋体" w:cs="宋体"/>
          <w:i w:val="0"/>
          <w:iCs w:val="0"/>
          <w:caps w:val="0"/>
          <w:color w:val="222222"/>
          <w:spacing w:val="8"/>
          <w:sz w:val="28"/>
          <w:szCs w:val="28"/>
          <w:shd w:val="clear" w:fill="FFFFFF"/>
        </w:rPr>
        <w:t>此外，采购公告还规定，存在纳入国家和联盟地区省级重点监控合理用药药品目录或因公共卫生事件等因素导致临床需求发生重大变化等情形的药品，协议采购量完成情况可按同采购组中选产品使用占比进行考核。</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592" w:firstLineChars="200"/>
        <w:jc w:val="left"/>
        <w:rPr>
          <w:rFonts w:hint="eastAsia" w:ascii="宋体" w:hAnsi="宋体" w:eastAsia="宋体" w:cs="宋体"/>
          <w:color w:val="222222"/>
          <w:spacing w:val="8"/>
          <w:sz w:val="28"/>
          <w:szCs w:val="28"/>
        </w:rPr>
      </w:pPr>
      <w:r>
        <w:rPr>
          <w:rFonts w:hint="eastAsia" w:ascii="宋体" w:hAnsi="宋体" w:eastAsia="宋体" w:cs="宋体"/>
          <w:i w:val="0"/>
          <w:iCs w:val="0"/>
          <w:caps w:val="0"/>
          <w:color w:val="222222"/>
          <w:spacing w:val="8"/>
          <w:sz w:val="28"/>
          <w:szCs w:val="28"/>
          <w:shd w:val="clear" w:fill="FFFFFF"/>
        </w:rPr>
        <w:t>湖北中成药联盟作为目前最大的中成药联盟，已涵盖全国大半省份。除福建和湖南外，其余30个省（自治区、直辖市）均参与第二批中成药集采。新一批中成药集采的开展表明湖北争创国家中成药集采中心的决心，预示着中成药国家集采步伐在逐渐靠近。</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left"/>
      </w:pPr>
      <w:r>
        <w:rPr>
          <w:rFonts w:hint="eastAsia" w:ascii="Microsoft YaHei UI" w:hAnsi="Microsoft YaHei UI" w:eastAsia="Microsoft YaHei UI" w:cs="Microsoft YaHei UI"/>
          <w:i w:val="0"/>
          <w:iCs w:val="0"/>
          <w:caps w:val="0"/>
          <w:color w:val="B2B2B2"/>
          <w:spacing w:val="8"/>
          <w:sz w:val="19"/>
          <w:szCs w:val="19"/>
          <w:shd w:val="clear" w:fill="FFFFFF"/>
        </w:rPr>
        <w:t>(来源:湖北省医药价格和招标采购管理服务网/易联招采）     </w:t>
      </w:r>
      <w:r>
        <w:rPr>
          <w:rFonts w:hint="eastAsia" w:ascii="Microsoft YaHei UI" w:hAnsi="Microsoft YaHei UI" w:eastAsia="Microsoft YaHei UI" w:cs="Microsoft YaHei UI"/>
          <w:i w:val="0"/>
          <w:iCs w:val="0"/>
          <w:caps w:val="0"/>
          <w:color w:val="B2B2B2"/>
          <w:spacing w:val="8"/>
          <w:sz w:val="25"/>
          <w:szCs w:val="25"/>
          <w:shd w:val="clear" w:fill="FFFFFF"/>
        </w:rPr>
        <w:t>    </w:t>
      </w:r>
      <w:r>
        <w:rPr>
          <w:rFonts w:hint="eastAsia" w:ascii="Microsoft YaHei UI" w:hAnsi="Microsoft YaHei UI" w:eastAsia="Microsoft YaHei UI" w:cs="Microsoft YaHei UI"/>
          <w:i w:val="0"/>
          <w:iCs w:val="0"/>
          <w:caps w:val="0"/>
          <w:color w:val="222222"/>
          <w:spacing w:val="8"/>
          <w:sz w:val="25"/>
          <w:szCs w:val="25"/>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r>
        <w:rPr>
          <w:rFonts w:hint="eastAsia" w:ascii="微软雅黑" w:hAnsi="微软雅黑" w:eastAsia="微软雅黑" w:cs="宋体"/>
          <w:b/>
          <w:color w:val="333333"/>
          <w:kern w:val="36"/>
          <w:sz w:val="24"/>
          <w:szCs w:val="24"/>
        </w:rPr>
        <w:t>附件</w:t>
      </w:r>
      <w:r>
        <w:rPr>
          <w:rFonts w:hint="eastAsia" w:ascii="微软雅黑" w:hAnsi="微软雅黑" w:eastAsia="微软雅黑" w:cs="宋体"/>
          <w:b/>
          <w:color w:val="333333"/>
          <w:kern w:val="36"/>
          <w:sz w:val="24"/>
          <w:szCs w:val="24"/>
          <w:lang w:val="en-US" w:eastAsia="zh-CN"/>
        </w:rPr>
        <w:t>3</w:t>
      </w:r>
      <w:r>
        <w:rPr>
          <w:rFonts w:hint="eastAsia" w:ascii="微软雅黑" w:hAnsi="微软雅黑" w:eastAsia="微软雅黑" w:cs="宋体"/>
          <w:b/>
          <w:color w:val="333333"/>
          <w:kern w:val="36"/>
          <w:sz w:val="24"/>
          <w:szCs w:val="24"/>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宋体" w:hAnsi="宋体" w:eastAsia="宋体" w:cs="宋体"/>
          <w:b/>
          <w:bCs/>
          <w:sz w:val="33"/>
          <w:szCs w:val="33"/>
        </w:rPr>
      </w:pPr>
      <w:r>
        <w:rPr>
          <w:rFonts w:hint="eastAsia" w:ascii="宋体" w:hAnsi="宋体" w:eastAsia="宋体" w:cs="宋体"/>
          <w:b/>
          <w:bCs/>
          <w:sz w:val="33"/>
          <w:szCs w:val="33"/>
        </w:rPr>
        <w:t>六大上市连锁2022半年业绩比拼</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30" w:afterAutospacing="0" w:line="300" w:lineRule="atLeast"/>
        <w:ind w:left="0" w:right="0"/>
        <w:jc w:val="left"/>
        <w:rPr>
          <w:rFonts w:ascii="宋体" w:hAnsi="宋体" w:eastAsia="宋体" w:cs="宋体"/>
          <w:color w:val="222222"/>
          <w:kern w:val="0"/>
          <w:sz w:val="25"/>
          <w:szCs w:val="25"/>
          <w:lang w:val="en-US" w:eastAsia="zh-CN" w:bidi="ar"/>
        </w:rPr>
      </w:pPr>
      <w:r>
        <w:rPr>
          <w:rFonts w:ascii="宋体" w:hAnsi="宋体" w:eastAsia="宋体" w:cs="宋体"/>
          <w:color w:val="576B95"/>
          <w:kern w:val="0"/>
          <w:sz w:val="22"/>
          <w:szCs w:val="22"/>
          <w:u w:val="none"/>
          <w:lang w:val="en-US" w:eastAsia="zh-CN" w:bidi="ar"/>
        </w:rPr>
        <w:fldChar w:fldCharType="begin"/>
      </w:r>
      <w:r>
        <w:rPr>
          <w:rFonts w:ascii="宋体" w:hAnsi="宋体" w:eastAsia="宋体" w:cs="宋体"/>
          <w:color w:val="576B95"/>
          <w:kern w:val="0"/>
          <w:sz w:val="22"/>
          <w:szCs w:val="22"/>
          <w:u w:val="none"/>
          <w:lang w:val="en-US" w:eastAsia="zh-CN" w:bidi="ar"/>
        </w:rPr>
        <w:instrText xml:space="preserve"> HYPERLINK "javascript:void(0);" </w:instrText>
      </w:r>
      <w:r>
        <w:rPr>
          <w:rFonts w:ascii="宋体" w:hAnsi="宋体" w:eastAsia="宋体" w:cs="宋体"/>
          <w:color w:val="576B95"/>
          <w:kern w:val="0"/>
          <w:sz w:val="22"/>
          <w:szCs w:val="22"/>
          <w:u w:val="none"/>
          <w:lang w:val="en-US" w:eastAsia="zh-CN" w:bidi="ar"/>
        </w:rPr>
        <w:fldChar w:fldCharType="separate"/>
      </w:r>
      <w:r>
        <w:rPr>
          <w:rStyle w:val="16"/>
          <w:rFonts w:ascii="宋体" w:hAnsi="宋体" w:eastAsia="宋体" w:cs="宋体"/>
          <w:color w:val="576B95"/>
          <w:sz w:val="22"/>
          <w:szCs w:val="22"/>
          <w:u w:val="none"/>
        </w:rPr>
        <w:t>谷丰观点</w:t>
      </w:r>
      <w:r>
        <w:rPr>
          <w:rFonts w:ascii="宋体" w:hAnsi="宋体" w:eastAsia="宋体" w:cs="宋体"/>
          <w:color w:val="576B95"/>
          <w:kern w:val="0"/>
          <w:sz w:val="22"/>
          <w:szCs w:val="22"/>
          <w:u w:val="none"/>
          <w:lang w:val="en-US" w:eastAsia="zh-CN" w:bidi="ar"/>
        </w:rPr>
        <w:fldChar w:fldCharType="end"/>
      </w:r>
      <w:r>
        <w:rPr>
          <w:rFonts w:ascii="宋体" w:hAnsi="宋体" w:eastAsia="宋体" w:cs="宋体"/>
          <w:kern w:val="0"/>
          <w:sz w:val="0"/>
          <w:szCs w:val="0"/>
          <w:lang w:val="en-US" w:eastAsia="zh-CN" w:bidi="ar"/>
        </w:rPr>
        <w:t> </w:t>
      </w:r>
      <w:r>
        <w:rPr>
          <w:rStyle w:val="15"/>
          <w:rFonts w:ascii="宋体" w:hAnsi="宋体" w:eastAsia="宋体" w:cs="宋体"/>
          <w:i w:val="0"/>
          <w:iCs w:val="0"/>
          <w:kern w:val="0"/>
          <w:sz w:val="22"/>
          <w:szCs w:val="22"/>
          <w:lang w:val="en-US" w:eastAsia="zh-CN" w:bidi="ar"/>
        </w:rPr>
        <w:t>2022-08-31 19:04</w:t>
      </w:r>
      <w:r>
        <w:rPr>
          <w:rFonts w:ascii="宋体" w:hAnsi="宋体" w:eastAsia="宋体" w:cs="宋体"/>
          <w:kern w:val="0"/>
          <w:sz w:val="0"/>
          <w:szCs w:val="0"/>
          <w:lang w:val="en-US" w:eastAsia="zh-CN" w:bidi="ar"/>
        </w:rPr>
        <w:t> </w:t>
      </w:r>
      <w:r>
        <w:rPr>
          <w:rStyle w:val="15"/>
          <w:rFonts w:ascii="宋体" w:hAnsi="宋体" w:eastAsia="宋体" w:cs="宋体"/>
          <w:i w:val="0"/>
          <w:iCs w:val="0"/>
          <w:kern w:val="0"/>
          <w:sz w:val="22"/>
          <w:szCs w:val="22"/>
          <w:lang w:val="en-US" w:eastAsia="zh-CN" w:bidi="ar"/>
        </w:rPr>
        <w:t>发表于吉林</w:t>
      </w:r>
      <w:r>
        <w:rPr>
          <w:rFonts w:ascii="宋体" w:hAnsi="宋体" w:eastAsia="宋体" w:cs="宋体"/>
          <w:color w:val="222222"/>
          <w:kern w:val="0"/>
          <w:sz w:val="25"/>
          <w:szCs w:val="25"/>
          <w:lang w:val="en-US" w:eastAsia="zh-CN" w:bidi="ar"/>
        </w:rPr>
        <w:br w:type="textWrapp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30" w:afterAutospacing="0" w:line="300" w:lineRule="atLeast"/>
        <w:ind w:left="0" w:right="0" w:firstLine="672" w:firstLineChars="200"/>
        <w:jc w:val="left"/>
        <w:rPr>
          <w:rFonts w:hint="eastAsia" w:ascii="宋体" w:hAnsi="宋体" w:eastAsia="宋体" w:cs="宋体"/>
          <w:color w:val="222222"/>
          <w:sz w:val="28"/>
          <w:szCs w:val="28"/>
        </w:rPr>
      </w:pPr>
      <w:r>
        <w:rPr>
          <w:rStyle w:val="15"/>
          <w:rFonts w:hint="eastAsia" w:ascii="宋体" w:hAnsi="宋体" w:eastAsia="宋体" w:cs="宋体"/>
          <w:i w:val="0"/>
          <w:iCs/>
          <w:caps w:val="0"/>
          <w:color w:val="888888"/>
          <w:spacing w:val="28"/>
          <w:kern w:val="0"/>
          <w:sz w:val="28"/>
          <w:szCs w:val="28"/>
          <w:lang w:val="en-US" w:eastAsia="zh-CN" w:bidi="ar"/>
        </w:rPr>
        <w:t>六大民营上市连锁半年报披露完毕，从财务数据看，营收持续增长，线下渠道坚挺，线上渠道增速持续拔高</w:t>
      </w:r>
      <w:r>
        <w:rPr>
          <w:rStyle w:val="15"/>
          <w:rFonts w:hint="eastAsia" w:ascii="宋体" w:hAnsi="宋体" w:eastAsia="宋体" w:cs="宋体"/>
          <w:i/>
          <w:iCs/>
          <w:caps w:val="0"/>
          <w:color w:val="888888"/>
          <w:spacing w:val="30"/>
          <w:kern w:val="0"/>
          <w:sz w:val="28"/>
          <w:szCs w:val="28"/>
          <w:lang w:val="en-US" w:eastAsia="zh-CN" w:bidi="ar"/>
        </w:rPr>
        <w:t>。</w:t>
      </w:r>
      <w:r>
        <w:rPr>
          <w:rFonts w:ascii="宋体" w:hAnsi="宋体" w:eastAsia="宋体" w:cs="宋体"/>
          <w:color w:val="222222"/>
          <w:kern w:val="0"/>
          <w:sz w:val="25"/>
          <w:szCs w:val="25"/>
          <w:lang w:val="en-US" w:eastAsia="zh-CN" w:bidi="ar"/>
        </w:rPr>
        <w:br w:type="textWrapping"/>
      </w:r>
      <w:r>
        <w:rPr>
          <w:rFonts w:hint="eastAsia" w:ascii="Microsoft YaHei UI" w:hAnsi="Microsoft YaHei UI" w:eastAsia="Microsoft YaHei UI" w:cs="Microsoft YaHei UI"/>
          <w:i w:val="0"/>
          <w:iCs w:val="0"/>
          <w:caps w:val="0"/>
          <w:color w:val="222222"/>
          <w:spacing w:val="30"/>
          <w:kern w:val="0"/>
          <w:sz w:val="22"/>
          <w:szCs w:val="22"/>
          <w:shd w:val="clear" w:fill="FFFFFF"/>
          <w:lang w:val="en-US" w:eastAsia="zh-CN" w:bidi="ar"/>
        </w:rPr>
        <w:t> </w:t>
      </w:r>
      <w:r>
        <w:rPr>
          <w:rStyle w:val="14"/>
          <w:rFonts w:hint="eastAsia" w:ascii="Microsoft YaHei UI" w:hAnsi="Microsoft YaHei UI" w:eastAsia="Microsoft YaHei UI" w:cs="Microsoft YaHei UI"/>
          <w:i w:val="0"/>
          <w:iCs w:val="0"/>
          <w:caps w:val="0"/>
          <w:color w:val="CD0202"/>
          <w:spacing w:val="8"/>
          <w:kern w:val="0"/>
          <w:sz w:val="60"/>
          <w:szCs w:val="60"/>
          <w:shd w:val="clear" w:fill="FFFFFF"/>
          <w:lang w:val="en-US" w:eastAsia="zh-CN" w:bidi="ar"/>
        </w:rPr>
        <w:t>01 </w:t>
      </w:r>
      <w:r>
        <w:rPr>
          <w:rStyle w:val="14"/>
          <w:rFonts w:hint="eastAsia" w:ascii="宋体" w:hAnsi="宋体" w:eastAsia="宋体" w:cs="宋体"/>
          <w:color w:val="222222"/>
          <w:spacing w:val="30"/>
          <w:kern w:val="0"/>
          <w:sz w:val="28"/>
          <w:szCs w:val="28"/>
          <w:lang w:val="en-US" w:eastAsia="zh-CN" w:bidi="ar"/>
        </w:rPr>
        <w:t>营收：漱玉平民营收同比增长最快</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30"/>
          <w:sz w:val="28"/>
          <w:szCs w:val="28"/>
        </w:rPr>
        <w:t>2022年上半年，六大民营上市连锁药店（下称“六大连锁”）营收稳中向好，增速同比均有所回升，主要得益于已有门店的内生增长及新开、行业并购而新增门店的业绩贡献。特别是Q2疫情稳定控制后，六大连锁的业绩增长环比有所改善。</w:t>
      </w:r>
    </w:p>
    <w:p>
      <w:pPr>
        <w:keepNext w:val="0"/>
        <w:keepLines w:val="0"/>
        <w:widowControl/>
        <w:suppressLineNumbers w:val="0"/>
        <w:spacing w:before="0" w:beforeAutospacing="0" w:after="0" w:afterAutospacing="0"/>
        <w:ind w:left="0" w:right="0" w:firstLine="680" w:firstLineChars="200"/>
        <w:jc w:val="left"/>
        <w:rPr>
          <w:sz w:val="28"/>
          <w:szCs w:val="28"/>
        </w:rPr>
      </w:pPr>
      <w:r>
        <w:rPr>
          <w:rFonts w:hint="eastAsia" w:ascii="宋体" w:hAnsi="宋体" w:eastAsia="宋体" w:cs="宋体"/>
          <w:color w:val="222222"/>
          <w:spacing w:val="30"/>
          <w:kern w:val="0"/>
          <w:sz w:val="28"/>
          <w:szCs w:val="28"/>
          <w:lang w:val="en-US" w:eastAsia="zh-CN" w:bidi="ar"/>
        </w:rPr>
        <w:t>其中，上半年，大参林营收接近百亿，稳居六大上市连锁药店之首。老百姓、益丰营收接近90亿元。从增速来看，漱玉平民的营收增长最快，同比增长达到36.73%，远高于同行可比公司。</w:t>
      </w:r>
      <w:r>
        <w:rPr>
          <w:rFonts w:hint="eastAsia" w:ascii="宋体" w:hAnsi="宋体" w:eastAsia="宋体" w:cs="宋体"/>
          <w:color w:val="222222"/>
          <w:kern w:val="0"/>
          <w:sz w:val="28"/>
          <w:szCs w:val="28"/>
          <w:lang w:val="en-US" w:eastAsia="zh-CN" w:bidi="ar"/>
        </w:rPr>
        <w:br w:type="textWrapping"/>
      </w:r>
      <w:r>
        <w:rPr>
          <w:rFonts w:ascii="宋体" w:hAnsi="宋体" w:eastAsia="宋体" w:cs="宋体"/>
          <w:color w:val="222222"/>
          <w:kern w:val="0"/>
          <w:sz w:val="25"/>
          <w:szCs w:val="25"/>
          <w:lang w:val="en-US" w:eastAsia="zh-CN" w:bidi="ar"/>
        </w:rPr>
        <w:drawing>
          <wp:inline distT="0" distB="0" distL="114300" distR="114300">
            <wp:extent cx="5278120" cy="771525"/>
            <wp:effectExtent l="0" t="0" r="17780" b="9525"/>
            <wp:docPr id="49" name="图片 4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3" descr="IMG_258"/>
                    <pic:cNvPicPr>
                      <a:picLocks noChangeAspect="1"/>
                    </pic:cNvPicPr>
                  </pic:nvPicPr>
                  <pic:blipFill>
                    <a:blip r:embed="rId19"/>
                    <a:stretch>
                      <a:fillRect/>
                    </a:stretch>
                  </pic:blipFill>
                  <pic:spPr>
                    <a:xfrm>
                      <a:off x="0" y="0"/>
                      <a:ext cx="5278120" cy="77152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888888"/>
          <w:spacing w:val="30"/>
          <w:kern w:val="0"/>
          <w:sz w:val="15"/>
          <w:szCs w:val="15"/>
          <w:lang w:val="en-US" w:eastAsia="zh-CN" w:bidi="ar"/>
        </w:rPr>
        <w:t>数据来源：上市连锁财报；制表：《第一药店财智》</w:t>
      </w:r>
      <w:r>
        <w:rPr>
          <w:rFonts w:ascii="宋体" w:hAnsi="宋体" w:eastAsia="宋体" w:cs="宋体"/>
          <w:color w:val="222222"/>
          <w:kern w:val="0"/>
          <w:sz w:val="25"/>
          <w:szCs w:val="25"/>
          <w:lang w:val="en-US" w:eastAsia="zh-CN" w:bidi="ar"/>
        </w:rPr>
        <w:br w:type="textWrapping"/>
      </w:r>
      <w:r>
        <w:rPr>
          <w:rStyle w:val="14"/>
          <w:rFonts w:ascii="宋体" w:hAnsi="宋体" w:eastAsia="宋体" w:cs="宋体"/>
          <w:color w:val="021EAA"/>
          <w:spacing w:val="30"/>
          <w:kern w:val="0"/>
          <w:sz w:val="28"/>
          <w:szCs w:val="28"/>
          <w:lang w:val="en-US" w:eastAsia="zh-CN" w:bidi="ar"/>
        </w:rPr>
        <w:t>归母净利润：健之佳、一心堂同比下滑</w:t>
      </w:r>
      <w:r>
        <w:rPr>
          <w:rFonts w:ascii="宋体" w:hAnsi="宋体" w:eastAsia="宋体" w:cs="宋体"/>
          <w:color w:val="222222"/>
          <w:kern w:val="0"/>
          <w:sz w:val="28"/>
          <w:szCs w:val="28"/>
          <w:lang w:val="en-US" w:eastAsia="zh-CN" w:bidi="ar"/>
        </w:rPr>
        <w:br w:type="textWrapping"/>
      </w:r>
      <w:r>
        <w:rPr>
          <w:rFonts w:hint="eastAsia" w:ascii="宋体" w:hAnsi="宋体" w:cs="宋体"/>
          <w:color w:val="222222"/>
          <w:kern w:val="0"/>
          <w:sz w:val="28"/>
          <w:szCs w:val="28"/>
          <w:lang w:val="en-US" w:eastAsia="zh-CN" w:bidi="ar"/>
        </w:rPr>
        <w:t xml:space="preserve">    </w:t>
      </w:r>
      <w:r>
        <w:rPr>
          <w:rFonts w:ascii="宋体" w:hAnsi="宋体" w:eastAsia="宋体" w:cs="宋体"/>
          <w:color w:val="222222"/>
          <w:spacing w:val="30"/>
          <w:kern w:val="0"/>
          <w:sz w:val="28"/>
          <w:szCs w:val="28"/>
          <w:lang w:val="en-US" w:eastAsia="zh-CN" w:bidi="ar"/>
        </w:rPr>
        <w:t>在归母净利润方面，各家连锁同比增幅涨跌不一，且受疫情影响“四类药”销售承压明显，其中一心堂受新冠疫情影响，同期归母净利润为4.18亿元，同比下降20.16%。健之佳归属于上市公司股东的净利润8799.7万元，同比下降28.16%。</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0"/>
        <w:jc w:val="both"/>
        <w:rPr>
          <w:rFonts w:hint="eastAsia" w:ascii="Microsoft YaHei UI" w:hAnsi="Microsoft YaHei UI" w:eastAsia="Microsoft YaHei UI" w:cs="Microsoft YaHei UI"/>
          <w:i w:val="0"/>
          <w:iCs w:val="0"/>
          <w:caps w:val="0"/>
          <w:color w:val="333333"/>
          <w:spacing w:val="0"/>
          <w:sz w:val="25"/>
          <w:szCs w:val="25"/>
        </w:rPr>
      </w:pPr>
      <w:r>
        <w:rPr>
          <w:rFonts w:hint="eastAsia" w:ascii="Microsoft YaHei UI" w:hAnsi="Microsoft YaHei UI" w:eastAsia="Microsoft YaHei UI" w:cs="Microsoft YaHei UI"/>
          <w:i w:val="0"/>
          <w:iCs w:val="0"/>
          <w:caps w:val="0"/>
          <w:color w:val="333333"/>
          <w:spacing w:val="0"/>
          <w:sz w:val="25"/>
          <w:szCs w:val="25"/>
        </w:rPr>
        <w:drawing>
          <wp:inline distT="0" distB="0" distL="114300" distR="114300">
            <wp:extent cx="5207635" cy="790575"/>
            <wp:effectExtent l="0" t="0" r="12065" b="9525"/>
            <wp:docPr id="50" name="图片 4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4" descr="IMG_259"/>
                    <pic:cNvPicPr>
                      <a:picLocks noChangeAspect="1"/>
                    </pic:cNvPicPr>
                  </pic:nvPicPr>
                  <pic:blipFill>
                    <a:blip r:embed="rId20"/>
                    <a:stretch>
                      <a:fillRect/>
                    </a:stretch>
                  </pic:blipFill>
                  <pic:spPr>
                    <a:xfrm>
                      <a:off x="0" y="0"/>
                      <a:ext cx="5207635" cy="79057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rPr>
          <w:rFonts w:ascii="宋体" w:hAnsi="宋体" w:eastAsia="宋体" w:cs="宋体"/>
          <w:color w:val="222222"/>
          <w:kern w:val="0"/>
          <w:sz w:val="25"/>
          <w:szCs w:val="25"/>
          <w:lang w:val="en-US" w:eastAsia="zh-CN" w:bidi="ar"/>
        </w:rPr>
      </w:pPr>
      <w:r>
        <w:rPr>
          <w:rFonts w:hint="eastAsia" w:ascii="Microsoft YaHei UI" w:hAnsi="Microsoft YaHei UI" w:eastAsia="Microsoft YaHei UI" w:cs="Microsoft YaHei UI"/>
          <w:i w:val="0"/>
          <w:iCs w:val="0"/>
          <w:caps w:val="0"/>
          <w:color w:val="888888"/>
          <w:spacing w:val="30"/>
          <w:kern w:val="0"/>
          <w:sz w:val="15"/>
          <w:szCs w:val="15"/>
          <w:lang w:val="en-US" w:eastAsia="zh-CN" w:bidi="ar"/>
        </w:rPr>
        <w:t>数据来源：上市连锁财报；制表：《第一药店财智》</w:t>
      </w:r>
      <w:r>
        <w:rPr>
          <w:rFonts w:ascii="宋体" w:hAnsi="宋体" w:eastAsia="宋体" w:cs="宋体"/>
          <w:color w:val="222222"/>
          <w:kern w:val="0"/>
          <w:sz w:val="25"/>
          <w:szCs w:val="25"/>
          <w:lang w:val="en-US" w:eastAsia="zh-CN" w:bidi="ar"/>
        </w:rPr>
        <w:br w:type="textWrapping"/>
      </w:r>
    </w:p>
    <w:p>
      <w:pPr>
        <w:keepNext w:val="0"/>
        <w:keepLines w:val="0"/>
        <w:widowControl/>
        <w:suppressLineNumbers w:val="0"/>
        <w:spacing w:before="0" w:beforeAutospacing="0" w:after="0" w:afterAutospacing="0"/>
        <w:ind w:left="0" w:right="0" w:firstLine="680" w:firstLineChars="200"/>
        <w:jc w:val="left"/>
        <w:rPr>
          <w:rFonts w:hint="eastAsia" w:ascii="宋体" w:hAnsi="宋体" w:eastAsia="宋体" w:cs="宋体"/>
          <w:i w:val="0"/>
          <w:iCs w:val="0"/>
          <w:caps w:val="0"/>
          <w:color w:val="333333"/>
          <w:spacing w:val="0"/>
          <w:sz w:val="28"/>
          <w:szCs w:val="28"/>
        </w:rPr>
      </w:pPr>
      <w:r>
        <w:rPr>
          <w:rFonts w:hint="eastAsia" w:ascii="宋体" w:hAnsi="宋体" w:eastAsia="宋体" w:cs="宋体"/>
          <w:color w:val="222222"/>
          <w:spacing w:val="30"/>
          <w:kern w:val="0"/>
          <w:sz w:val="28"/>
          <w:szCs w:val="28"/>
          <w:lang w:val="en-US" w:eastAsia="zh-CN" w:bidi="ar"/>
        </w:rPr>
        <w:t>面对净利润下滑，健之佳表示，面对不确定性显著上升的客观环境，公司前期门店自建规模持续、快速扩张导致新店、次新店占比高，培育期内短期业绩压力增加，带动期间费用刚性增长，且期间费用增幅36.64%，远高于营收26.34%增幅，导致扣非净利润较去年同期下降。</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30"/>
          <w:sz w:val="28"/>
          <w:szCs w:val="28"/>
        </w:rPr>
        <w:t>一心堂指出，2022年第一季度，在配合精准防控的背景下，不定期对退烧、止咳、抗病毒、抗生素四类药品下架管控，导致第一季度阶段性停业的门店近500家，被隔离员工630人，涉及相关药品下架的门店数为2146家。种种情况，对一心堂2022年第一季度业绩、门店人流、经营品种造成影响。不过，由于第二季度末疫情反扑的有效控制，一心堂停业门店在2季度绝大部分得以恢复。截至2022年第二季度，一心堂因疫情影响未能恢复营业的门店6家，仅占门店总数0.07%，涉及一退两抗下架暂未恢复的门店有37家，仅占门店总数的0.41%。</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30"/>
          <w:sz w:val="28"/>
          <w:szCs w:val="28"/>
        </w:rPr>
        <w:t>不过，随着疫情管控更为科学精准，全国大部分地区已经恢复“四类药”在药店渠道销售，上市公司经营情况下半年恢复将更为明显。</w:t>
      </w:r>
    </w:p>
    <w:p>
      <w:pPr>
        <w:keepNext w:val="0"/>
        <w:keepLines w:val="0"/>
        <w:widowControl/>
        <w:suppressLineNumbers w:val="0"/>
        <w:spacing w:before="0" w:beforeAutospacing="0" w:after="0" w:afterAutospacing="0"/>
        <w:ind w:left="0" w:right="0"/>
        <w:jc w:val="left"/>
        <w:rPr>
          <w:rFonts w:hint="eastAsia" w:ascii="宋体" w:hAnsi="宋体" w:eastAsia="宋体" w:cs="宋体"/>
          <w:sz w:val="28"/>
          <w:szCs w:val="28"/>
        </w:rPr>
      </w:pPr>
      <w:r>
        <w:rPr>
          <w:rFonts w:hint="eastAsia" w:ascii="宋体" w:hAnsi="宋体" w:eastAsia="宋体" w:cs="宋体"/>
          <w:color w:val="222222"/>
          <w:kern w:val="0"/>
          <w:sz w:val="28"/>
          <w:szCs w:val="28"/>
          <w:lang w:val="en-US" w:eastAsia="zh-CN" w:bidi="ar"/>
        </w:rPr>
        <w:br w:type="textWrapping"/>
      </w:r>
      <w:r>
        <w:rPr>
          <w:rFonts w:hint="eastAsia" w:ascii="Microsoft YaHei UI" w:hAnsi="Microsoft YaHei UI" w:eastAsia="Microsoft YaHei UI" w:cs="Microsoft YaHei UI"/>
          <w:i w:val="0"/>
          <w:iCs w:val="0"/>
          <w:caps w:val="0"/>
          <w:color w:val="222222"/>
          <w:spacing w:val="30"/>
          <w:kern w:val="0"/>
          <w:sz w:val="22"/>
          <w:szCs w:val="22"/>
          <w:shd w:val="clear" w:fill="FFFFFF"/>
          <w:lang w:val="en-US" w:eastAsia="zh-CN" w:bidi="ar"/>
        </w:rPr>
        <w:t> </w:t>
      </w:r>
      <w:r>
        <w:rPr>
          <w:rStyle w:val="14"/>
          <w:rFonts w:hint="eastAsia" w:ascii="Microsoft YaHei UI" w:hAnsi="Microsoft YaHei UI" w:eastAsia="Microsoft YaHei UI" w:cs="Microsoft YaHei UI"/>
          <w:i w:val="0"/>
          <w:iCs w:val="0"/>
          <w:caps w:val="0"/>
          <w:color w:val="CD0202"/>
          <w:spacing w:val="8"/>
          <w:kern w:val="0"/>
          <w:sz w:val="60"/>
          <w:szCs w:val="60"/>
          <w:shd w:val="clear" w:fill="FFFFFF"/>
          <w:lang w:val="en-US" w:eastAsia="zh-CN" w:bidi="ar"/>
        </w:rPr>
        <w:t>02 </w:t>
      </w:r>
      <w:r>
        <w:rPr>
          <w:rStyle w:val="14"/>
          <w:rFonts w:hint="eastAsia" w:ascii="宋体" w:hAnsi="宋体" w:eastAsia="宋体" w:cs="宋体"/>
          <w:color w:val="222222"/>
          <w:spacing w:val="30"/>
          <w:kern w:val="0"/>
          <w:sz w:val="28"/>
          <w:szCs w:val="28"/>
          <w:lang w:val="en-US" w:eastAsia="zh-CN" w:bidi="ar"/>
        </w:rPr>
        <w:t>门店数：老百姓破万，益丰、一心堂破万可期</w:t>
      </w:r>
      <w:r>
        <w:rPr>
          <w:rFonts w:hint="eastAsia" w:ascii="宋体" w:hAnsi="宋体" w:eastAsia="宋体" w:cs="宋体"/>
          <w:color w:val="222222"/>
          <w:kern w:val="0"/>
          <w:sz w:val="28"/>
          <w:szCs w:val="28"/>
          <w:lang w:val="en-US" w:eastAsia="zh-CN" w:bidi="ar"/>
        </w:rPr>
        <w:br w:type="textWrapping"/>
      </w:r>
      <w:r>
        <w:rPr>
          <w:rFonts w:hint="eastAsia" w:ascii="宋体" w:hAnsi="宋体" w:cs="宋体"/>
          <w:color w:val="222222"/>
          <w:kern w:val="0"/>
          <w:sz w:val="28"/>
          <w:szCs w:val="28"/>
          <w:lang w:val="en-US" w:eastAsia="zh-CN" w:bidi="ar"/>
        </w:rPr>
        <w:t xml:space="preserve">     </w:t>
      </w:r>
      <w:r>
        <w:rPr>
          <w:rFonts w:hint="eastAsia" w:ascii="宋体" w:hAnsi="宋体" w:eastAsia="宋体" w:cs="宋体"/>
          <w:color w:val="222222"/>
          <w:spacing w:val="30"/>
          <w:kern w:val="0"/>
          <w:sz w:val="28"/>
          <w:szCs w:val="28"/>
          <w:lang w:val="en-US" w:eastAsia="zh-CN" w:bidi="ar"/>
        </w:rPr>
        <w:t>为了在承压日重的大环境下提升自身综合竞争力，六大连锁在门店布局上，无一不继续保持扩张态势。</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right="120" w:firstLine="680" w:firstLineChars="200"/>
        <w:jc w:val="both"/>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30"/>
          <w:sz w:val="28"/>
          <w:szCs w:val="28"/>
        </w:rPr>
        <w:t>截至2022年上半年，老百姓门店数率先破万，达10009家。一心堂、益丰不遑多让，门店总数分别为8990家、9200家，按照两家企业上半年各自净增430家、1391家门店的扩张速度来看，破万指日可待。</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0"/>
        <w:jc w:val="both"/>
        <w:rPr>
          <w:rFonts w:hint="eastAsia" w:ascii="Microsoft YaHei UI" w:hAnsi="Microsoft YaHei UI" w:eastAsia="Microsoft YaHei UI" w:cs="Microsoft YaHei UI"/>
          <w:i w:val="0"/>
          <w:iCs w:val="0"/>
          <w:caps w:val="0"/>
          <w:color w:val="333333"/>
          <w:spacing w:val="0"/>
          <w:sz w:val="25"/>
          <w:szCs w:val="25"/>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20" w:right="120" w:firstLine="0"/>
        <w:jc w:val="center"/>
        <w:rPr>
          <w:rFonts w:hint="eastAsia" w:ascii="Microsoft YaHei UI" w:hAnsi="Microsoft YaHei UI" w:eastAsia="Microsoft YaHei UI" w:cs="Microsoft YaHei UI"/>
          <w:i w:val="0"/>
          <w:iCs w:val="0"/>
          <w:caps w:val="0"/>
          <w:color w:val="333333"/>
          <w:spacing w:val="0"/>
          <w:sz w:val="25"/>
          <w:szCs w:val="25"/>
        </w:rPr>
      </w:pPr>
      <w:r>
        <w:rPr>
          <w:rFonts w:hint="eastAsia" w:ascii="Microsoft YaHei UI" w:hAnsi="Microsoft YaHei UI" w:eastAsia="Microsoft YaHei UI" w:cs="Microsoft YaHei UI"/>
          <w:i w:val="0"/>
          <w:iCs w:val="0"/>
          <w:caps w:val="0"/>
          <w:color w:val="333333"/>
          <w:spacing w:val="0"/>
          <w:sz w:val="25"/>
          <w:szCs w:val="25"/>
        </w:rPr>
        <w:drawing>
          <wp:inline distT="0" distB="0" distL="114300" distR="114300">
            <wp:extent cx="5191125" cy="908685"/>
            <wp:effectExtent l="0" t="0" r="9525" b="5715"/>
            <wp:docPr id="51" name="图片 4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5" descr="IMG_260"/>
                    <pic:cNvPicPr>
                      <a:picLocks noChangeAspect="1"/>
                    </pic:cNvPicPr>
                  </pic:nvPicPr>
                  <pic:blipFill>
                    <a:blip r:embed="rId21"/>
                    <a:stretch>
                      <a:fillRect/>
                    </a:stretch>
                  </pic:blipFill>
                  <pic:spPr>
                    <a:xfrm>
                      <a:off x="0" y="0"/>
                      <a:ext cx="5191125" cy="90868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20" w:right="120" w:firstLine="0"/>
        <w:jc w:val="left"/>
        <w:rPr>
          <w:rFonts w:hint="eastAsia" w:ascii="Microsoft YaHei UI" w:hAnsi="Microsoft YaHei UI" w:eastAsia="Microsoft YaHei UI" w:cs="Microsoft YaHei UI"/>
          <w:i w:val="0"/>
          <w:iCs w:val="0"/>
          <w:caps w:val="0"/>
          <w:color w:val="333333"/>
          <w:spacing w:val="0"/>
          <w:sz w:val="25"/>
          <w:szCs w:val="25"/>
        </w:rPr>
      </w:pPr>
      <w:r>
        <w:rPr>
          <w:rFonts w:hint="eastAsia" w:ascii="Microsoft YaHei UI" w:hAnsi="Microsoft YaHei UI" w:eastAsia="Microsoft YaHei UI" w:cs="Microsoft YaHei UI"/>
          <w:i w:val="0"/>
          <w:iCs w:val="0"/>
          <w:caps w:val="0"/>
          <w:color w:val="888888"/>
          <w:spacing w:val="30"/>
          <w:sz w:val="15"/>
          <w:szCs w:val="15"/>
        </w:rPr>
        <w:t>数据来源：上市连锁财报；制表：《第一药店财智》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0"/>
        <w:jc w:val="both"/>
        <w:rPr>
          <w:rFonts w:hint="eastAsia" w:ascii="Microsoft YaHei UI" w:hAnsi="Microsoft YaHei UI" w:eastAsia="Microsoft YaHei UI" w:cs="Microsoft YaHei UI"/>
          <w:i w:val="0"/>
          <w:iCs w:val="0"/>
          <w:caps w:val="0"/>
          <w:color w:val="333333"/>
          <w:spacing w:val="0"/>
          <w:sz w:val="25"/>
          <w:szCs w:val="25"/>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Microsoft YaHei UI" w:hAnsi="Microsoft YaHei UI" w:eastAsia="Microsoft YaHei UI" w:cs="Microsoft YaHei UI"/>
          <w:i w:val="0"/>
          <w:iCs w:val="0"/>
          <w:caps w:val="0"/>
          <w:color w:val="333333"/>
          <w:spacing w:val="0"/>
          <w:sz w:val="25"/>
          <w:szCs w:val="25"/>
        </w:rPr>
      </w:pPr>
      <w:r>
        <w:rPr>
          <w:rFonts w:hint="eastAsia" w:ascii="宋体" w:hAnsi="宋体" w:eastAsia="宋体" w:cs="宋体"/>
          <w:i w:val="0"/>
          <w:iCs w:val="0"/>
          <w:caps w:val="0"/>
          <w:color w:val="333333"/>
          <w:spacing w:val="30"/>
          <w:sz w:val="28"/>
          <w:szCs w:val="28"/>
        </w:rPr>
        <w:t>具体来看，截至2022上半年，老百姓新增门店1814家，包括1205家直营门店和609家加盟门店，总数为10009家，其中自营门店7254家。</w:t>
      </w:r>
    </w:p>
    <w:p>
      <w:pPr>
        <w:keepNext w:val="0"/>
        <w:keepLines w:val="0"/>
        <w:widowControl/>
        <w:suppressLineNumbers w:val="0"/>
        <w:spacing w:before="0" w:beforeAutospacing="0" w:after="0" w:afterAutospacing="0"/>
        <w:ind w:left="0" w:right="0"/>
        <w:jc w:val="left"/>
        <w:rPr>
          <w:rFonts w:ascii="宋体" w:hAnsi="宋体" w:eastAsia="宋体" w:cs="宋体"/>
          <w:color w:val="222222"/>
          <w:kern w:val="0"/>
          <w:sz w:val="25"/>
          <w:szCs w:val="25"/>
          <w:lang w:val="en-US" w:eastAsia="zh-CN" w:bidi="ar"/>
        </w:rPr>
      </w:pPr>
      <w:r>
        <w:rPr>
          <w:rFonts w:ascii="宋体" w:hAnsi="宋体" w:eastAsia="宋体" w:cs="宋体"/>
          <w:color w:val="222222"/>
          <w:kern w:val="0"/>
          <w:sz w:val="25"/>
          <w:szCs w:val="25"/>
          <w:lang w:val="en-US" w:eastAsia="zh-CN" w:bidi="ar"/>
        </w:rPr>
        <w:br w:type="textWrapping"/>
      </w:r>
      <w:r>
        <w:rPr>
          <w:rFonts w:ascii="宋体" w:hAnsi="宋体" w:eastAsia="宋体" w:cs="宋体"/>
          <w:color w:val="222222"/>
          <w:kern w:val="0"/>
          <w:sz w:val="25"/>
          <w:szCs w:val="25"/>
          <w:lang w:val="en-US" w:eastAsia="zh-CN" w:bidi="ar"/>
        </w:rPr>
        <w:drawing>
          <wp:inline distT="0" distB="0" distL="114300" distR="114300">
            <wp:extent cx="5287010" cy="1559560"/>
            <wp:effectExtent l="0" t="0" r="8890" b="2540"/>
            <wp:docPr id="52" name="图片 4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6" descr="IMG_261"/>
                    <pic:cNvPicPr>
                      <a:picLocks noChangeAspect="1"/>
                    </pic:cNvPicPr>
                  </pic:nvPicPr>
                  <pic:blipFill>
                    <a:blip r:embed="rId22"/>
                    <a:stretch>
                      <a:fillRect/>
                    </a:stretch>
                  </pic:blipFill>
                  <pic:spPr>
                    <a:xfrm>
                      <a:off x="0" y="0"/>
                      <a:ext cx="5287010" cy="1559560"/>
                    </a:xfrm>
                    <a:prstGeom prst="rect">
                      <a:avLst/>
                    </a:prstGeom>
                    <a:noFill/>
                    <a:ln w="9525">
                      <a:noFill/>
                    </a:ln>
                  </pic:spPr>
                </pic:pic>
              </a:graphicData>
            </a:graphic>
          </wp:inline>
        </w:drawing>
      </w:r>
      <w:r>
        <w:rPr>
          <w:rFonts w:ascii="宋体" w:hAnsi="宋体" w:eastAsia="宋体" w:cs="宋体"/>
          <w:color w:val="222222"/>
          <w:kern w:val="0"/>
          <w:sz w:val="25"/>
          <w:szCs w:val="25"/>
          <w:lang w:val="en-US" w:eastAsia="zh-CN" w:bidi="ar"/>
        </w:rPr>
        <w:br w:type="textWrapping"/>
      </w:r>
      <w:r>
        <w:rPr>
          <w:rFonts w:hint="eastAsia" w:ascii="宋体" w:hAnsi="宋体" w:cs="宋体"/>
          <w:color w:val="222222"/>
          <w:kern w:val="0"/>
          <w:sz w:val="25"/>
          <w:szCs w:val="25"/>
          <w:lang w:val="en-US" w:eastAsia="zh-CN" w:bidi="ar"/>
        </w:rPr>
        <w:t xml:space="preserve">      </w:t>
      </w:r>
      <w:r>
        <w:rPr>
          <w:rFonts w:ascii="宋体" w:hAnsi="宋体" w:eastAsia="宋体" w:cs="宋体"/>
          <w:color w:val="222222"/>
          <w:spacing w:val="30"/>
          <w:kern w:val="0"/>
          <w:sz w:val="28"/>
          <w:szCs w:val="28"/>
          <w:lang w:val="en-US" w:eastAsia="zh-CN" w:bidi="ar"/>
        </w:rPr>
        <w:t>一心堂持续开展市县乡一体化垂直渗透拓展，将区域市场做深做透。上半年净增门店430家，总数达8990家且均为直营门店。</w:t>
      </w:r>
      <w:r>
        <w:rPr>
          <w:rFonts w:ascii="宋体" w:hAnsi="宋体" w:eastAsia="宋体" w:cs="宋体"/>
          <w:color w:val="222222"/>
          <w:kern w:val="0"/>
          <w:sz w:val="25"/>
          <w:szCs w:val="25"/>
          <w:lang w:val="en-US" w:eastAsia="zh-CN" w:bidi="ar"/>
        </w:rPr>
        <w:br w:type="textWrapping"/>
      </w:r>
      <w:r>
        <w:rPr>
          <w:rFonts w:ascii="宋体" w:hAnsi="宋体" w:eastAsia="宋体" w:cs="宋体"/>
          <w:color w:val="222222"/>
          <w:kern w:val="0"/>
          <w:sz w:val="25"/>
          <w:szCs w:val="25"/>
          <w:lang w:val="en-US" w:eastAsia="zh-CN" w:bidi="ar"/>
        </w:rPr>
        <w:drawing>
          <wp:inline distT="0" distB="0" distL="114300" distR="114300">
            <wp:extent cx="5237480" cy="3013710"/>
            <wp:effectExtent l="0" t="0" r="1270" b="15240"/>
            <wp:docPr id="53" name="图片 4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7" descr="IMG_262"/>
                    <pic:cNvPicPr>
                      <a:picLocks noChangeAspect="1"/>
                    </pic:cNvPicPr>
                  </pic:nvPicPr>
                  <pic:blipFill>
                    <a:blip r:embed="rId23"/>
                    <a:stretch>
                      <a:fillRect/>
                    </a:stretch>
                  </pic:blipFill>
                  <pic:spPr>
                    <a:xfrm>
                      <a:off x="0" y="0"/>
                      <a:ext cx="5237480" cy="3013710"/>
                    </a:xfrm>
                    <a:prstGeom prst="rect">
                      <a:avLst/>
                    </a:prstGeom>
                    <a:noFill/>
                    <a:ln w="9525">
                      <a:noFill/>
                    </a:ln>
                  </pic:spPr>
                </pic:pic>
              </a:graphicData>
            </a:graphic>
          </wp:inline>
        </w:drawing>
      </w:r>
      <w:r>
        <w:rPr>
          <w:rFonts w:ascii="宋体" w:hAnsi="宋体" w:eastAsia="宋体" w:cs="宋体"/>
          <w:color w:val="222222"/>
          <w:kern w:val="0"/>
          <w:sz w:val="25"/>
          <w:szCs w:val="25"/>
          <w:lang w:val="en-US" w:eastAsia="zh-CN" w:bidi="ar"/>
        </w:rPr>
        <w:br w:type="textWrapping"/>
      </w:r>
      <w:r>
        <w:rPr>
          <w:rFonts w:hint="eastAsia" w:ascii="宋体" w:hAnsi="宋体" w:cs="宋体"/>
          <w:color w:val="222222"/>
          <w:kern w:val="0"/>
          <w:sz w:val="25"/>
          <w:szCs w:val="25"/>
          <w:lang w:val="en-US" w:eastAsia="zh-CN" w:bidi="ar"/>
        </w:rPr>
        <w:t xml:space="preserve">      </w:t>
      </w:r>
      <w:r>
        <w:rPr>
          <w:rFonts w:ascii="宋体" w:hAnsi="宋体" w:eastAsia="宋体" w:cs="宋体"/>
          <w:color w:val="222222"/>
          <w:spacing w:val="30"/>
          <w:kern w:val="0"/>
          <w:sz w:val="28"/>
          <w:szCs w:val="28"/>
          <w:lang w:val="en-US" w:eastAsia="zh-CN" w:bidi="ar"/>
        </w:rPr>
        <w:t>益丰则立足于中南华东华北市场，通过密集开店，形成旗舰店、区域中心店、中型社区店和小型社区店的多层次门店网络布局。截至上半年，益丰净增门店1391 家，总数达9200家，其中直营门店7684家。</w:t>
      </w:r>
      <w:r>
        <w:rPr>
          <w:rFonts w:ascii="宋体" w:hAnsi="宋体" w:eastAsia="宋体" w:cs="宋体"/>
          <w:color w:val="222222"/>
          <w:kern w:val="0"/>
          <w:sz w:val="28"/>
          <w:szCs w:val="28"/>
          <w:lang w:val="en-US" w:eastAsia="zh-CN" w:bidi="ar"/>
        </w:rPr>
        <w:br w:type="textWrapping"/>
      </w:r>
      <w:r>
        <w:rPr>
          <w:rFonts w:ascii="宋体" w:hAnsi="宋体" w:eastAsia="宋体" w:cs="宋体"/>
          <w:color w:val="222222"/>
          <w:kern w:val="0"/>
          <w:sz w:val="25"/>
          <w:szCs w:val="25"/>
          <w:lang w:val="en-US" w:eastAsia="zh-CN" w:bidi="ar"/>
        </w:rPr>
        <w:drawing>
          <wp:inline distT="0" distB="0" distL="114300" distR="114300">
            <wp:extent cx="5334635" cy="1368425"/>
            <wp:effectExtent l="0" t="0" r="18415" b="3175"/>
            <wp:docPr id="54" name="图片 4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8" descr="IMG_263"/>
                    <pic:cNvPicPr>
                      <a:picLocks noChangeAspect="1"/>
                    </pic:cNvPicPr>
                  </pic:nvPicPr>
                  <pic:blipFill>
                    <a:blip r:embed="rId24"/>
                    <a:stretch>
                      <a:fillRect/>
                    </a:stretch>
                  </pic:blipFill>
                  <pic:spPr>
                    <a:xfrm>
                      <a:off x="0" y="0"/>
                      <a:ext cx="5334635" cy="1368425"/>
                    </a:xfrm>
                    <a:prstGeom prst="rect">
                      <a:avLst/>
                    </a:prstGeom>
                    <a:noFill/>
                    <a:ln w="9525">
                      <a:noFill/>
                    </a:ln>
                  </pic:spPr>
                </pic:pic>
              </a:graphicData>
            </a:graphic>
          </wp:inline>
        </w:drawing>
      </w:r>
      <w:r>
        <w:rPr>
          <w:rFonts w:ascii="宋体" w:hAnsi="宋体" w:eastAsia="宋体" w:cs="宋体"/>
          <w:color w:val="222222"/>
          <w:kern w:val="0"/>
          <w:sz w:val="25"/>
          <w:szCs w:val="25"/>
          <w:lang w:val="en-US" w:eastAsia="zh-CN" w:bidi="ar"/>
        </w:rPr>
        <w:br w:type="textWrapping"/>
      </w:r>
    </w:p>
    <w:p>
      <w:pPr>
        <w:keepNext w:val="0"/>
        <w:keepLines w:val="0"/>
        <w:widowControl/>
        <w:suppressLineNumbers w:val="0"/>
        <w:spacing w:before="0" w:beforeAutospacing="0" w:after="0" w:afterAutospacing="0"/>
        <w:ind w:left="0" w:right="0" w:firstLine="680" w:firstLineChars="200"/>
        <w:jc w:val="left"/>
        <w:rPr>
          <w:rFonts w:ascii="宋体" w:hAnsi="宋体" w:eastAsia="宋体" w:cs="宋体"/>
          <w:color w:val="222222"/>
          <w:kern w:val="0"/>
          <w:sz w:val="25"/>
          <w:szCs w:val="25"/>
          <w:lang w:val="en-US" w:eastAsia="zh-CN" w:bidi="ar"/>
        </w:rPr>
      </w:pPr>
      <w:r>
        <w:rPr>
          <w:rFonts w:ascii="宋体" w:hAnsi="宋体" w:eastAsia="宋体" w:cs="宋体"/>
          <w:color w:val="222222"/>
          <w:spacing w:val="30"/>
          <w:kern w:val="0"/>
          <w:sz w:val="28"/>
          <w:szCs w:val="28"/>
          <w:lang w:val="en-US" w:eastAsia="zh-CN" w:bidi="ar"/>
        </w:rPr>
        <w:t>大参林在上半年新增自建门店194家，加盟门店441家，收购门店172家，门店覆盖全国15个省（含直辖市、自治区），总数已达8896家，其中加盟店数量为1376家。</w:t>
      </w:r>
      <w:r>
        <w:rPr>
          <w:rFonts w:ascii="宋体" w:hAnsi="宋体" w:eastAsia="宋体" w:cs="宋体"/>
          <w:color w:val="222222"/>
          <w:kern w:val="0"/>
          <w:sz w:val="25"/>
          <w:szCs w:val="25"/>
          <w:lang w:val="en-US" w:eastAsia="zh-CN" w:bidi="ar"/>
        </w:rPr>
        <w:br w:type="textWrapping"/>
      </w:r>
      <w:r>
        <w:rPr>
          <w:rFonts w:ascii="宋体" w:hAnsi="宋体" w:eastAsia="宋体" w:cs="宋体"/>
          <w:color w:val="222222"/>
          <w:kern w:val="0"/>
          <w:sz w:val="25"/>
          <w:szCs w:val="25"/>
          <w:lang w:val="en-US" w:eastAsia="zh-CN" w:bidi="ar"/>
        </w:rPr>
        <w:drawing>
          <wp:inline distT="0" distB="0" distL="114300" distR="114300">
            <wp:extent cx="5295900" cy="1911350"/>
            <wp:effectExtent l="0" t="0" r="0" b="12700"/>
            <wp:docPr id="55" name="图片 4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9" descr="IMG_264"/>
                    <pic:cNvPicPr>
                      <a:picLocks noChangeAspect="1"/>
                    </pic:cNvPicPr>
                  </pic:nvPicPr>
                  <pic:blipFill>
                    <a:blip r:embed="rId25"/>
                    <a:stretch>
                      <a:fillRect/>
                    </a:stretch>
                  </pic:blipFill>
                  <pic:spPr>
                    <a:xfrm>
                      <a:off x="0" y="0"/>
                      <a:ext cx="5295900" cy="1911350"/>
                    </a:xfrm>
                    <a:prstGeom prst="rect">
                      <a:avLst/>
                    </a:prstGeom>
                    <a:noFill/>
                    <a:ln w="9525">
                      <a:noFill/>
                    </a:ln>
                  </pic:spPr>
                </pic:pic>
              </a:graphicData>
            </a:graphic>
          </wp:inline>
        </w:drawing>
      </w:r>
      <w:r>
        <w:rPr>
          <w:rFonts w:ascii="宋体" w:hAnsi="宋体" w:eastAsia="宋体" w:cs="宋体"/>
          <w:color w:val="222222"/>
          <w:kern w:val="0"/>
          <w:sz w:val="25"/>
          <w:szCs w:val="25"/>
          <w:lang w:val="en-US" w:eastAsia="zh-CN" w:bidi="ar"/>
        </w:rPr>
        <w:br w:type="textWrapping"/>
      </w:r>
      <w:r>
        <w:rPr>
          <w:rFonts w:hint="eastAsia" w:ascii="宋体" w:hAnsi="宋体" w:cs="宋体"/>
          <w:color w:val="222222"/>
          <w:kern w:val="0"/>
          <w:sz w:val="25"/>
          <w:szCs w:val="25"/>
          <w:lang w:val="en-US" w:eastAsia="zh-CN" w:bidi="ar"/>
        </w:rPr>
        <w:t xml:space="preserve">      </w:t>
      </w:r>
      <w:r>
        <w:rPr>
          <w:rFonts w:ascii="宋体" w:hAnsi="宋体" w:eastAsia="宋体" w:cs="宋体"/>
          <w:color w:val="222222"/>
          <w:spacing w:val="30"/>
          <w:kern w:val="0"/>
          <w:sz w:val="28"/>
          <w:szCs w:val="28"/>
          <w:lang w:val="en-US" w:eastAsia="zh-CN" w:bidi="ar"/>
        </w:rPr>
        <w:t>健之佳上半年自建门店202家，收购51家，调整关闭14家，净增门店239家，门店总数达到3283家。尤其在完成对唐人的收购后，将持续推进、深化西南地区拓展进度。</w:t>
      </w:r>
      <w:r>
        <w:rPr>
          <w:rFonts w:ascii="宋体" w:hAnsi="宋体" w:eastAsia="宋体" w:cs="宋体"/>
          <w:color w:val="222222"/>
          <w:kern w:val="0"/>
          <w:sz w:val="25"/>
          <w:szCs w:val="25"/>
          <w:lang w:val="en-US" w:eastAsia="zh-CN" w:bidi="ar"/>
        </w:rPr>
        <w:br w:type="textWrapping"/>
      </w:r>
      <w:r>
        <w:rPr>
          <w:rFonts w:ascii="宋体" w:hAnsi="宋体" w:eastAsia="宋体" w:cs="宋体"/>
          <w:color w:val="222222"/>
          <w:kern w:val="0"/>
          <w:sz w:val="25"/>
          <w:szCs w:val="25"/>
          <w:lang w:val="en-US" w:eastAsia="zh-CN" w:bidi="ar"/>
        </w:rPr>
        <w:drawing>
          <wp:inline distT="0" distB="0" distL="114300" distR="114300">
            <wp:extent cx="5293995" cy="1753235"/>
            <wp:effectExtent l="0" t="0" r="1905" b="18415"/>
            <wp:docPr id="56" name="图片 5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0" descr="IMG_265"/>
                    <pic:cNvPicPr>
                      <a:picLocks noChangeAspect="1"/>
                    </pic:cNvPicPr>
                  </pic:nvPicPr>
                  <pic:blipFill>
                    <a:blip r:embed="rId26"/>
                    <a:stretch>
                      <a:fillRect/>
                    </a:stretch>
                  </pic:blipFill>
                  <pic:spPr>
                    <a:xfrm>
                      <a:off x="0" y="0"/>
                      <a:ext cx="5293995" cy="1753235"/>
                    </a:xfrm>
                    <a:prstGeom prst="rect">
                      <a:avLst/>
                    </a:prstGeom>
                    <a:noFill/>
                    <a:ln w="9525">
                      <a:noFill/>
                    </a:ln>
                  </pic:spPr>
                </pic:pic>
              </a:graphicData>
            </a:graphic>
          </wp:inline>
        </w:drawing>
      </w:r>
      <w:r>
        <w:rPr>
          <w:rFonts w:ascii="宋体" w:hAnsi="宋体" w:eastAsia="宋体" w:cs="宋体"/>
          <w:color w:val="222222"/>
          <w:kern w:val="0"/>
          <w:sz w:val="25"/>
          <w:szCs w:val="25"/>
          <w:lang w:val="en-US" w:eastAsia="zh-CN" w:bidi="ar"/>
        </w:rPr>
        <w:br w:type="textWrapping"/>
      </w:r>
      <w:r>
        <w:rPr>
          <w:rFonts w:hint="eastAsia" w:ascii="宋体" w:hAnsi="宋体" w:cs="宋体"/>
          <w:color w:val="222222"/>
          <w:kern w:val="0"/>
          <w:sz w:val="25"/>
          <w:szCs w:val="25"/>
          <w:lang w:val="en-US" w:eastAsia="zh-CN" w:bidi="ar"/>
        </w:rPr>
        <w:t xml:space="preserve">      </w:t>
      </w:r>
      <w:r>
        <w:rPr>
          <w:rFonts w:ascii="宋体" w:hAnsi="宋体" w:eastAsia="宋体" w:cs="宋体"/>
          <w:color w:val="222222"/>
          <w:spacing w:val="30"/>
          <w:kern w:val="0"/>
          <w:sz w:val="28"/>
          <w:szCs w:val="28"/>
          <w:lang w:val="en-US" w:eastAsia="zh-CN" w:bidi="ar"/>
        </w:rPr>
        <w:t>漱玉平民2022上半年新建直营门店174家，并购门店225家，目前在山东、辽宁、福建等地区共拥有门店4009家，其中直营门店数量2970家。</w:t>
      </w:r>
      <w:r>
        <w:rPr>
          <w:rFonts w:ascii="宋体" w:hAnsi="宋体" w:eastAsia="宋体" w:cs="宋体"/>
          <w:color w:val="222222"/>
          <w:kern w:val="0"/>
          <w:sz w:val="28"/>
          <w:szCs w:val="28"/>
          <w:lang w:val="en-US" w:eastAsia="zh-CN" w:bidi="ar"/>
        </w:rPr>
        <w:br w:type="textWrapping"/>
      </w:r>
      <w:r>
        <w:rPr>
          <w:rFonts w:ascii="宋体" w:hAnsi="宋体" w:eastAsia="宋体" w:cs="宋体"/>
          <w:color w:val="222222"/>
          <w:kern w:val="0"/>
          <w:sz w:val="25"/>
          <w:szCs w:val="25"/>
          <w:lang w:val="en-US" w:eastAsia="zh-CN" w:bidi="ar"/>
        </w:rPr>
        <w:drawing>
          <wp:inline distT="0" distB="0" distL="114300" distR="114300">
            <wp:extent cx="5335270" cy="1746885"/>
            <wp:effectExtent l="0" t="0" r="17780" b="5715"/>
            <wp:docPr id="57" name="图片 5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1" descr="IMG_266"/>
                    <pic:cNvPicPr>
                      <a:picLocks noChangeAspect="1"/>
                    </pic:cNvPicPr>
                  </pic:nvPicPr>
                  <pic:blipFill>
                    <a:blip r:embed="rId27"/>
                    <a:stretch>
                      <a:fillRect/>
                    </a:stretch>
                  </pic:blipFill>
                  <pic:spPr>
                    <a:xfrm>
                      <a:off x="0" y="0"/>
                      <a:ext cx="5335270" cy="1746885"/>
                    </a:xfrm>
                    <a:prstGeom prst="rect">
                      <a:avLst/>
                    </a:prstGeom>
                    <a:noFill/>
                    <a:ln w="9525">
                      <a:noFill/>
                    </a:ln>
                  </pic:spPr>
                </pic:pic>
              </a:graphicData>
            </a:graphic>
          </wp:inline>
        </w:drawing>
      </w:r>
      <w:r>
        <w:rPr>
          <w:rFonts w:ascii="宋体" w:hAnsi="宋体" w:eastAsia="宋体" w:cs="宋体"/>
          <w:color w:val="222222"/>
          <w:kern w:val="0"/>
          <w:sz w:val="25"/>
          <w:szCs w:val="25"/>
          <w:lang w:val="en-US" w:eastAsia="zh-CN" w:bidi="ar"/>
        </w:rPr>
        <w:br w:type="textWrapping"/>
      </w:r>
    </w:p>
    <w:p>
      <w:pPr>
        <w:keepNext w:val="0"/>
        <w:keepLines w:val="0"/>
        <w:widowControl/>
        <w:suppressLineNumbers w:val="0"/>
        <w:spacing w:before="0" w:beforeAutospacing="0" w:after="0" w:afterAutospacing="0"/>
        <w:ind w:right="0" w:firstLine="680" w:firstLineChars="200"/>
        <w:jc w:val="left"/>
        <w:rPr>
          <w:rFonts w:ascii="宋体" w:hAnsi="宋体" w:eastAsia="宋体" w:cs="宋体"/>
          <w:color w:val="222222"/>
          <w:kern w:val="0"/>
          <w:sz w:val="25"/>
          <w:szCs w:val="25"/>
          <w:lang w:val="en-US" w:eastAsia="zh-CN" w:bidi="ar"/>
        </w:rPr>
      </w:pPr>
      <w:r>
        <w:rPr>
          <w:rFonts w:ascii="宋体" w:hAnsi="宋体" w:eastAsia="宋体" w:cs="宋体"/>
          <w:color w:val="222222"/>
          <w:spacing w:val="30"/>
          <w:kern w:val="0"/>
          <w:sz w:val="28"/>
          <w:szCs w:val="28"/>
          <w:lang w:val="en-US" w:eastAsia="zh-CN" w:bidi="ar"/>
        </w:rPr>
        <w:t>在市场布局上，与门店数紧密相关的一个数据是门店坪效。</w:t>
      </w:r>
      <w:r>
        <w:rPr>
          <w:rFonts w:ascii="宋体" w:hAnsi="宋体" w:eastAsia="宋体" w:cs="宋体"/>
          <w:color w:val="222222"/>
          <w:kern w:val="0"/>
          <w:sz w:val="28"/>
          <w:szCs w:val="28"/>
          <w:lang w:val="en-US" w:eastAsia="zh-CN" w:bidi="ar"/>
        </w:rPr>
        <w:br w:type="textWrapping"/>
      </w:r>
      <w:r>
        <w:rPr>
          <w:rFonts w:hint="eastAsia" w:ascii="宋体" w:hAnsi="宋体" w:cs="宋体"/>
          <w:color w:val="222222"/>
          <w:kern w:val="0"/>
          <w:sz w:val="28"/>
          <w:szCs w:val="28"/>
          <w:lang w:val="en-US" w:eastAsia="zh-CN" w:bidi="ar"/>
        </w:rPr>
        <w:t xml:space="preserve">     </w:t>
      </w:r>
      <w:r>
        <w:rPr>
          <w:rFonts w:ascii="宋体" w:hAnsi="宋体" w:eastAsia="宋体" w:cs="宋体"/>
          <w:color w:val="222222"/>
          <w:spacing w:val="30"/>
          <w:kern w:val="0"/>
          <w:sz w:val="28"/>
          <w:szCs w:val="28"/>
          <w:lang w:val="en-US" w:eastAsia="zh-CN" w:bidi="ar"/>
        </w:rPr>
        <w:t>老百姓指出，由于新开门店注重下沉市场，新增门店中地级市及以下门店占比89%，导致坪效有所下降，日均坪效为58元/平方米。不过旗舰店的坪效亮眼，为232元/平方米。</w:t>
      </w:r>
      <w:r>
        <w:rPr>
          <w:rFonts w:ascii="宋体" w:hAnsi="宋体" w:eastAsia="宋体" w:cs="宋体"/>
          <w:color w:val="222222"/>
          <w:kern w:val="0"/>
          <w:sz w:val="25"/>
          <w:szCs w:val="25"/>
          <w:lang w:val="en-US" w:eastAsia="zh-CN" w:bidi="ar"/>
        </w:rPr>
        <w:br w:type="textWrapping"/>
      </w:r>
      <w:r>
        <w:rPr>
          <w:rFonts w:ascii="宋体" w:hAnsi="宋体" w:eastAsia="宋体" w:cs="宋体"/>
          <w:color w:val="222222"/>
          <w:kern w:val="0"/>
          <w:sz w:val="25"/>
          <w:szCs w:val="25"/>
          <w:lang w:val="en-US" w:eastAsia="zh-CN" w:bidi="ar"/>
        </w:rPr>
        <w:drawing>
          <wp:inline distT="0" distB="0" distL="114300" distR="114300">
            <wp:extent cx="5344795" cy="1311910"/>
            <wp:effectExtent l="0" t="0" r="8255" b="2540"/>
            <wp:docPr id="58" name="图片 5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2" descr="IMG_267"/>
                    <pic:cNvPicPr>
                      <a:picLocks noChangeAspect="1"/>
                    </pic:cNvPicPr>
                  </pic:nvPicPr>
                  <pic:blipFill>
                    <a:blip r:embed="rId28"/>
                    <a:stretch>
                      <a:fillRect/>
                    </a:stretch>
                  </pic:blipFill>
                  <pic:spPr>
                    <a:xfrm>
                      <a:off x="0" y="0"/>
                      <a:ext cx="5344795" cy="1311910"/>
                    </a:xfrm>
                    <a:prstGeom prst="rect">
                      <a:avLst/>
                    </a:prstGeom>
                    <a:noFill/>
                    <a:ln w="9525">
                      <a:noFill/>
                    </a:ln>
                  </pic:spPr>
                </pic:pic>
              </a:graphicData>
            </a:graphic>
          </wp:inline>
        </w:drawing>
      </w:r>
      <w:r>
        <w:rPr>
          <w:rFonts w:ascii="宋体" w:hAnsi="宋体" w:eastAsia="宋体" w:cs="宋体"/>
          <w:color w:val="222222"/>
          <w:kern w:val="0"/>
          <w:sz w:val="25"/>
          <w:szCs w:val="25"/>
          <w:lang w:val="en-US" w:eastAsia="zh-CN" w:bidi="ar"/>
        </w:rPr>
        <w:br w:type="textWrapping"/>
      </w:r>
      <w:r>
        <w:rPr>
          <w:rFonts w:hint="eastAsia" w:ascii="宋体" w:hAnsi="宋体" w:cs="宋体"/>
          <w:color w:val="222222"/>
          <w:kern w:val="0"/>
          <w:sz w:val="25"/>
          <w:szCs w:val="25"/>
          <w:lang w:val="en-US" w:eastAsia="zh-CN" w:bidi="ar"/>
        </w:rPr>
        <w:t xml:space="preserve">      </w:t>
      </w:r>
      <w:r>
        <w:rPr>
          <w:rFonts w:ascii="宋体" w:hAnsi="宋体" w:eastAsia="宋体" w:cs="宋体"/>
          <w:color w:val="222222"/>
          <w:spacing w:val="30"/>
          <w:kern w:val="0"/>
          <w:sz w:val="28"/>
          <w:szCs w:val="28"/>
          <w:lang w:val="en-US" w:eastAsia="zh-CN" w:bidi="ar"/>
        </w:rPr>
        <w:t>在坪效上，一心堂所有直营门店日均坪效为38.09元/平方米，省会级区域的日均坪效最高，为41.32元/平方米。</w:t>
      </w:r>
      <w:r>
        <w:rPr>
          <w:rFonts w:ascii="宋体" w:hAnsi="宋体" w:eastAsia="宋体" w:cs="宋体"/>
          <w:color w:val="222222"/>
          <w:kern w:val="0"/>
          <w:sz w:val="25"/>
          <w:szCs w:val="25"/>
          <w:lang w:val="en-US" w:eastAsia="zh-CN" w:bidi="ar"/>
        </w:rPr>
        <w:br w:type="textWrapping"/>
      </w:r>
      <w:r>
        <w:rPr>
          <w:rFonts w:ascii="宋体" w:hAnsi="宋体" w:eastAsia="宋体" w:cs="宋体"/>
          <w:color w:val="222222"/>
          <w:kern w:val="0"/>
          <w:sz w:val="25"/>
          <w:szCs w:val="25"/>
          <w:lang w:val="en-US" w:eastAsia="zh-CN" w:bidi="ar"/>
        </w:rPr>
        <w:drawing>
          <wp:inline distT="0" distB="0" distL="114300" distR="114300">
            <wp:extent cx="5340350" cy="1574800"/>
            <wp:effectExtent l="0" t="0" r="12700" b="6350"/>
            <wp:docPr id="59" name="图片 5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3" descr="IMG_268"/>
                    <pic:cNvPicPr>
                      <a:picLocks noChangeAspect="1"/>
                    </pic:cNvPicPr>
                  </pic:nvPicPr>
                  <pic:blipFill>
                    <a:blip r:embed="rId29"/>
                    <a:stretch>
                      <a:fillRect/>
                    </a:stretch>
                  </pic:blipFill>
                  <pic:spPr>
                    <a:xfrm>
                      <a:off x="0" y="0"/>
                      <a:ext cx="5340350" cy="1574800"/>
                    </a:xfrm>
                    <a:prstGeom prst="rect">
                      <a:avLst/>
                    </a:prstGeom>
                    <a:noFill/>
                    <a:ln w="9525">
                      <a:noFill/>
                    </a:ln>
                  </pic:spPr>
                </pic:pic>
              </a:graphicData>
            </a:graphic>
          </wp:inline>
        </w:drawing>
      </w:r>
      <w:r>
        <w:rPr>
          <w:rFonts w:ascii="宋体" w:hAnsi="宋体" w:eastAsia="宋体" w:cs="宋体"/>
          <w:color w:val="222222"/>
          <w:kern w:val="0"/>
          <w:sz w:val="25"/>
          <w:szCs w:val="25"/>
          <w:lang w:val="en-US" w:eastAsia="zh-CN" w:bidi="ar"/>
        </w:rPr>
        <w:br w:type="textWrapping"/>
      </w:r>
      <w:r>
        <w:rPr>
          <w:rFonts w:hint="eastAsia" w:ascii="宋体" w:hAnsi="宋体" w:cs="宋体"/>
          <w:color w:val="222222"/>
          <w:kern w:val="0"/>
          <w:sz w:val="25"/>
          <w:szCs w:val="25"/>
          <w:lang w:val="en-US" w:eastAsia="zh-CN" w:bidi="ar"/>
        </w:rPr>
        <w:t xml:space="preserve">      </w:t>
      </w:r>
      <w:r>
        <w:rPr>
          <w:rFonts w:ascii="宋体" w:hAnsi="宋体" w:eastAsia="宋体" w:cs="宋体"/>
          <w:color w:val="222222"/>
          <w:spacing w:val="30"/>
          <w:kern w:val="0"/>
          <w:sz w:val="28"/>
          <w:szCs w:val="28"/>
          <w:lang w:val="en-US" w:eastAsia="zh-CN" w:bidi="ar"/>
        </w:rPr>
        <w:t>益丰所有直营门店的日均坪效为56.56元/平方米，而26家旗舰店的日均坪效为139.63元/平方米。</w:t>
      </w:r>
      <w:r>
        <w:rPr>
          <w:rFonts w:ascii="宋体" w:hAnsi="宋体" w:eastAsia="宋体" w:cs="宋体"/>
          <w:color w:val="222222"/>
          <w:kern w:val="0"/>
          <w:sz w:val="25"/>
          <w:szCs w:val="25"/>
          <w:lang w:val="en-US" w:eastAsia="zh-CN" w:bidi="ar"/>
        </w:rPr>
        <w:br w:type="textWrapping"/>
      </w:r>
      <w:r>
        <w:rPr>
          <w:rFonts w:ascii="宋体" w:hAnsi="宋体" w:eastAsia="宋体" w:cs="宋体"/>
          <w:color w:val="222222"/>
          <w:kern w:val="0"/>
          <w:sz w:val="25"/>
          <w:szCs w:val="25"/>
          <w:lang w:val="en-US" w:eastAsia="zh-CN" w:bidi="ar"/>
        </w:rPr>
        <w:drawing>
          <wp:inline distT="0" distB="0" distL="114300" distR="114300">
            <wp:extent cx="5387975" cy="1727835"/>
            <wp:effectExtent l="0" t="0" r="3175" b="5715"/>
            <wp:docPr id="60" name="图片 5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4" descr="IMG_269"/>
                    <pic:cNvPicPr>
                      <a:picLocks noChangeAspect="1"/>
                    </pic:cNvPicPr>
                  </pic:nvPicPr>
                  <pic:blipFill>
                    <a:blip r:embed="rId30"/>
                    <a:stretch>
                      <a:fillRect/>
                    </a:stretch>
                  </pic:blipFill>
                  <pic:spPr>
                    <a:xfrm>
                      <a:off x="0" y="0"/>
                      <a:ext cx="5387975" cy="172783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right="0" w:firstLine="680" w:firstLineChars="200"/>
        <w:jc w:val="left"/>
        <w:rPr>
          <w:rFonts w:hint="eastAsia" w:ascii="Microsoft YaHei UI" w:hAnsi="Microsoft YaHei UI" w:eastAsia="Microsoft YaHei UI" w:cs="Microsoft YaHei UI"/>
          <w:i w:val="0"/>
          <w:iCs w:val="0"/>
          <w:caps w:val="0"/>
          <w:color w:val="333333"/>
          <w:spacing w:val="0"/>
          <w:sz w:val="25"/>
          <w:szCs w:val="25"/>
        </w:rPr>
      </w:pPr>
      <w:r>
        <w:rPr>
          <w:rFonts w:ascii="宋体" w:hAnsi="宋体" w:eastAsia="宋体" w:cs="宋体"/>
          <w:color w:val="222222"/>
          <w:spacing w:val="30"/>
          <w:kern w:val="0"/>
          <w:sz w:val="28"/>
          <w:szCs w:val="28"/>
          <w:lang w:val="en-US" w:eastAsia="zh-CN" w:bidi="ar"/>
        </w:rPr>
        <w:t>大参林采用月均坪效的方式统计直营门店的效率，数据显示，其所有直营门店月均坪效2306.51元/平方米，华南地区的月均坪效最高，为2529.61元/平方米。</w:t>
      </w:r>
      <w:r>
        <w:rPr>
          <w:rFonts w:ascii="宋体" w:hAnsi="宋体" w:eastAsia="宋体" w:cs="宋体"/>
          <w:color w:val="222222"/>
          <w:kern w:val="0"/>
          <w:sz w:val="28"/>
          <w:szCs w:val="28"/>
          <w:lang w:val="en-US" w:eastAsia="zh-CN" w:bidi="ar"/>
        </w:rPr>
        <w:br w:type="textWrapping"/>
      </w:r>
      <w:r>
        <w:rPr>
          <w:rFonts w:ascii="宋体" w:hAnsi="宋体" w:eastAsia="宋体" w:cs="宋体"/>
          <w:color w:val="222222"/>
          <w:kern w:val="0"/>
          <w:sz w:val="25"/>
          <w:szCs w:val="25"/>
          <w:lang w:val="en-US" w:eastAsia="zh-CN" w:bidi="ar"/>
        </w:rPr>
        <w:drawing>
          <wp:inline distT="0" distB="0" distL="114300" distR="114300">
            <wp:extent cx="5422900" cy="2124075"/>
            <wp:effectExtent l="0" t="0" r="6350" b="9525"/>
            <wp:docPr id="61" name="图片 5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5" descr="IMG_270"/>
                    <pic:cNvPicPr>
                      <a:picLocks noChangeAspect="1"/>
                    </pic:cNvPicPr>
                  </pic:nvPicPr>
                  <pic:blipFill>
                    <a:blip r:embed="rId31"/>
                    <a:stretch>
                      <a:fillRect/>
                    </a:stretch>
                  </pic:blipFill>
                  <pic:spPr>
                    <a:xfrm>
                      <a:off x="0" y="0"/>
                      <a:ext cx="5422900" cy="2124075"/>
                    </a:xfrm>
                    <a:prstGeom prst="rect">
                      <a:avLst/>
                    </a:prstGeom>
                    <a:noFill/>
                    <a:ln w="9525">
                      <a:noFill/>
                    </a:ln>
                  </pic:spPr>
                </pic:pic>
              </a:graphicData>
            </a:graphic>
          </wp:inline>
        </w:drawing>
      </w:r>
      <w:r>
        <w:rPr>
          <w:rFonts w:ascii="宋体" w:hAnsi="宋体" w:eastAsia="宋体" w:cs="宋体"/>
          <w:color w:val="222222"/>
          <w:kern w:val="0"/>
          <w:sz w:val="25"/>
          <w:szCs w:val="25"/>
          <w:lang w:val="en-US" w:eastAsia="zh-CN" w:bidi="ar"/>
        </w:rPr>
        <w:br w:type="textWrapping"/>
      </w:r>
      <w:r>
        <w:rPr>
          <w:rFonts w:hint="eastAsia" w:ascii="宋体" w:hAnsi="宋体" w:cs="宋体"/>
          <w:color w:val="222222"/>
          <w:kern w:val="0"/>
          <w:sz w:val="25"/>
          <w:szCs w:val="25"/>
          <w:lang w:val="en-US" w:eastAsia="zh-CN" w:bidi="ar"/>
        </w:rPr>
        <w:t xml:space="preserve">      </w:t>
      </w:r>
      <w:r>
        <w:rPr>
          <w:rFonts w:ascii="宋体" w:hAnsi="宋体" w:eastAsia="宋体" w:cs="宋体"/>
          <w:color w:val="222222"/>
          <w:spacing w:val="30"/>
          <w:kern w:val="0"/>
          <w:sz w:val="28"/>
          <w:szCs w:val="28"/>
          <w:lang w:val="en-US" w:eastAsia="zh-CN" w:bidi="ar"/>
        </w:rPr>
        <w:t>健之佳门店日均坪效为41.38元/平方米，其中省会级门店的日均坪效为51.47元/平方米。</w:t>
      </w:r>
      <w:r>
        <w:rPr>
          <w:rFonts w:ascii="宋体" w:hAnsi="宋体" w:eastAsia="宋体" w:cs="宋体"/>
          <w:color w:val="222222"/>
          <w:kern w:val="0"/>
          <w:sz w:val="25"/>
          <w:szCs w:val="25"/>
          <w:lang w:val="en-US" w:eastAsia="zh-CN" w:bidi="ar"/>
        </w:rPr>
        <w:br w:type="textWrapping"/>
      </w:r>
      <w:r>
        <w:rPr>
          <w:rFonts w:ascii="宋体" w:hAnsi="宋体" w:eastAsia="宋体" w:cs="宋体"/>
          <w:color w:val="222222"/>
          <w:kern w:val="0"/>
          <w:sz w:val="25"/>
          <w:szCs w:val="25"/>
          <w:lang w:val="en-US" w:eastAsia="zh-CN" w:bidi="ar"/>
        </w:rPr>
        <w:drawing>
          <wp:inline distT="0" distB="0" distL="114300" distR="114300">
            <wp:extent cx="5331460" cy="1704340"/>
            <wp:effectExtent l="0" t="0" r="2540" b="10160"/>
            <wp:docPr id="62" name="图片 5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6" descr="IMG_271"/>
                    <pic:cNvPicPr>
                      <a:picLocks noChangeAspect="1"/>
                    </pic:cNvPicPr>
                  </pic:nvPicPr>
                  <pic:blipFill>
                    <a:blip r:embed="rId32"/>
                    <a:stretch>
                      <a:fillRect/>
                    </a:stretch>
                  </pic:blipFill>
                  <pic:spPr>
                    <a:xfrm>
                      <a:off x="0" y="0"/>
                      <a:ext cx="5331460" cy="1704340"/>
                    </a:xfrm>
                    <a:prstGeom prst="rect">
                      <a:avLst/>
                    </a:prstGeom>
                    <a:noFill/>
                    <a:ln w="9525">
                      <a:noFill/>
                    </a:ln>
                  </pic:spPr>
                </pic:pic>
              </a:graphicData>
            </a:graphic>
          </wp:inline>
        </w:drawing>
      </w:r>
      <w:r>
        <w:rPr>
          <w:rFonts w:ascii="宋体" w:hAnsi="宋体" w:eastAsia="宋体" w:cs="宋体"/>
          <w:color w:val="222222"/>
          <w:kern w:val="0"/>
          <w:sz w:val="25"/>
          <w:szCs w:val="25"/>
          <w:lang w:val="en-US" w:eastAsia="zh-CN" w:bidi="ar"/>
        </w:rPr>
        <w:br w:type="textWrapping"/>
      </w:r>
      <w:r>
        <w:rPr>
          <w:rFonts w:hint="eastAsia" w:ascii="宋体" w:hAnsi="宋体" w:cs="宋体"/>
          <w:color w:val="222222"/>
          <w:kern w:val="0"/>
          <w:sz w:val="25"/>
          <w:szCs w:val="25"/>
          <w:lang w:val="en-US" w:eastAsia="zh-CN" w:bidi="ar"/>
        </w:rPr>
        <w:t xml:space="preserve">      </w:t>
      </w:r>
      <w:r>
        <w:rPr>
          <w:rFonts w:ascii="宋体" w:hAnsi="宋体" w:eastAsia="宋体" w:cs="宋体"/>
          <w:color w:val="222222"/>
          <w:spacing w:val="30"/>
          <w:kern w:val="0"/>
          <w:sz w:val="28"/>
          <w:szCs w:val="28"/>
          <w:lang w:val="en-US" w:eastAsia="zh-CN" w:bidi="ar"/>
        </w:rPr>
        <w:t>漱玉平民直营门店的日均坪效为57元/平方米，具体到地区，其在山东和辽宁两地的直营门店日均坪效均为58元/平方米。</w:t>
      </w:r>
      <w:r>
        <w:rPr>
          <w:rFonts w:ascii="宋体" w:hAnsi="宋体" w:eastAsia="宋体" w:cs="宋体"/>
          <w:color w:val="222222"/>
          <w:kern w:val="0"/>
          <w:sz w:val="25"/>
          <w:szCs w:val="25"/>
          <w:lang w:val="en-US" w:eastAsia="zh-CN" w:bidi="ar"/>
        </w:rPr>
        <w:br w:type="textWrapping"/>
      </w:r>
      <w:r>
        <w:rPr>
          <w:rFonts w:ascii="宋体" w:hAnsi="宋体" w:eastAsia="宋体" w:cs="宋体"/>
          <w:color w:val="222222"/>
          <w:kern w:val="0"/>
          <w:sz w:val="25"/>
          <w:szCs w:val="25"/>
          <w:lang w:val="en-US" w:eastAsia="zh-CN" w:bidi="ar"/>
        </w:rPr>
        <w:drawing>
          <wp:inline distT="0" distB="0" distL="114300" distR="114300">
            <wp:extent cx="5293995" cy="1661160"/>
            <wp:effectExtent l="0" t="0" r="1905" b="15240"/>
            <wp:docPr id="63" name="图片 5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7" descr="IMG_272"/>
                    <pic:cNvPicPr>
                      <a:picLocks noChangeAspect="1"/>
                    </pic:cNvPicPr>
                  </pic:nvPicPr>
                  <pic:blipFill>
                    <a:blip r:embed="rId33"/>
                    <a:stretch>
                      <a:fillRect/>
                    </a:stretch>
                  </pic:blipFill>
                  <pic:spPr>
                    <a:xfrm>
                      <a:off x="0" y="0"/>
                      <a:ext cx="5293995" cy="166116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rPr>
          <w:rFonts w:hint="eastAsia" w:ascii="宋体" w:hAnsi="宋体" w:eastAsia="宋体" w:cs="宋体"/>
          <w:sz w:val="28"/>
          <w:szCs w:val="28"/>
        </w:rPr>
      </w:pPr>
      <w:r>
        <w:rPr>
          <w:rFonts w:ascii="宋体" w:hAnsi="宋体" w:eastAsia="宋体" w:cs="宋体"/>
          <w:color w:val="222222"/>
          <w:kern w:val="0"/>
          <w:sz w:val="25"/>
          <w:szCs w:val="25"/>
          <w:lang w:val="en-US" w:eastAsia="zh-CN" w:bidi="ar"/>
        </w:rPr>
        <w:br w:type="textWrapping"/>
      </w:r>
      <w:r>
        <w:rPr>
          <w:rFonts w:hint="eastAsia" w:ascii="Microsoft YaHei UI" w:hAnsi="Microsoft YaHei UI" w:eastAsia="Microsoft YaHei UI" w:cs="Microsoft YaHei UI"/>
          <w:i w:val="0"/>
          <w:iCs w:val="0"/>
          <w:caps w:val="0"/>
          <w:color w:val="222222"/>
          <w:spacing w:val="30"/>
          <w:kern w:val="0"/>
          <w:sz w:val="22"/>
          <w:szCs w:val="22"/>
          <w:shd w:val="clear" w:fill="FFFFFF"/>
          <w:lang w:val="en-US" w:eastAsia="zh-CN" w:bidi="ar"/>
        </w:rPr>
        <w:t> </w:t>
      </w:r>
      <w:r>
        <w:rPr>
          <w:rStyle w:val="14"/>
          <w:rFonts w:hint="eastAsia" w:ascii="Microsoft YaHei UI" w:hAnsi="Microsoft YaHei UI" w:eastAsia="Microsoft YaHei UI" w:cs="Microsoft YaHei UI"/>
          <w:i w:val="0"/>
          <w:iCs w:val="0"/>
          <w:caps w:val="0"/>
          <w:color w:val="CD0202"/>
          <w:spacing w:val="8"/>
          <w:kern w:val="0"/>
          <w:sz w:val="60"/>
          <w:szCs w:val="60"/>
          <w:shd w:val="clear" w:fill="FFFFFF"/>
          <w:lang w:val="en-US" w:eastAsia="zh-CN" w:bidi="ar"/>
        </w:rPr>
        <w:t>03 </w:t>
      </w:r>
      <w:r>
        <w:rPr>
          <w:rStyle w:val="14"/>
          <w:rFonts w:hint="eastAsia" w:ascii="宋体" w:hAnsi="宋体" w:eastAsia="宋体" w:cs="宋体"/>
          <w:color w:val="222222"/>
          <w:spacing w:val="30"/>
          <w:kern w:val="0"/>
          <w:sz w:val="28"/>
          <w:szCs w:val="28"/>
          <w:lang w:val="en-US" w:eastAsia="zh-CN" w:bidi="ar"/>
        </w:rPr>
        <w:t>会员数量：6000万俱乐部又有新成员</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30"/>
          <w:sz w:val="28"/>
          <w:szCs w:val="28"/>
        </w:rPr>
        <w:t>根据财报，在会员数量方面，各家连锁依旧保持着不错的增长率。</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0"/>
        <w:jc w:val="both"/>
        <w:rPr>
          <w:rFonts w:hint="eastAsia" w:ascii="Microsoft YaHei UI" w:hAnsi="Microsoft YaHei UI" w:eastAsia="Microsoft YaHei UI" w:cs="Microsoft YaHei UI"/>
          <w:i w:val="0"/>
          <w:iCs w:val="0"/>
          <w:caps w:val="0"/>
          <w:color w:val="333333"/>
          <w:spacing w:val="0"/>
          <w:sz w:val="25"/>
          <w:szCs w:val="25"/>
        </w:rPr>
      </w:pPr>
    </w:p>
    <w:p>
      <w:pPr>
        <w:keepNext w:val="0"/>
        <w:keepLines w:val="0"/>
        <w:widowControl/>
        <w:suppressLineNumbers w:val="0"/>
        <w:spacing w:before="0" w:beforeAutospacing="0" w:after="0" w:afterAutospacing="0"/>
        <w:ind w:left="0" w:right="0"/>
        <w:jc w:val="left"/>
      </w:pPr>
      <w:r>
        <w:rPr>
          <w:rFonts w:ascii="宋体" w:hAnsi="宋体" w:eastAsia="宋体" w:cs="宋体"/>
          <w:color w:val="222222"/>
          <w:kern w:val="0"/>
          <w:sz w:val="25"/>
          <w:szCs w:val="25"/>
          <w:lang w:val="en-US" w:eastAsia="zh-CN" w:bidi="ar"/>
        </w:rPr>
        <w:drawing>
          <wp:inline distT="0" distB="0" distL="114300" distR="114300">
            <wp:extent cx="5297170" cy="1390650"/>
            <wp:effectExtent l="0" t="0" r="17780" b="0"/>
            <wp:docPr id="64" name="图片 5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8" descr="IMG_273"/>
                    <pic:cNvPicPr>
                      <a:picLocks noChangeAspect="1"/>
                    </pic:cNvPicPr>
                  </pic:nvPicPr>
                  <pic:blipFill>
                    <a:blip r:embed="rId34"/>
                    <a:stretch>
                      <a:fillRect/>
                    </a:stretch>
                  </pic:blipFill>
                  <pic:spPr>
                    <a:xfrm>
                      <a:off x="0" y="0"/>
                      <a:ext cx="5297170" cy="139065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888888"/>
          <w:spacing w:val="30"/>
          <w:kern w:val="0"/>
          <w:sz w:val="15"/>
          <w:szCs w:val="15"/>
          <w:lang w:val="en-US" w:eastAsia="zh-CN" w:bidi="ar"/>
        </w:rPr>
        <w:t>数据来源：上市连锁财报；制表：《第一药店财智》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30"/>
          <w:sz w:val="28"/>
          <w:szCs w:val="28"/>
        </w:rPr>
        <w:t>具体来看，截止2022年6月30日，一心堂拥有有效会员人数达到3300万人，会员人数同比增长26.92%。一心堂表示会员销售及会员客单价较为稳定，会员客单价是非会员客单价的2.73倍。会员也是一心堂发展的基础，未来将继续挖掘会员价值。</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Microsoft YaHei UI" w:hAnsi="Microsoft YaHei UI" w:eastAsia="Microsoft YaHei UI" w:cs="Microsoft YaHei UI"/>
          <w:i w:val="0"/>
          <w:iCs w:val="0"/>
          <w:caps w:val="0"/>
          <w:color w:val="333333"/>
          <w:spacing w:val="0"/>
          <w:sz w:val="25"/>
          <w:szCs w:val="25"/>
        </w:rPr>
      </w:pPr>
      <w:r>
        <w:rPr>
          <w:rFonts w:hint="eastAsia" w:ascii="宋体" w:hAnsi="宋体" w:eastAsia="宋体" w:cs="宋体"/>
          <w:i w:val="0"/>
          <w:iCs w:val="0"/>
          <w:caps w:val="0"/>
          <w:color w:val="333333"/>
          <w:spacing w:val="30"/>
          <w:sz w:val="28"/>
          <w:szCs w:val="28"/>
        </w:rPr>
        <w:t>老百姓会员总数则达到6611万，活跃会员数1418万，会员销售占比同比提升6.3个百分点，动销会员数同比增长6.5%，会员来客占比同比提升1.9个百分点。不过由于其会员基数大，虽然其2022年上半年新增会员数数量并不低，但增长率却是六大连锁中最低的。</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30"/>
          <w:sz w:val="28"/>
          <w:szCs w:val="28"/>
        </w:rPr>
        <w:t>益丰药房是6000万俱乐部的新成员。自2021年以来，其保持半年平均增长超600万人，使得益丰药房在2022年中期录得建档会员总量超6200万，会员整体销售占比73.03%的成绩。</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30"/>
          <w:sz w:val="28"/>
          <w:szCs w:val="28"/>
        </w:rPr>
        <w:t>大参林方面，截至止到报告期末，会员人数超过6900万，而其上半年新增会员数达到700万人。这一数据也使其从2021年末位列第二的排名，上升至总数第一。其称，公司实现会员复购率和消费占比的持续提升。</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30"/>
          <w:sz w:val="28"/>
          <w:szCs w:val="28"/>
        </w:rPr>
        <w:t>健之佳方面，其有效会员人数超过1900万人，较2021年同期增长26%，会员消费占比超70%。其表示，通过以会员为核心的全渠道营销平台，满足顾客一站式需求。</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30"/>
          <w:sz w:val="28"/>
          <w:szCs w:val="28"/>
        </w:rPr>
        <w:t>如果说大基数让老百姓增长率较低，那么小基数则是漱玉平民夺下增长率最高的重要因素之一。截至报告期末，漱玉平民拥有的会员人数超过1700万人。与此同时，“漱玉平民+”小程序累计注册用户数量超过220万，人均消费金额超过320元。</w:t>
      </w:r>
      <w:r>
        <w:rPr>
          <w:rFonts w:hint="eastAsia" w:ascii="宋体" w:hAnsi="宋体" w:eastAsia="宋体" w:cs="宋体"/>
          <w:color w:val="222222"/>
          <w:kern w:val="0"/>
          <w:sz w:val="28"/>
          <w:szCs w:val="28"/>
          <w:lang w:val="en-US" w:eastAsia="zh-CN" w:bidi="ar"/>
        </w:rPr>
        <w:br w:type="textWrapping"/>
      </w:r>
      <w:r>
        <w:rPr>
          <w:rFonts w:hint="eastAsia" w:ascii="Microsoft YaHei UI" w:hAnsi="Microsoft YaHei UI" w:eastAsia="Microsoft YaHei UI" w:cs="Microsoft YaHei UI"/>
          <w:i w:val="0"/>
          <w:iCs w:val="0"/>
          <w:caps w:val="0"/>
          <w:color w:val="222222"/>
          <w:spacing w:val="30"/>
          <w:kern w:val="0"/>
          <w:sz w:val="22"/>
          <w:szCs w:val="22"/>
          <w:shd w:val="clear" w:fill="FFFFFF"/>
          <w:lang w:val="en-US" w:eastAsia="zh-CN" w:bidi="ar"/>
        </w:rPr>
        <w:t> </w:t>
      </w:r>
      <w:r>
        <w:rPr>
          <w:rStyle w:val="14"/>
          <w:rFonts w:hint="eastAsia" w:ascii="Microsoft YaHei UI" w:hAnsi="Microsoft YaHei UI" w:eastAsia="Microsoft YaHei UI" w:cs="Microsoft YaHei UI"/>
          <w:i w:val="0"/>
          <w:iCs w:val="0"/>
          <w:caps w:val="0"/>
          <w:color w:val="CD0202"/>
          <w:spacing w:val="8"/>
          <w:kern w:val="0"/>
          <w:sz w:val="60"/>
          <w:szCs w:val="60"/>
          <w:shd w:val="clear" w:fill="FFFFFF"/>
          <w:lang w:val="en-US" w:eastAsia="zh-CN" w:bidi="ar"/>
        </w:rPr>
        <w:t>04</w:t>
      </w:r>
      <w:r>
        <w:rPr>
          <w:rStyle w:val="14"/>
          <w:rFonts w:hint="eastAsia" w:ascii="宋体" w:hAnsi="宋体" w:eastAsia="宋体" w:cs="宋体"/>
          <w:color w:val="222222"/>
          <w:spacing w:val="30"/>
          <w:kern w:val="0"/>
          <w:sz w:val="28"/>
          <w:szCs w:val="28"/>
          <w:lang w:val="en-US" w:eastAsia="zh-CN" w:bidi="ar"/>
        </w:rPr>
        <w:t>线上渠道：益丰营收、增长均最多</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30"/>
          <w:sz w:val="28"/>
          <w:szCs w:val="28"/>
        </w:rPr>
        <w:t>线上业务不受时间和空间的限制，可配合连锁众多直营门店的分布，为门店为驻点大大增强了门店服务半径，为连锁提供高效的服务能力创造了更多可能。</w:t>
      </w:r>
    </w:p>
    <w:p>
      <w:pPr>
        <w:keepNext w:val="0"/>
        <w:keepLines w:val="0"/>
        <w:widowControl/>
        <w:suppressLineNumbers w:val="0"/>
        <w:spacing w:before="0" w:beforeAutospacing="0" w:after="0" w:afterAutospacing="0"/>
        <w:ind w:left="0" w:right="0" w:firstLine="680" w:firstLineChars="200"/>
        <w:jc w:val="left"/>
        <w:rPr>
          <w:rFonts w:hint="eastAsia" w:ascii="宋体" w:hAnsi="宋体" w:eastAsia="宋体" w:cs="宋体"/>
          <w:sz w:val="28"/>
          <w:szCs w:val="28"/>
        </w:rPr>
      </w:pPr>
      <w:r>
        <w:rPr>
          <w:rFonts w:hint="eastAsia" w:ascii="宋体" w:hAnsi="宋体" w:eastAsia="宋体" w:cs="宋体"/>
          <w:color w:val="222222"/>
          <w:spacing w:val="30"/>
          <w:kern w:val="0"/>
          <w:sz w:val="28"/>
          <w:szCs w:val="28"/>
          <w:lang w:val="en-US" w:eastAsia="zh-CN" w:bidi="ar"/>
        </w:rPr>
        <w:t>六大民营上市连锁2022年上半年线上渠道经营数据可见，连锁药店均进行全渠道布局，大力提升自身线上渠道市场占有率。财报数据显示，一心堂、老百姓、益丰、健之佳、漱玉平民线上总营收分别为2.62亿元、5.6亿元、8.16亿元、6.25亿元、3.6亿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20" w:right="120"/>
        <w:jc w:val="center"/>
      </w:pPr>
      <w:r>
        <w:rPr>
          <w:color w:val="222222"/>
          <w:sz w:val="25"/>
          <w:szCs w:val="25"/>
        </w:rPr>
        <w:drawing>
          <wp:inline distT="0" distB="0" distL="114300" distR="114300">
            <wp:extent cx="5226685" cy="1365250"/>
            <wp:effectExtent l="0" t="0" r="12065" b="6350"/>
            <wp:docPr id="65" name="图片 5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9" descr="IMG_274"/>
                    <pic:cNvPicPr>
                      <a:picLocks noChangeAspect="1"/>
                    </pic:cNvPicPr>
                  </pic:nvPicPr>
                  <pic:blipFill>
                    <a:blip r:embed="rId35"/>
                    <a:stretch>
                      <a:fillRect/>
                    </a:stretch>
                  </pic:blipFill>
                  <pic:spPr>
                    <a:xfrm>
                      <a:off x="0" y="0"/>
                      <a:ext cx="5226685" cy="136525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rPr>
          <w:rFonts w:ascii="宋体" w:hAnsi="宋体" w:eastAsia="宋体" w:cs="宋体"/>
          <w:color w:val="222222"/>
          <w:kern w:val="0"/>
          <w:sz w:val="25"/>
          <w:szCs w:val="25"/>
          <w:lang w:val="en-US" w:eastAsia="zh-CN" w:bidi="ar"/>
        </w:rPr>
      </w:pPr>
      <w:r>
        <w:rPr>
          <w:rFonts w:hint="eastAsia" w:ascii="Microsoft YaHei UI" w:hAnsi="Microsoft YaHei UI" w:eastAsia="Microsoft YaHei UI" w:cs="Microsoft YaHei UI"/>
          <w:i w:val="0"/>
          <w:iCs w:val="0"/>
          <w:caps w:val="0"/>
          <w:color w:val="888888"/>
          <w:spacing w:val="30"/>
          <w:kern w:val="0"/>
          <w:sz w:val="15"/>
          <w:szCs w:val="15"/>
          <w:lang w:val="en-US" w:eastAsia="zh-CN" w:bidi="ar"/>
        </w:rPr>
        <w:t>数据来源：上市连锁财报；制表：《第一药店财智》</w:t>
      </w:r>
      <w:r>
        <w:rPr>
          <w:rFonts w:ascii="宋体" w:hAnsi="宋体" w:eastAsia="宋体" w:cs="宋体"/>
          <w:color w:val="222222"/>
          <w:kern w:val="0"/>
          <w:sz w:val="25"/>
          <w:szCs w:val="25"/>
          <w:lang w:val="en-US" w:eastAsia="zh-CN" w:bidi="ar"/>
        </w:rPr>
        <w:br w:type="textWrapping"/>
      </w:r>
    </w:p>
    <w:p>
      <w:pPr>
        <w:keepNext w:val="0"/>
        <w:keepLines w:val="0"/>
        <w:widowControl/>
        <w:suppressLineNumbers w:val="0"/>
        <w:spacing w:before="0" w:beforeAutospacing="0" w:after="0" w:afterAutospacing="0"/>
        <w:ind w:left="0" w:right="0" w:firstLine="680" w:firstLineChars="200"/>
        <w:jc w:val="left"/>
        <w:rPr>
          <w:sz w:val="28"/>
          <w:szCs w:val="28"/>
        </w:rPr>
      </w:pPr>
      <w:r>
        <w:rPr>
          <w:rFonts w:ascii="宋体" w:hAnsi="宋体" w:eastAsia="宋体" w:cs="宋体"/>
          <w:color w:val="222222"/>
          <w:spacing w:val="30"/>
          <w:kern w:val="0"/>
          <w:sz w:val="28"/>
          <w:szCs w:val="28"/>
          <w:lang w:val="en-US" w:eastAsia="zh-CN" w:bidi="ar"/>
        </w:rPr>
        <w:t>财报显示，六大民营上市连锁，有5家线上业务同比增速超60%，其中益丰同比增速最高，达81.4%，健之佳次之，达76.2%。</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0"/>
        <w:jc w:val="both"/>
        <w:rPr>
          <w:rFonts w:hint="eastAsia" w:ascii="Microsoft YaHei UI" w:hAnsi="Microsoft YaHei UI" w:eastAsia="Microsoft YaHei UI" w:cs="Microsoft YaHei UI"/>
          <w:i w:val="0"/>
          <w:iCs w:val="0"/>
          <w:caps w:val="0"/>
          <w:color w:val="333333"/>
          <w:spacing w:val="0"/>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30"/>
          <w:sz w:val="28"/>
          <w:szCs w:val="28"/>
        </w:rPr>
        <w:t>从2022年半年报告的基本面看，无论是营收，还是同比增速，益丰都继续保持着六大民营上市连锁在线上业务最佳势头的行业地位。</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30"/>
          <w:sz w:val="28"/>
          <w:szCs w:val="28"/>
        </w:rPr>
        <w:t>益丰半年报显示，益丰持续推进基于会员、大数据、互联网医疗、健康管理等生态化的医药新零售体系建设。其中O2O实现销售收入6.51亿元，同比增长 115.05%；B2C实现销售收入1.66亿元，同比增长12.97%。截至报告期末，益丰药房O2O多渠道多平台上线门店超过7500家，覆盖公司线下所有主要城市，并在核心城市均处于行业领先地位。</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30"/>
          <w:sz w:val="28"/>
          <w:szCs w:val="28"/>
        </w:rPr>
        <w:t>在O2O门店分布数上，截至2022年6月末，前四大民营上市连锁带有O2O业务的门店，数量均超过7500家，保持着较高的O2O业务门店覆盖率。其中，一心堂O2O业务门店数高达8833家，涉足的10个省份及直辖市O2O业务实现全覆盖。一心堂线上渠道经营称之为电商业务，2022年上半年，一心堂O2O业务门店共计增加542家，O2O业务门店数覆盖率达到门店总数的98.25%，O2O业务门店数覆盖率进一步增加，经过近几年电商业务的发展，一心堂O2O 业务已实现与线下门店同步融合。</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30"/>
          <w:sz w:val="28"/>
          <w:szCs w:val="28"/>
        </w:rPr>
        <w:t>数据显示，一心堂2022上半年电商总销售额为2.62亿元，同比增长62.64%。其中，O2O业务同比增长77.59%；B2C业务同比增长8.61%。从占比上来看，O2O业务销售占电商业务总销售额的85.53%，B2C业务占电商总销售比重为14.47%。值得一提的是，一心堂自营O2O业务客单价是第三方O2O业务客单价的4.17倍。</w:t>
      </w:r>
    </w:p>
    <w:p>
      <w:pPr>
        <w:keepNext w:val="0"/>
        <w:keepLines w:val="0"/>
        <w:widowControl/>
        <w:suppressLineNumbers w:val="0"/>
        <w:spacing w:before="0" w:beforeAutospacing="0" w:after="0" w:afterAutospacing="0"/>
        <w:ind w:left="0" w:right="0"/>
        <w:jc w:val="left"/>
        <w:rPr>
          <w:rFonts w:hint="eastAsia" w:ascii="宋体" w:hAnsi="宋体" w:eastAsia="宋体" w:cs="宋体"/>
          <w:sz w:val="28"/>
          <w:szCs w:val="28"/>
        </w:rPr>
      </w:pPr>
      <w:r>
        <w:rPr>
          <w:rFonts w:hint="eastAsia" w:ascii="Microsoft YaHei UI" w:hAnsi="Microsoft YaHei UI" w:eastAsia="Microsoft YaHei UI" w:cs="Microsoft YaHei UI"/>
          <w:i w:val="0"/>
          <w:iCs w:val="0"/>
          <w:caps w:val="0"/>
          <w:color w:val="222222"/>
          <w:spacing w:val="30"/>
          <w:kern w:val="0"/>
          <w:sz w:val="22"/>
          <w:szCs w:val="22"/>
          <w:shd w:val="clear" w:fill="FFFFFF"/>
          <w:lang w:val="en-US" w:eastAsia="zh-CN" w:bidi="ar"/>
        </w:rPr>
        <w:t> </w:t>
      </w:r>
      <w:r>
        <w:rPr>
          <w:rStyle w:val="14"/>
          <w:rFonts w:hint="eastAsia" w:ascii="Microsoft YaHei UI" w:hAnsi="Microsoft YaHei UI" w:eastAsia="Microsoft YaHei UI" w:cs="Microsoft YaHei UI"/>
          <w:i w:val="0"/>
          <w:iCs w:val="0"/>
          <w:caps w:val="0"/>
          <w:color w:val="CD0202"/>
          <w:spacing w:val="8"/>
          <w:kern w:val="0"/>
          <w:sz w:val="60"/>
          <w:szCs w:val="60"/>
          <w:shd w:val="clear" w:fill="FFFFFF"/>
          <w:lang w:val="en-US" w:eastAsia="zh-CN" w:bidi="ar"/>
        </w:rPr>
        <w:t>05 </w:t>
      </w:r>
      <w:r>
        <w:rPr>
          <w:rStyle w:val="14"/>
          <w:rFonts w:hint="eastAsia" w:ascii="宋体" w:hAnsi="宋体" w:eastAsia="宋体" w:cs="宋体"/>
          <w:color w:val="222222"/>
          <w:spacing w:val="30"/>
          <w:kern w:val="0"/>
          <w:sz w:val="28"/>
          <w:szCs w:val="28"/>
          <w:lang w:val="en-US" w:eastAsia="zh-CN" w:bidi="ar"/>
        </w:rPr>
        <w:t>自有品牌：中药板块齐发力</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30"/>
          <w:sz w:val="28"/>
          <w:szCs w:val="28"/>
        </w:rPr>
        <w:t>2022年，各大上市连锁企业均着力发展自有品牌业务，部分连锁也“晒”出了具体成绩单。</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30"/>
          <w:sz w:val="28"/>
          <w:szCs w:val="28"/>
        </w:rPr>
        <w:t>报告期内，老百姓大药房自有品牌销售额达到11亿元，同比增长32%，销售占比超过18.9%，较去年同期增加3.9个百分点。</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30"/>
          <w:sz w:val="28"/>
          <w:szCs w:val="28"/>
        </w:rPr>
        <w:t>漱玉平民大药房自有商品数达到900个SKU，销售额同比增长70%，占零售业务总销售额比例超11%。按照上半年营收33.89亿元来看，漱玉平民自有品牌销售额约为3.73亿元。公告显示，其中中西成药自有品牌商品占比42.15%，中药饮片20.84%，保健食品占比13.85%，健康器械11.82%，其他占11.34%。</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30"/>
          <w:sz w:val="28"/>
          <w:szCs w:val="28"/>
        </w:rPr>
        <w:t>健之佳在今年上半年坚持品牌塑造，加大贴牌商品引进，公司自有品牌商品品类主要为药品、中药材、保健品、生活便利品等，销售额占主营业务收入的12.74%。</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0"/>
        <w:jc w:val="both"/>
        <w:rPr>
          <w:rFonts w:hint="eastAsia" w:ascii="宋体" w:hAnsi="宋体" w:eastAsia="宋体" w:cs="宋体"/>
          <w:i w:val="0"/>
          <w:iCs w:val="0"/>
          <w:caps w:val="0"/>
          <w:color w:val="333333"/>
          <w:spacing w:val="0"/>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20" w:right="120"/>
        <w:jc w:val="center"/>
      </w:pPr>
      <w:r>
        <w:rPr>
          <w:color w:val="222222"/>
          <w:sz w:val="25"/>
          <w:szCs w:val="25"/>
        </w:rPr>
        <w:drawing>
          <wp:inline distT="0" distB="0" distL="114300" distR="114300">
            <wp:extent cx="5223510" cy="1257300"/>
            <wp:effectExtent l="0" t="0" r="15240" b="0"/>
            <wp:docPr id="66" name="图片 6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0" descr="IMG_275"/>
                    <pic:cNvPicPr>
                      <a:picLocks noChangeAspect="1"/>
                    </pic:cNvPicPr>
                  </pic:nvPicPr>
                  <pic:blipFill>
                    <a:blip r:embed="rId36"/>
                    <a:stretch>
                      <a:fillRect/>
                    </a:stretch>
                  </pic:blipFill>
                  <pic:spPr>
                    <a:xfrm>
                      <a:off x="0" y="0"/>
                      <a:ext cx="5223510" cy="125730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888888"/>
          <w:spacing w:val="30"/>
          <w:kern w:val="0"/>
          <w:sz w:val="15"/>
          <w:szCs w:val="15"/>
          <w:lang w:val="en-US" w:eastAsia="zh-CN" w:bidi="ar"/>
        </w:rPr>
        <w:t>数据来源：上市连锁财报；制表：《第一药店财智》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0"/>
        <w:jc w:val="both"/>
        <w:rPr>
          <w:rFonts w:hint="eastAsia" w:ascii="Microsoft YaHei UI" w:hAnsi="Microsoft YaHei UI" w:eastAsia="Microsoft YaHei UI" w:cs="Microsoft YaHei UI"/>
          <w:i w:val="0"/>
          <w:iCs w:val="0"/>
          <w:caps w:val="0"/>
          <w:color w:val="333333"/>
          <w:spacing w:val="0"/>
          <w:sz w:val="25"/>
          <w:szCs w:val="25"/>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30"/>
          <w:sz w:val="28"/>
          <w:szCs w:val="28"/>
        </w:rPr>
        <w:t>与此同时，迎接中医药产业勃发，六大民营上市连锁药店也均向中药业务倾斜，亮点颇多。一心堂全资子公司鸿翔中药旗下多个中药自有品牌开拓创新，其中鸿翔、卉品、膳尚、本典等品牌1000余个产品在门店销售，优化和丰富了门店品类。</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30"/>
          <w:sz w:val="28"/>
          <w:szCs w:val="28"/>
        </w:rPr>
        <w:t>益丰则推进精品战略，打造自有品牌、独家品种、厂商共建品种在内的商品精品群，形成商品竞争壁垒，实现差异化竞争。</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30"/>
          <w:sz w:val="28"/>
          <w:szCs w:val="28"/>
        </w:rPr>
        <w:t>大参林作为中药自有品牌先行者，创新思路做大参茸，通过包装、剂型等方面开发精品中药概念，营销模式也趋于年轻化，开创了电商/产地直播、社群营销等产品推广，特别受年轻一代养生消费对象喜爱。</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30"/>
          <w:sz w:val="28"/>
          <w:szCs w:val="28"/>
        </w:rPr>
        <w:t>同样在营销方面颇有亮点的还有漱玉平民，在养生中药、养生零食、养生五谷等系列发力，取得亮眼成绩。</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30"/>
          <w:sz w:val="28"/>
          <w:szCs w:val="28"/>
        </w:rPr>
        <w:t>老百姓中药业务蓄势待发，旗下药圣堂科技主要从事中药饮片和中成药发展，公司还在门店端开展“中药传承人”计划，为消费者提供更专业、更有温度的中药服务。</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0"/>
        <w:jc w:val="both"/>
        <w:rPr>
          <w:rFonts w:hint="eastAsia" w:ascii="宋体" w:hAnsi="宋体" w:eastAsia="宋体" w:cs="宋体"/>
          <w:i w:val="0"/>
          <w:iCs w:val="0"/>
          <w:caps w:val="0"/>
          <w:color w:val="333333"/>
          <w:spacing w:val="0"/>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680" w:firstLineChars="200"/>
        <w:jc w:val="both"/>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30"/>
          <w:sz w:val="28"/>
          <w:szCs w:val="28"/>
        </w:rPr>
        <w:t>“多元化新星”健之佳在中药经营方面仍创新不断，开设中药材专营电商店，跨境业务上线保健食品，形成差异化经营。在线下门店，健之佳向消费者提供保健食品、医疗器械、中药材等健康品类产品和服务，通过专业解决方案和有吸引力的营销政策，相关品类销售收入同比增长5.69%、21.66%和23.03%，实现正向、可观增长。</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0"/>
        <w:jc w:val="both"/>
        <w:rPr>
          <w:rFonts w:hint="eastAsia" w:ascii="宋体" w:hAnsi="宋体" w:eastAsia="宋体" w:cs="宋体"/>
          <w:i w:val="0"/>
          <w:iCs w:val="0"/>
          <w:caps w:val="0"/>
          <w:color w:val="333333"/>
          <w:spacing w:val="0"/>
          <w:sz w:val="28"/>
          <w:szCs w:val="2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微软雅黑" w:hAnsi="微软雅黑" w:eastAsia="微软雅黑" w:cs="宋体"/>
          <w:b/>
          <w:color w:val="333333"/>
          <w:kern w:val="36"/>
          <w:sz w:val="24"/>
          <w:szCs w:val="24"/>
          <w:lang w:val="en-US" w:eastAsia="zh-CN"/>
        </w:rPr>
      </w:pPr>
      <w:r>
        <w:rPr>
          <w:rFonts w:hint="eastAsia" w:ascii="微软雅黑" w:hAnsi="微软雅黑" w:eastAsia="微软雅黑" w:cs="宋体"/>
          <w:b/>
          <w:color w:val="333333"/>
          <w:kern w:val="36"/>
          <w:sz w:val="24"/>
          <w:szCs w:val="24"/>
        </w:rPr>
        <w:t>附件</w:t>
      </w:r>
      <w:r>
        <w:rPr>
          <w:rFonts w:hint="eastAsia" w:ascii="微软雅黑" w:hAnsi="微软雅黑" w:eastAsia="微软雅黑" w:cs="宋体"/>
          <w:b/>
          <w:color w:val="333333"/>
          <w:kern w:val="36"/>
          <w:sz w:val="24"/>
          <w:szCs w:val="24"/>
          <w:lang w:val="en-US" w:eastAsia="zh-CN"/>
        </w:rPr>
        <w:t xml:space="preserve">4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sz w:val="33"/>
          <w:szCs w:val="33"/>
        </w:rPr>
      </w:pPr>
      <w:r>
        <w:rPr>
          <w:sz w:val="33"/>
          <w:szCs w:val="33"/>
        </w:rPr>
        <w:t>漱玉平民大药房的新业态、新布局、新战略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30" w:afterAutospacing="0" w:line="300" w:lineRule="atLeast"/>
        <w:ind w:left="0" w:right="0"/>
        <w:jc w:val="left"/>
        <w:rPr>
          <w:color w:val="222222"/>
          <w:sz w:val="25"/>
          <w:szCs w:val="25"/>
        </w:rPr>
      </w:pPr>
      <w:r>
        <w:rPr>
          <w:rFonts w:ascii="宋体" w:hAnsi="宋体" w:eastAsia="宋体" w:cs="宋体"/>
          <w:i w:val="0"/>
          <w:iCs w:val="0"/>
          <w:spacing w:val="0"/>
          <w:kern w:val="0"/>
          <w:sz w:val="18"/>
          <w:szCs w:val="18"/>
          <w:lang w:val="en-US" w:eastAsia="zh-CN" w:bidi="ar"/>
        </w:rPr>
        <w:t>原创</w:t>
      </w:r>
      <w:r>
        <w:rPr>
          <w:rFonts w:ascii="宋体" w:hAnsi="宋体" w:eastAsia="宋体" w:cs="宋体"/>
          <w:kern w:val="0"/>
          <w:sz w:val="0"/>
          <w:szCs w:val="0"/>
          <w:lang w:val="en-US" w:eastAsia="zh-CN" w:bidi="ar"/>
        </w:rPr>
        <w:t> </w:t>
      </w:r>
      <w:r>
        <w:rPr>
          <w:rFonts w:ascii="宋体" w:hAnsi="宋体" w:eastAsia="宋体" w:cs="宋体"/>
          <w:kern w:val="0"/>
          <w:sz w:val="22"/>
          <w:szCs w:val="22"/>
          <w:lang w:val="en-US" w:eastAsia="zh-CN" w:bidi="ar"/>
        </w:rPr>
        <w:t>钟园园</w:t>
      </w:r>
      <w:r>
        <w:rPr>
          <w:rFonts w:ascii="宋体" w:hAnsi="宋体" w:eastAsia="宋体" w:cs="宋体"/>
          <w:kern w:val="0"/>
          <w:sz w:val="0"/>
          <w:szCs w:val="0"/>
          <w:lang w:val="en-US" w:eastAsia="zh-CN" w:bidi="ar"/>
        </w:rPr>
        <w:t> </w:t>
      </w:r>
      <w:r>
        <w:rPr>
          <w:rFonts w:ascii="宋体" w:hAnsi="宋体" w:eastAsia="宋体" w:cs="宋体"/>
          <w:color w:val="576B95"/>
          <w:kern w:val="0"/>
          <w:sz w:val="22"/>
          <w:szCs w:val="22"/>
          <w:u w:val="none"/>
          <w:lang w:val="en-US" w:eastAsia="zh-CN" w:bidi="ar"/>
        </w:rPr>
        <w:fldChar w:fldCharType="begin"/>
      </w:r>
      <w:r>
        <w:rPr>
          <w:rFonts w:ascii="宋体" w:hAnsi="宋体" w:eastAsia="宋体" w:cs="宋体"/>
          <w:color w:val="576B95"/>
          <w:kern w:val="0"/>
          <w:sz w:val="22"/>
          <w:szCs w:val="22"/>
          <w:u w:val="none"/>
          <w:lang w:val="en-US" w:eastAsia="zh-CN" w:bidi="ar"/>
        </w:rPr>
        <w:instrText xml:space="preserve"> HYPERLINK "javascript:void(0);" </w:instrText>
      </w:r>
      <w:r>
        <w:rPr>
          <w:rFonts w:ascii="宋体" w:hAnsi="宋体" w:eastAsia="宋体" w:cs="宋体"/>
          <w:color w:val="576B95"/>
          <w:kern w:val="0"/>
          <w:sz w:val="22"/>
          <w:szCs w:val="22"/>
          <w:u w:val="none"/>
          <w:lang w:val="en-US" w:eastAsia="zh-CN" w:bidi="ar"/>
        </w:rPr>
        <w:fldChar w:fldCharType="separate"/>
      </w:r>
      <w:r>
        <w:rPr>
          <w:rStyle w:val="16"/>
          <w:rFonts w:ascii="宋体" w:hAnsi="宋体" w:eastAsia="宋体" w:cs="宋体"/>
          <w:color w:val="576B95"/>
          <w:sz w:val="22"/>
          <w:szCs w:val="22"/>
          <w:u w:val="none"/>
        </w:rPr>
        <w:t>中国药店</w:t>
      </w:r>
      <w:r>
        <w:rPr>
          <w:rFonts w:ascii="宋体" w:hAnsi="宋体" w:eastAsia="宋体" w:cs="宋体"/>
          <w:color w:val="576B95"/>
          <w:kern w:val="0"/>
          <w:sz w:val="22"/>
          <w:szCs w:val="22"/>
          <w:u w:val="none"/>
          <w:lang w:val="en-US" w:eastAsia="zh-CN" w:bidi="ar"/>
        </w:rPr>
        <w:fldChar w:fldCharType="end"/>
      </w:r>
      <w:r>
        <w:rPr>
          <w:rFonts w:ascii="宋体" w:hAnsi="宋体" w:eastAsia="宋体" w:cs="宋体"/>
          <w:kern w:val="0"/>
          <w:sz w:val="0"/>
          <w:szCs w:val="0"/>
          <w:lang w:val="en-US" w:eastAsia="zh-CN" w:bidi="ar"/>
        </w:rPr>
        <w:t> </w:t>
      </w:r>
      <w:r>
        <w:rPr>
          <w:rStyle w:val="15"/>
          <w:rFonts w:ascii="宋体" w:hAnsi="宋体" w:eastAsia="宋体" w:cs="宋体"/>
          <w:i w:val="0"/>
          <w:iCs w:val="0"/>
          <w:kern w:val="0"/>
          <w:sz w:val="22"/>
          <w:szCs w:val="22"/>
          <w:lang w:val="en-US" w:eastAsia="zh-CN" w:bidi="ar"/>
        </w:rPr>
        <w:t>2022-09-27 07:20</w:t>
      </w:r>
      <w:r>
        <w:rPr>
          <w:rFonts w:ascii="宋体" w:hAnsi="宋体" w:eastAsia="宋体" w:cs="宋体"/>
          <w:kern w:val="0"/>
          <w:sz w:val="0"/>
          <w:szCs w:val="0"/>
          <w:lang w:val="en-US" w:eastAsia="zh-CN" w:bidi="ar"/>
        </w:rPr>
        <w:t> </w:t>
      </w:r>
      <w:r>
        <w:rPr>
          <w:rStyle w:val="15"/>
          <w:rFonts w:ascii="宋体" w:hAnsi="宋体" w:eastAsia="宋体" w:cs="宋体"/>
          <w:i w:val="0"/>
          <w:iCs w:val="0"/>
          <w:kern w:val="0"/>
          <w:sz w:val="22"/>
          <w:szCs w:val="22"/>
          <w:lang w:val="en-US" w:eastAsia="zh-CN" w:bidi="ar"/>
        </w:rPr>
        <w:t>发表于云南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560" w:firstLineChars="200"/>
        <w:jc w:val="both"/>
        <w:rPr>
          <w:rFonts w:hint="eastAsia" w:ascii="宋体" w:hAnsi="宋体" w:eastAsia="宋体" w:cs="宋体"/>
          <w:sz w:val="28"/>
          <w:szCs w:val="28"/>
        </w:rPr>
      </w:pPr>
      <w:r>
        <w:rPr>
          <w:rFonts w:hint="eastAsia" w:ascii="宋体" w:hAnsi="宋体" w:eastAsia="宋体" w:cs="宋体"/>
          <w:color w:val="222222"/>
          <w:sz w:val="28"/>
          <w:szCs w:val="28"/>
        </w:rPr>
        <w:t>近年来，全国药品零售行业的各家企业都在持续不断地扩展规模、改进经营、完善流程、提高效率、进阶管理。在此过程中，创新的战略、创新的模式、创新的打法、创新的合作、创新的服务等层出不穷地涌现，既提升了相关企业的竞争力，也抬高了行业发展水平的基准线。</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560" w:firstLineChars="200"/>
        <w:jc w:val="both"/>
        <w:rPr>
          <w:rFonts w:hint="eastAsia" w:ascii="宋体" w:hAnsi="宋体" w:eastAsia="宋体" w:cs="宋体"/>
          <w:sz w:val="28"/>
          <w:szCs w:val="28"/>
        </w:rPr>
      </w:pPr>
      <w:r>
        <w:rPr>
          <w:rFonts w:hint="eastAsia" w:ascii="宋体" w:hAnsi="宋体" w:eastAsia="宋体" w:cs="宋体"/>
          <w:color w:val="222222"/>
          <w:sz w:val="28"/>
          <w:szCs w:val="28"/>
        </w:rPr>
        <w:t>为了系统挖掘这一过程中的精彩案例，中国药店杂志社与华润三九携手，发起“2022年中国药店‘经营创新奖’案例征集及研访活动”。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both"/>
        <w:rPr>
          <w:rFonts w:hint="eastAsia" w:ascii="宋体" w:hAnsi="宋体" w:eastAsia="宋体" w:cs="宋体"/>
          <w:sz w:val="28"/>
          <w:szCs w:val="28"/>
        </w:rPr>
      </w:pPr>
      <w:r>
        <w:rPr>
          <w:rStyle w:val="14"/>
          <w:rFonts w:hint="eastAsia" w:ascii="宋体" w:hAnsi="宋体" w:eastAsia="宋体" w:cs="宋体"/>
          <w:color w:val="222222"/>
          <w:sz w:val="28"/>
          <w:szCs w:val="28"/>
        </w:rPr>
        <w:t>本期我们研访的企业是——漱玉平民大药房连锁股份有限公司。</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60" w:firstLineChars="200"/>
        <w:jc w:val="both"/>
        <w:rPr>
          <w:rFonts w:hint="eastAsia" w:ascii="宋体" w:hAnsi="宋体" w:eastAsia="宋体" w:cs="宋体"/>
          <w:color w:val="000000"/>
          <w:sz w:val="28"/>
          <w:szCs w:val="28"/>
        </w:rPr>
      </w:pPr>
      <w:r>
        <w:rPr>
          <w:rFonts w:hint="eastAsia" w:ascii="宋体" w:hAnsi="宋体" w:eastAsia="宋体" w:cs="宋体"/>
          <w:color w:val="000000"/>
          <w:spacing w:val="0"/>
          <w:sz w:val="28"/>
          <w:szCs w:val="28"/>
        </w:rPr>
        <w:t>漱玉平民大药房连锁股份有限公司（以下简称漱玉平民大药房）探索“新业态、新布局、新战略”的脚步从未停止。</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60" w:firstLineChars="200"/>
        <w:jc w:val="both"/>
        <w:rPr>
          <w:rFonts w:hint="eastAsia" w:ascii="宋体" w:hAnsi="宋体" w:eastAsia="宋体" w:cs="宋体"/>
          <w:color w:val="000000"/>
          <w:sz w:val="28"/>
          <w:szCs w:val="28"/>
        </w:rPr>
      </w:pPr>
      <w:r>
        <w:rPr>
          <w:rFonts w:hint="eastAsia" w:ascii="宋体" w:hAnsi="宋体" w:eastAsia="宋体" w:cs="宋体"/>
          <w:color w:val="000000"/>
          <w:spacing w:val="0"/>
          <w:sz w:val="28"/>
          <w:szCs w:val="28"/>
        </w:rPr>
        <w:t>截至2022年6月30日，漱玉平民大药房在山东省、辽宁省、福建省等地区共拥有门店4009 家，上半年新增门店668家，其中，直营门店数量2970家（已取得“医疗保险定点药店”资格的药店达到2446家，占总门店数量比例 82.36%），新建直营门店174家，并购门店225家。2022年上半年，漱玉平民累计实现营业收入33.9亿元。着力于打造集“高质量、高性价比、高颜值”于一体的自有商品体系，满足顾客的保健养生、健康生活等需求，重点深耕自有商品的品牌力打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bookmarkStart w:id="0" w:name="_GoBack"/>
      <w:r>
        <w:rPr>
          <w:rFonts w:hint="eastAsia" w:ascii="微软雅黑" w:hAnsi="微软雅黑" w:eastAsia="微软雅黑" w:cs="微软雅黑"/>
          <w:color w:val="000000"/>
          <w:sz w:val="25"/>
          <w:szCs w:val="25"/>
          <w:shd w:val="clear" w:fill="FFFFFF"/>
        </w:rPr>
        <w:drawing>
          <wp:inline distT="0" distB="0" distL="114300" distR="114300">
            <wp:extent cx="5215255" cy="3080385"/>
            <wp:effectExtent l="0" t="0" r="4445" b="5715"/>
            <wp:docPr id="71" name="图片 6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6" descr="IMG_261"/>
                    <pic:cNvPicPr>
                      <a:picLocks noChangeAspect="1"/>
                    </pic:cNvPicPr>
                  </pic:nvPicPr>
                  <pic:blipFill>
                    <a:blip r:embed="rId37"/>
                    <a:stretch>
                      <a:fillRect/>
                    </a:stretch>
                  </pic:blipFill>
                  <pic:spPr>
                    <a:xfrm>
                      <a:off x="0" y="0"/>
                      <a:ext cx="5215255" cy="3080385"/>
                    </a:xfrm>
                    <a:prstGeom prst="rect">
                      <a:avLst/>
                    </a:prstGeom>
                    <a:noFill/>
                    <a:ln w="9525">
                      <a:noFill/>
                    </a:ln>
                  </pic:spPr>
                </pic:pic>
              </a:graphicData>
            </a:graphic>
          </wp:inline>
        </w:drawing>
      </w:r>
      <w:bookmarkEnd w:id="0"/>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14"/>
          <w:color w:val="222222"/>
          <w:sz w:val="28"/>
          <w:szCs w:val="28"/>
        </w:rPr>
        <w:t>精细化管理和稳步扩张</w:t>
      </w:r>
    </w:p>
    <w:p>
      <w:pPr>
        <w:keepNext w:val="0"/>
        <w:keepLines w:val="0"/>
        <w:widowControl/>
        <w:suppressLineNumbers w:val="0"/>
        <w:spacing w:before="0" w:beforeAutospacing="0" w:after="0" w:afterAutospacing="0"/>
        <w:ind w:left="0" w:right="0"/>
        <w:jc w:val="left"/>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60" w:firstLineChars="200"/>
        <w:jc w:val="both"/>
        <w:rPr>
          <w:rFonts w:hint="eastAsia" w:ascii="宋体" w:hAnsi="宋体" w:eastAsia="宋体" w:cs="宋体"/>
          <w:color w:val="000000"/>
          <w:sz w:val="28"/>
          <w:szCs w:val="28"/>
        </w:rPr>
      </w:pPr>
      <w:r>
        <w:rPr>
          <w:rFonts w:hint="eastAsia" w:ascii="宋体" w:hAnsi="宋体" w:eastAsia="宋体" w:cs="宋体"/>
          <w:color w:val="000000"/>
          <w:spacing w:val="0"/>
          <w:sz w:val="28"/>
          <w:szCs w:val="28"/>
        </w:rPr>
        <w:t>漱玉平民大药房一直秉承着“标准化复制，连锁统一管理”的发展战略，通过制订标准化的运营体系，保障不同区域门店的统一发展，形成复制效应，加快门店扩张。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60" w:firstLineChars="200"/>
        <w:jc w:val="both"/>
        <w:rPr>
          <w:rFonts w:hint="eastAsia" w:ascii="宋体" w:hAnsi="宋体" w:eastAsia="宋体" w:cs="宋体"/>
          <w:color w:val="000000"/>
          <w:sz w:val="28"/>
          <w:szCs w:val="28"/>
        </w:rPr>
      </w:pPr>
      <w:r>
        <w:rPr>
          <w:rFonts w:hint="eastAsia" w:ascii="宋体" w:hAnsi="宋体" w:eastAsia="宋体" w:cs="宋体"/>
          <w:color w:val="000000"/>
          <w:spacing w:val="0"/>
          <w:sz w:val="28"/>
          <w:szCs w:val="28"/>
        </w:rPr>
        <w:t>漱玉平民大药房通过特色的项目制管理，不断提升门店的精细化运营管理水平，强化 DTP 新特药房、慢病管理、中医坐堂医诊所等项目的精细化运营。</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60" w:firstLineChars="200"/>
        <w:jc w:val="both"/>
        <w:rPr>
          <w:rFonts w:hint="eastAsia" w:ascii="宋体" w:hAnsi="宋体" w:eastAsia="宋体" w:cs="宋体"/>
          <w:color w:val="000000"/>
          <w:sz w:val="28"/>
          <w:szCs w:val="28"/>
        </w:rPr>
      </w:pPr>
      <w:r>
        <w:rPr>
          <w:rFonts w:hint="eastAsia" w:ascii="宋体" w:hAnsi="宋体" w:eastAsia="宋体" w:cs="宋体"/>
          <w:color w:val="000000"/>
          <w:spacing w:val="0"/>
          <w:sz w:val="28"/>
          <w:szCs w:val="28"/>
        </w:rPr>
        <w:t>坚持“连锁经营、规模发展”的经营思路，采取深耕省内市场，稳健扩张省外市场的策略，以山东市场为核心，聚焦长江以北的区域扩张，继续夯实优势市场的网络布局及品牌优势，以覆盖城市消费需求的城市中心店为核心，打造包括商业中心店、社区店、医院店等店群集的终端网络布局。</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rPr>
          <w:rFonts w:hint="eastAsia" w:ascii="微软雅黑" w:hAnsi="微软雅黑" w:eastAsia="微软雅黑" w:cs="微软雅黑"/>
          <w:color w:val="000000"/>
          <w:sz w:val="25"/>
          <w:szCs w:val="25"/>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rPr>
          <w:rFonts w:hint="eastAsia" w:ascii="微软雅黑" w:hAnsi="微软雅黑" w:eastAsia="微软雅黑" w:cs="微软雅黑"/>
          <w:color w:val="000000"/>
          <w:sz w:val="25"/>
          <w:szCs w:val="25"/>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8"/>
          <w:szCs w:val="28"/>
        </w:rPr>
      </w:pPr>
      <w:r>
        <w:rPr>
          <w:rStyle w:val="14"/>
          <w:color w:val="222222"/>
          <w:sz w:val="28"/>
          <w:szCs w:val="28"/>
        </w:rPr>
        <w:t>多触点营销</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8"/>
          <w:szCs w:val="28"/>
        </w:rPr>
      </w:pPr>
      <w:r>
        <w:rPr>
          <w:rStyle w:val="14"/>
          <w:color w:val="222222"/>
          <w:sz w:val="28"/>
          <w:szCs w:val="28"/>
        </w:rPr>
        <w:t>全方位服务顾客</w:t>
      </w:r>
    </w:p>
    <w:p>
      <w:pPr>
        <w:keepNext w:val="0"/>
        <w:keepLines w:val="0"/>
        <w:widowControl/>
        <w:suppressLineNumbers w:val="0"/>
        <w:spacing w:before="0" w:beforeAutospacing="0" w:after="0" w:afterAutospacing="0"/>
        <w:ind w:left="0" w:right="0"/>
        <w:jc w:val="left"/>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rPr>
          <w:rFonts w:hint="eastAsia" w:ascii="宋体" w:hAnsi="宋体" w:eastAsia="宋体" w:cs="宋体"/>
          <w:color w:val="000000"/>
          <w:sz w:val="28"/>
          <w:szCs w:val="28"/>
        </w:rPr>
      </w:pPr>
      <w:r>
        <w:rPr>
          <w:rStyle w:val="14"/>
          <w:rFonts w:hint="eastAsia" w:ascii="宋体" w:hAnsi="宋体" w:eastAsia="宋体" w:cs="宋体"/>
          <w:color w:val="000000"/>
          <w:spacing w:val="0"/>
          <w:sz w:val="28"/>
          <w:szCs w:val="28"/>
        </w:rPr>
        <w:t>顾客维护：</w:t>
      </w:r>
      <w:r>
        <w:rPr>
          <w:rFonts w:hint="eastAsia" w:ascii="宋体" w:hAnsi="宋体" w:eastAsia="宋体" w:cs="宋体"/>
          <w:color w:val="000000"/>
          <w:spacing w:val="0"/>
          <w:sz w:val="28"/>
          <w:szCs w:val="28"/>
        </w:rPr>
        <w:t>覆盖了售前、售中、售后三个阶段：售前拉新客，通过联合微信、APP等多媒体进行数字化营销，引流到官网、微信、线下实体店等。售中服务客户，通过门店数字化、微信服务号专属客服、呼叫中心等多种方式提升客户购买体验。售后留老客，建立不同客群，提供产品推荐、促销活动等服务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rPr>
          <w:rFonts w:hint="eastAsia" w:ascii="宋体" w:hAnsi="宋体" w:eastAsia="宋体" w:cs="宋体"/>
          <w:color w:val="000000"/>
          <w:sz w:val="28"/>
          <w:szCs w:val="28"/>
        </w:rPr>
      </w:pPr>
      <w:r>
        <w:rPr>
          <w:rStyle w:val="14"/>
          <w:rFonts w:hint="eastAsia" w:ascii="宋体" w:hAnsi="宋体" w:eastAsia="宋体" w:cs="宋体"/>
          <w:color w:val="000000"/>
          <w:spacing w:val="0"/>
          <w:sz w:val="28"/>
          <w:szCs w:val="28"/>
        </w:rPr>
        <w:t>渠道运营：</w:t>
      </w:r>
      <w:r>
        <w:rPr>
          <w:rFonts w:hint="eastAsia" w:ascii="宋体" w:hAnsi="宋体" w:eastAsia="宋体" w:cs="宋体"/>
          <w:color w:val="000000"/>
          <w:spacing w:val="0"/>
          <w:sz w:val="28"/>
          <w:szCs w:val="28"/>
        </w:rPr>
        <w:t>漱玉平民大药房丰富了线上触点，顾客能够通过第三方平台、微信、APP等多种线上触点接触到企业，购买产品和服务。增强线下触点，顾客能够通过体验店接触到企业，通过实体门店购买产品和服务。通过店内电子屏，播放视频、广告等增加客户进店率。增强体验，通过顾客微信及APP，顾客能够自助下单、查询信息等，提升顾客体验。</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rPr>
          <w:rFonts w:hint="eastAsia" w:ascii="宋体" w:hAnsi="宋体" w:eastAsia="宋体" w:cs="宋体"/>
          <w:sz w:val="28"/>
          <w:szCs w:val="28"/>
        </w:rPr>
      </w:pPr>
      <w:r>
        <w:rPr>
          <w:rStyle w:val="14"/>
          <w:rFonts w:hint="eastAsia" w:ascii="宋体" w:hAnsi="宋体" w:eastAsia="宋体" w:cs="宋体"/>
          <w:color w:val="000000"/>
          <w:spacing w:val="0"/>
          <w:sz w:val="28"/>
          <w:szCs w:val="28"/>
        </w:rPr>
        <w:t>商品运营：</w:t>
      </w:r>
      <w:r>
        <w:rPr>
          <w:rFonts w:hint="eastAsia" w:ascii="宋体" w:hAnsi="宋体" w:eastAsia="宋体" w:cs="宋体"/>
          <w:color w:val="000000"/>
          <w:spacing w:val="0"/>
          <w:sz w:val="28"/>
          <w:szCs w:val="28"/>
        </w:rPr>
        <w:t>线上线下一盘货，漱玉平民大药房建立了全局订单和库存管理平台,线上线下订单和库存互通，提升库存周转率。扩展品类，与周边企业一起开发新的商品及服务，扩充现用品类。引入合作伙伴，引入其他供应商，入驻电子商务平台开店，为顾客提供更丰富的品类。</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sz w:val="28"/>
          <w:szCs w:val="28"/>
        </w:rPr>
      </w:pPr>
      <w:r>
        <w:rPr>
          <w:rStyle w:val="14"/>
          <w:rFonts w:hint="eastAsia" w:ascii="宋体" w:hAnsi="宋体" w:eastAsia="宋体" w:cs="宋体"/>
          <w:color w:val="222222"/>
          <w:sz w:val="28"/>
          <w:szCs w:val="28"/>
        </w:rPr>
        <w:t>聚焦DTP专业药房</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sz w:val="28"/>
          <w:szCs w:val="28"/>
        </w:rPr>
      </w:pPr>
      <w:r>
        <w:rPr>
          <w:rStyle w:val="14"/>
          <w:rFonts w:hint="eastAsia" w:ascii="宋体" w:hAnsi="宋体" w:eastAsia="宋体" w:cs="宋体"/>
          <w:color w:val="222222"/>
          <w:sz w:val="28"/>
          <w:szCs w:val="28"/>
        </w:rPr>
        <w:t>启用全福智慧健康综合体</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60" w:firstLineChars="200"/>
        <w:jc w:val="both"/>
        <w:rPr>
          <w:rFonts w:hint="eastAsia" w:ascii="宋体" w:hAnsi="宋体" w:eastAsia="宋体" w:cs="宋体"/>
          <w:color w:val="000000"/>
          <w:sz w:val="28"/>
          <w:szCs w:val="28"/>
        </w:rPr>
      </w:pPr>
      <w:r>
        <w:rPr>
          <w:rFonts w:hint="eastAsia" w:ascii="宋体" w:hAnsi="宋体" w:eastAsia="宋体" w:cs="宋体"/>
          <w:color w:val="000000"/>
          <w:spacing w:val="0"/>
          <w:sz w:val="28"/>
          <w:szCs w:val="28"/>
        </w:rPr>
        <w:t>面对人口老龄化和疾病谱变化以及人民健康意识增强的趋势，在政策和市场的双驱动下，漱玉平民大药房积极提升服务能力，建立专业药房，提供健康咨询等特色药学服务。借助数字信息和智能化手段，为患者提供B2C、O2O以及“互联网+”等多业态的线上线下药学服务。</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color w:val="000000"/>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rPr>
          <w:rFonts w:hint="eastAsia" w:ascii="宋体" w:hAnsi="宋体" w:eastAsia="宋体" w:cs="宋体"/>
          <w:color w:val="000000"/>
          <w:sz w:val="28"/>
          <w:szCs w:val="28"/>
        </w:rPr>
      </w:pPr>
      <w:r>
        <w:rPr>
          <w:rFonts w:hint="eastAsia" w:ascii="宋体" w:hAnsi="宋体" w:eastAsia="宋体" w:cs="宋体"/>
          <w:color w:val="000000"/>
          <w:spacing w:val="0"/>
          <w:sz w:val="28"/>
          <w:szCs w:val="28"/>
        </w:rPr>
        <w:t>漱玉平民大药房在山东省内开设57家大病定点特药药房、270余家院边店（距离二甲以上医院≤500 米）、达标药房8家。</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60" w:firstLineChars="200"/>
        <w:jc w:val="both"/>
        <w:rPr>
          <w:rFonts w:hint="eastAsia" w:ascii="宋体" w:hAnsi="宋体" w:eastAsia="宋体" w:cs="宋体"/>
          <w:color w:val="000000"/>
          <w:sz w:val="28"/>
          <w:szCs w:val="28"/>
        </w:rPr>
      </w:pPr>
      <w:r>
        <w:rPr>
          <w:rFonts w:hint="eastAsia" w:ascii="宋体" w:hAnsi="宋体" w:eastAsia="宋体" w:cs="宋体"/>
          <w:color w:val="000000"/>
          <w:spacing w:val="0"/>
          <w:sz w:val="28"/>
          <w:szCs w:val="28"/>
        </w:rPr>
        <w:t>全福智慧健康综合体是漱玉平民大药房旗下医疗康养板块，主营板块为医疗共创、互联网医疗（智慧医疗）、医养康养。医疗共创、医联体单位为山东大学第二医院、河南洛阳正骨医院、山东健康集团战略合作。医疗项目：漱玉集团9大慢病医疗服务项目、中医科以及名医工作室。互联网医疗包括绿通、三级转诊等医疗服务。</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color w:val="000000"/>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rPr>
          <w:rFonts w:hint="eastAsia" w:ascii="微软雅黑" w:hAnsi="微软雅黑" w:eastAsia="微软雅黑" w:cs="微软雅黑"/>
          <w:color w:val="000000"/>
          <w:sz w:val="25"/>
          <w:szCs w:val="25"/>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8"/>
          <w:szCs w:val="28"/>
        </w:rPr>
      </w:pPr>
      <w:r>
        <w:rPr>
          <w:rStyle w:val="14"/>
          <w:color w:val="222222"/>
          <w:sz w:val="28"/>
          <w:szCs w:val="28"/>
        </w:rPr>
        <w:t>开启全新品牌IP形象</w:t>
      </w:r>
    </w:p>
    <w:p>
      <w:pPr>
        <w:keepNext w:val="0"/>
        <w:keepLines w:val="0"/>
        <w:widowControl/>
        <w:suppressLineNumbers w:val="0"/>
        <w:spacing w:before="0" w:beforeAutospacing="0" w:after="0" w:afterAutospacing="0"/>
        <w:ind w:left="0" w:right="0"/>
        <w:jc w:val="left"/>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60" w:firstLineChars="200"/>
        <w:jc w:val="both"/>
        <w:rPr>
          <w:rFonts w:hint="eastAsia" w:ascii="宋体" w:hAnsi="宋体" w:eastAsia="宋体" w:cs="宋体"/>
          <w:color w:val="000000"/>
          <w:sz w:val="28"/>
          <w:szCs w:val="28"/>
        </w:rPr>
      </w:pPr>
      <w:r>
        <w:rPr>
          <w:rFonts w:hint="eastAsia" w:ascii="宋体" w:hAnsi="宋体" w:eastAsia="宋体" w:cs="宋体"/>
          <w:color w:val="000000"/>
          <w:spacing w:val="0"/>
          <w:sz w:val="28"/>
          <w:szCs w:val="28"/>
        </w:rPr>
        <w:t>2022年上半年，为了更好的实现品牌赋能，带动品牌文化价值的快速增长，漱玉平民大药房通过“具象化、内涵、延展力”三位一体的IP课题研究，创造了全新品牌IP形象“漱小玉”，助力 “漱玉平民”品牌打破圈层，走向年轻化、全民化。同时，继续推行以“专业、温暖”为主题的“小桔灯”服务品牌。</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60" w:firstLineChars="200"/>
        <w:jc w:val="both"/>
        <w:rPr>
          <w:rFonts w:hint="eastAsia" w:ascii="宋体" w:hAnsi="宋体" w:eastAsia="宋体" w:cs="宋体"/>
          <w:color w:val="000000"/>
          <w:sz w:val="28"/>
          <w:szCs w:val="28"/>
        </w:rPr>
      </w:pPr>
      <w:r>
        <w:rPr>
          <w:rFonts w:hint="eastAsia" w:ascii="宋体" w:hAnsi="宋体" w:eastAsia="宋体" w:cs="宋体"/>
          <w:color w:val="000000"/>
          <w:spacing w:val="0"/>
          <w:sz w:val="28"/>
          <w:szCs w:val="28"/>
        </w:rPr>
        <w:t>随着国家中医药发展战略规划的出台，漱玉平民大药房重视中药品类的发展，与各中药原产地主管政府部门合作，打造道地原产中药系列，目前已经合作的产品包括中宁枸杞、文登西洋参、黄山贡菊、陇西黄芪、陇西党参等。</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color w:val="000000"/>
          <w:sz w:val="25"/>
          <w:szCs w:val="25"/>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rPr>
          <w:rFonts w:hint="eastAsia" w:ascii="微软雅黑" w:hAnsi="微软雅黑" w:eastAsia="微软雅黑" w:cs="微软雅黑"/>
          <w:color w:val="000000"/>
          <w:sz w:val="25"/>
          <w:szCs w:val="25"/>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sz w:val="28"/>
          <w:szCs w:val="28"/>
        </w:rPr>
      </w:pPr>
      <w:r>
        <w:rPr>
          <w:rStyle w:val="14"/>
          <w:rFonts w:hint="eastAsia" w:ascii="宋体" w:hAnsi="宋体" w:eastAsia="宋体" w:cs="宋体"/>
          <w:color w:val="222222"/>
          <w:sz w:val="28"/>
          <w:szCs w:val="28"/>
        </w:rPr>
        <w:t>完善物流园和物流体系</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60" w:firstLineChars="200"/>
        <w:jc w:val="both"/>
        <w:rPr>
          <w:rFonts w:hint="eastAsia" w:ascii="宋体" w:hAnsi="宋体" w:eastAsia="宋体" w:cs="宋体"/>
          <w:color w:val="000000"/>
          <w:sz w:val="28"/>
          <w:szCs w:val="28"/>
        </w:rPr>
      </w:pPr>
      <w:r>
        <w:rPr>
          <w:rFonts w:hint="eastAsia" w:ascii="宋体" w:hAnsi="宋体" w:eastAsia="宋体" w:cs="宋体"/>
          <w:color w:val="000000"/>
          <w:spacing w:val="0"/>
          <w:sz w:val="28"/>
          <w:szCs w:val="28"/>
        </w:rPr>
        <w:t>漱玉平民大药房现代物流包括现代物流仓储中心及自动分拣设备、质量检验中心、综合楼，以及中药饮品加工车间、增建物流仓库、中药研发中心和科研设备配备。整个物流项目能够支撑公司100亿以上的销售规模。</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60" w:firstLineChars="200"/>
        <w:jc w:val="both"/>
        <w:rPr>
          <w:rFonts w:hint="eastAsia" w:ascii="宋体" w:hAnsi="宋体" w:eastAsia="宋体" w:cs="宋体"/>
          <w:color w:val="000000"/>
          <w:sz w:val="28"/>
          <w:szCs w:val="28"/>
        </w:rPr>
      </w:pPr>
      <w:r>
        <w:rPr>
          <w:rFonts w:hint="eastAsia" w:ascii="宋体" w:hAnsi="宋体" w:eastAsia="宋体" w:cs="宋体"/>
          <w:color w:val="000000"/>
          <w:spacing w:val="0"/>
          <w:sz w:val="28"/>
          <w:szCs w:val="28"/>
        </w:rPr>
        <w:t>物流中心整体分为五层楼自动化输送线库+自动化立体仓库，采用中央空调恒温控、全程无缝冷链作业、全仓温湿度实时监控、全仓视频实时监控、全仓无线网络覆盖等符合GSP要求的库房控制软件硬件布局。物流技术方面，采用自动化立体仓库、箱式输送出库线、箱式出库补货线、内复核高速分拣线、外复核高速分拣线、条码复核系统、自动升降装卸平台、无线智能拣选系统、无线移动收货系统、工业服务器、RF手持终端等行业领先物流作业装备。</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60" w:firstLineChars="200"/>
        <w:jc w:val="both"/>
        <w:rPr>
          <w:rFonts w:hint="eastAsia" w:ascii="宋体" w:hAnsi="宋体" w:eastAsia="宋体" w:cs="宋体"/>
          <w:color w:val="000000"/>
          <w:sz w:val="28"/>
          <w:szCs w:val="28"/>
        </w:rPr>
      </w:pPr>
      <w:r>
        <w:rPr>
          <w:rFonts w:hint="eastAsia" w:ascii="宋体" w:hAnsi="宋体" w:eastAsia="宋体" w:cs="宋体"/>
          <w:color w:val="000000"/>
          <w:spacing w:val="0"/>
          <w:sz w:val="28"/>
          <w:szCs w:val="28"/>
        </w:rPr>
        <w:t>仓库整体布局严格按照GSP相关规定实施，结合漱玉平民大药房自身业务发展情况，制定仓储分库、分区作业，岗位组织结构精细化，专人专岗。库内实现精细化货位管理，货位从收货环节至出库装车环节全程货位管理，可完成货物出入库的全过程追溯，降低仓储作业差错率。</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60" w:firstLineChars="200"/>
        <w:jc w:val="both"/>
        <w:rPr>
          <w:rFonts w:hint="eastAsia" w:ascii="宋体" w:hAnsi="宋体" w:eastAsia="宋体" w:cs="宋体"/>
          <w:color w:val="000000"/>
          <w:sz w:val="28"/>
          <w:szCs w:val="28"/>
        </w:rPr>
      </w:pPr>
      <w:r>
        <w:rPr>
          <w:rFonts w:hint="eastAsia" w:ascii="宋体" w:hAnsi="宋体" w:eastAsia="宋体" w:cs="宋体"/>
          <w:color w:val="000000"/>
          <w:spacing w:val="0"/>
          <w:sz w:val="28"/>
          <w:szCs w:val="28"/>
        </w:rPr>
        <w:t>漱玉平民大药房还建立了以济南为中心向周边辐射、地市级配送中心直达门店高效配送网络。截至2022年6月末，漱玉平民大药房共拥有济南、东营等 9 个物流配送中心，总建筑面积超过 5.3 万平方米，保障了公司山东省内 15 个地级市、沈阳市、福建省两个地市所有直营及加盟门店的商品配送和保障服务，平均每天作业超过 13万条。</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宋体"/>
          <w:b/>
          <w:color w:val="333333"/>
          <w:kern w:val="36"/>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b/>
          <w:kern w:val="0"/>
          <w:sz w:val="33"/>
          <w:szCs w:val="33"/>
          <w:lang w:val="en-US" w:eastAsia="zh-CN" w:bidi="ar"/>
        </w:rPr>
      </w:pPr>
      <w:r>
        <w:rPr>
          <w:rFonts w:hint="eastAsia" w:ascii="微软雅黑" w:hAnsi="微软雅黑" w:eastAsia="微软雅黑" w:cs="宋体"/>
          <w:b/>
          <w:color w:val="333333"/>
          <w:kern w:val="36"/>
          <w:sz w:val="24"/>
          <w:szCs w:val="24"/>
        </w:rPr>
        <w:t>附件</w:t>
      </w:r>
      <w:r>
        <w:rPr>
          <w:rFonts w:hint="eastAsia" w:ascii="微软雅黑" w:hAnsi="微软雅黑" w:eastAsia="微软雅黑" w:cs="宋体"/>
          <w:b/>
          <w:color w:val="333333"/>
          <w:kern w:val="36"/>
          <w:sz w:val="24"/>
          <w:szCs w:val="24"/>
          <w:lang w:val="en-US" w:eastAsia="zh-CN"/>
        </w:rPr>
        <w:t>5</w:t>
      </w:r>
      <w:r>
        <w:rPr>
          <w:rFonts w:hint="eastAsia" w:ascii="宋体" w:hAnsi="宋体" w:eastAsia="宋体" w:cs="宋体"/>
          <w:b/>
          <w:kern w:val="0"/>
          <w:sz w:val="33"/>
          <w:szCs w:val="33"/>
          <w:lang w:val="en-US" w:eastAsia="zh-CN" w:bidi="ar"/>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sz w:val="33"/>
          <w:szCs w:val="33"/>
        </w:rPr>
      </w:pPr>
      <w:r>
        <w:rPr>
          <w:rFonts w:hint="eastAsia"/>
          <w:sz w:val="33"/>
          <w:szCs w:val="33"/>
        </w:rPr>
        <w:t>【重磅】O2O成零售药店增长源动力，2030年将占整体市场规模32.1%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iCs w:val="0"/>
          <w:caps w:val="0"/>
          <w:color w:val="222222"/>
          <w:spacing w:val="8"/>
          <w:sz w:val="0"/>
          <w:szCs w:val="0"/>
        </w:rPr>
      </w:pPr>
      <w:r>
        <w:rPr>
          <w:rFonts w:hint="eastAsia" w:ascii="Microsoft YaHei UI" w:hAnsi="Microsoft YaHei UI" w:eastAsia="Microsoft YaHei UI" w:cs="Microsoft YaHei UI"/>
          <w:i w:val="0"/>
          <w:iCs w:val="0"/>
          <w:caps w:val="0"/>
          <w:color w:val="222222"/>
          <w:spacing w:val="0"/>
          <w:kern w:val="0"/>
          <w:sz w:val="18"/>
          <w:szCs w:val="18"/>
          <w:shd w:val="clear" w:fill="FFFFFF"/>
          <w:lang w:val="en-US" w:eastAsia="zh-CN" w:bidi="ar"/>
        </w:rPr>
        <w:t>原创</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米内发布</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begin"/>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separate"/>
      </w:r>
      <w:r>
        <w:rPr>
          <w:rStyle w:val="16"/>
          <w:rFonts w:hint="eastAsia" w:ascii="Microsoft YaHei UI" w:hAnsi="Microsoft YaHei UI" w:eastAsia="Microsoft YaHei UI" w:cs="Microsoft YaHei UI"/>
          <w:i w:val="0"/>
          <w:iCs w:val="0"/>
          <w:caps w:val="0"/>
          <w:color w:val="576B95"/>
          <w:spacing w:val="8"/>
          <w:sz w:val="22"/>
          <w:szCs w:val="22"/>
          <w:u w:val="none"/>
          <w:shd w:val="clear" w:fill="FFFFFF"/>
        </w:rPr>
        <w:t>米内网</w:t>
      </w:r>
      <w:r>
        <w:rPr>
          <w:rFonts w:hint="eastAsia" w:ascii="Microsoft YaHei UI" w:hAnsi="Microsoft YaHei UI" w:eastAsia="Microsoft YaHei UI" w:cs="Microsoft YaHei UI"/>
          <w:i w:val="0"/>
          <w:iCs w:val="0"/>
          <w:caps w:val="0"/>
          <w:color w:val="576B95"/>
          <w:spacing w:val="8"/>
          <w:kern w:val="0"/>
          <w:sz w:val="22"/>
          <w:szCs w:val="22"/>
          <w:u w:val="none"/>
          <w:shd w:val="clear" w:fill="FFFFFF"/>
          <w:lang w:val="en-US" w:eastAsia="zh-CN" w:bidi="ar"/>
        </w:rPr>
        <w:fldChar w:fldCharType="end"/>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2022-09-08 17:24</w:t>
      </w:r>
      <w:r>
        <w:rPr>
          <w:rFonts w:hint="eastAsia" w:ascii="Microsoft YaHei UI" w:hAnsi="Microsoft YaHei UI" w:eastAsia="Microsoft YaHei UI" w:cs="Microsoft YaHei UI"/>
          <w:i w:val="0"/>
          <w:iCs w:val="0"/>
          <w:caps w:val="0"/>
          <w:color w:val="222222"/>
          <w:spacing w:val="8"/>
          <w:kern w:val="0"/>
          <w:sz w:val="0"/>
          <w:szCs w:val="0"/>
          <w:shd w:val="clear" w:fill="FFFFFF"/>
          <w:lang w:val="en-US" w:eastAsia="zh-CN" w:bidi="ar"/>
        </w:rPr>
        <w:t> </w:t>
      </w:r>
      <w:r>
        <w:rPr>
          <w:rStyle w:val="15"/>
          <w:rFonts w:hint="eastAsia" w:ascii="Microsoft YaHei UI" w:hAnsi="Microsoft YaHei UI" w:eastAsia="Microsoft YaHei UI" w:cs="Microsoft YaHei UI"/>
          <w:i w:val="0"/>
          <w:iCs w:val="0"/>
          <w:caps w:val="0"/>
          <w:color w:val="222222"/>
          <w:spacing w:val="8"/>
          <w:kern w:val="0"/>
          <w:sz w:val="22"/>
          <w:szCs w:val="22"/>
          <w:shd w:val="clear" w:fill="FFFFFF"/>
          <w:lang w:val="en-US" w:eastAsia="zh-CN" w:bidi="ar"/>
        </w:rPr>
        <w:t>发表于广东</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5"/>
          <w:szCs w:val="25"/>
        </w:rPr>
      </w:pPr>
      <w:r>
        <w:rPr>
          <w:rStyle w:val="14"/>
          <w:rFonts w:ascii="微软雅黑" w:hAnsi="微软雅黑" w:eastAsia="微软雅黑" w:cs="微软雅黑"/>
          <w:i w:val="0"/>
          <w:iCs w:val="0"/>
          <w:caps w:val="0"/>
          <w:color w:val="1C7B86"/>
          <w:spacing w:val="8"/>
          <w:sz w:val="24"/>
          <w:szCs w:val="24"/>
          <w:shd w:val="clear" w:fill="FFFFFF"/>
        </w:rPr>
        <w:t>精彩内容</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firstLine="592" w:firstLineChars="200"/>
        <w:jc w:val="both"/>
        <w:rPr>
          <w:rFonts w:hint="eastAsia" w:ascii="宋体" w:hAnsi="宋体" w:eastAsia="宋体" w:cs="宋体"/>
          <w:sz w:val="28"/>
          <w:szCs w:val="28"/>
        </w:rPr>
      </w:pPr>
      <w:r>
        <w:rPr>
          <w:rFonts w:hint="eastAsia" w:ascii="宋体" w:hAnsi="宋体" w:eastAsia="宋体" w:cs="宋体"/>
          <w:i w:val="0"/>
          <w:iCs w:val="0"/>
          <w:caps w:val="0"/>
          <w:color w:val="222222"/>
          <w:spacing w:val="8"/>
          <w:sz w:val="28"/>
          <w:szCs w:val="28"/>
          <w:shd w:val="clear" w:fill="FFFFFF"/>
        </w:rPr>
        <w:t>2020年以来，新冠疫情的爆发并转变为常态化，消费者购药习惯的改变及心智的培养，O2O成为消费者购药的主要购药方式之一，O2O在助力疫情防控、保障公众健康、促进全渠道经营与服务方面发挥了积极作用，成为零售药店不容忽视的增长点。</w:t>
      </w:r>
      <w:r>
        <w:rPr>
          <w:rFonts w:hint="eastAsia" w:ascii="宋体" w:hAnsi="宋体" w:eastAsia="宋体" w:cs="宋体"/>
          <w:i w:val="0"/>
          <w:iCs w:val="0"/>
          <w:caps w:val="0"/>
          <w:color w:val="222222"/>
          <w:spacing w:val="8"/>
          <w:sz w:val="28"/>
          <w:szCs w:val="28"/>
          <w:shd w:val="clear" w:fill="FFFFFF"/>
        </w:rPr>
        <w:br w:type="textWrapping"/>
      </w:r>
      <w:r>
        <w:rPr>
          <w:rFonts w:hint="eastAsia" w:cs="宋体"/>
          <w:i w:val="0"/>
          <w:iCs w:val="0"/>
          <w:caps w:val="0"/>
          <w:color w:val="222222"/>
          <w:spacing w:val="8"/>
          <w:sz w:val="28"/>
          <w:szCs w:val="28"/>
          <w:shd w:val="clear" w:fill="FFFFFF"/>
          <w:lang w:val="en-US" w:eastAsia="zh-CN"/>
        </w:rPr>
        <w:t xml:space="preserve">   </w:t>
      </w:r>
      <w:r>
        <w:rPr>
          <w:rFonts w:hint="eastAsia" w:ascii="宋体" w:hAnsi="宋体" w:eastAsia="宋体" w:cs="宋体"/>
          <w:i w:val="0"/>
          <w:iCs w:val="0"/>
          <w:caps w:val="0"/>
          <w:color w:val="222222"/>
          <w:spacing w:val="8"/>
          <w:sz w:val="28"/>
          <w:szCs w:val="28"/>
          <w:shd w:val="clear" w:fill="FFFFFF"/>
        </w:rPr>
        <w:t>近日，中国医药健康行业专业数据咨询机构米内网正式发布《中国零售药店O2O发展报告》（以下简称报告），报告数据显示，截至2021年底，约有20万家药店加入O2O，占全国零售药店总数的1/3，米内网预计，到2030年零售药店O2O的规模占实体药店整体市场的份额将升至19.2%，市场规模将达1444亿元，如果线上医保全面开放，份额将升至32.1%。</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firstLine="592" w:firstLineChars="200"/>
        <w:jc w:val="both"/>
        <w:rPr>
          <w:rFonts w:hint="eastAsia" w:ascii="宋体" w:hAnsi="宋体" w:eastAsia="宋体" w:cs="宋体"/>
          <w:sz w:val="28"/>
          <w:szCs w:val="28"/>
        </w:rPr>
      </w:pPr>
      <w:r>
        <w:rPr>
          <w:rFonts w:hint="eastAsia" w:ascii="宋体" w:hAnsi="宋体" w:eastAsia="宋体" w:cs="宋体"/>
          <w:i w:val="0"/>
          <w:iCs w:val="0"/>
          <w:caps w:val="0"/>
          <w:color w:val="222222"/>
          <w:spacing w:val="8"/>
          <w:sz w:val="28"/>
          <w:szCs w:val="28"/>
          <w:shd w:val="clear" w:fill="FFFFFF"/>
        </w:rPr>
        <w:t>报告显示，在数字化大潮下，全渠道布局成为众多零售药店的共识，较早布局O2O的上市企业，近两年O2O的销售额增长翻倍。米内网认为，零售药店O2O主要以药品为主，与网上药店的品类结构差异较大，预计2030年零售药店O2O药品规模将追平或赶超B2C网上药店药品规模。</w:t>
      </w:r>
    </w:p>
    <w:p>
      <w:pPr>
        <w:keepNext w:val="0"/>
        <w:keepLines w:val="0"/>
        <w:widowControl/>
        <w:suppressLineNumbers w:val="0"/>
        <w:spacing w:before="0" w:beforeAutospacing="0" w:after="0" w:afterAutospacing="0"/>
        <w:ind w:left="0" w:right="0"/>
        <w:jc w:val="left"/>
        <w:rPr>
          <w:rFonts w:hint="eastAsia" w:ascii="宋体" w:hAnsi="宋体" w:eastAsia="宋体" w:cs="宋体"/>
          <w:sz w:val="28"/>
          <w:szCs w:val="28"/>
        </w:rPr>
      </w:pPr>
      <w:r>
        <w:rPr>
          <w:rFonts w:hint="eastAsia" w:ascii="宋体" w:hAnsi="宋体" w:eastAsia="宋体" w:cs="宋体"/>
          <w:b/>
          <w:bCs/>
          <w:i w:val="0"/>
          <w:iCs w:val="0"/>
          <w:caps w:val="0"/>
          <w:color w:val="1C7B86"/>
          <w:spacing w:val="8"/>
          <w:kern w:val="0"/>
          <w:sz w:val="28"/>
          <w:szCs w:val="28"/>
          <w:shd w:val="clear" w:fill="FFFFFF"/>
          <w:lang w:val="en-US" w:eastAsia="zh-CN" w:bidi="ar"/>
        </w:rPr>
        <w:t>O2O成药店线上化的主流方式，预计2030年占整体市场规模32.1%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firstLine="592" w:firstLineChars="200"/>
        <w:jc w:val="both"/>
        <w:rPr>
          <w:rFonts w:hint="eastAsia" w:ascii="宋体" w:hAnsi="宋体" w:eastAsia="宋体" w:cs="宋体"/>
          <w:sz w:val="28"/>
          <w:szCs w:val="28"/>
        </w:rPr>
      </w:pPr>
      <w:r>
        <w:rPr>
          <w:rFonts w:hint="eastAsia" w:ascii="宋体" w:hAnsi="宋体" w:eastAsia="宋体" w:cs="宋体"/>
          <w:i w:val="0"/>
          <w:iCs w:val="0"/>
          <w:caps w:val="0"/>
          <w:color w:val="222222"/>
          <w:spacing w:val="8"/>
          <w:sz w:val="28"/>
          <w:szCs w:val="28"/>
          <w:shd w:val="clear" w:fill="FFFFFF"/>
        </w:rPr>
        <w:t>受新冠疫情及网售处方药等政策的影响，“网上购药”模式得到蓬勃发展，O2O成为当前零售药店线上化的主流方式。</w:t>
      </w:r>
      <w:r>
        <w:rPr>
          <w:rFonts w:hint="eastAsia" w:ascii="宋体" w:hAnsi="宋体" w:eastAsia="宋体" w:cs="宋体"/>
          <w:i w:val="0"/>
          <w:iCs w:val="0"/>
          <w:caps w:val="0"/>
          <w:color w:val="576B95"/>
          <w:spacing w:val="8"/>
          <w:sz w:val="28"/>
          <w:szCs w:val="28"/>
          <w:u w:val="none"/>
          <w:shd w:val="clear" w:fill="FFFFFF"/>
        </w:rPr>
        <w:fldChar w:fldCharType="begin"/>
      </w:r>
      <w:r>
        <w:rPr>
          <w:rFonts w:hint="eastAsia" w:ascii="宋体" w:hAnsi="宋体" w:eastAsia="宋体" w:cs="宋体"/>
          <w:i w:val="0"/>
          <w:iCs w:val="0"/>
          <w:caps w:val="0"/>
          <w:color w:val="576B95"/>
          <w:spacing w:val="8"/>
          <w:sz w:val="28"/>
          <w:szCs w:val="28"/>
          <w:u w:val="none"/>
          <w:shd w:val="clear" w:fill="FFFFFF"/>
        </w:rPr>
        <w:instrText xml:space="preserve"> HYPERLINK "https://mp.weixin.qq.com/s?__biz=MjM5NzQ4MTg2MQ==&amp;mid=2650402397&amp;idx=2&amp;sn=2257d19b23ac45578574ee42e3969b36&amp;chksm=bed412b789a39ba1f11cfffed28754733afa68c553a824fd12ab2ee79253aa9f064031b2117a&amp;mpshare=1&amp;scene=1&amp;srcid=09246681FBdpRvazbxRLgSYj&amp;sharer_sharetime=1664322330281&amp;sharer_shareid=2d33e8ee59cc2ca7bfb2557cff7d52c1&amp;key=59d5a3b9c96f5609d7e21c73970a605ead4fd694af1d97736d56ebc2838b3c06ae54bfc26189a18665f8bc97f0e39db70e513e288fa2901b210c7afbbbe2f18ef6719c426127e911225d01d22cdd6e3e2d265abbdfb1567539c9252b34af141cd5ccd1dbde66c68c99001935cd71365f70cc25a937b0ade5d7deaa8bf32de7ae&amp;ascene=1&amp;uin=MjMwNTExODczOA==&amp;devicetype=Windows+7+x64&amp;version=6307062c&amp;lang=zh_CN&amp;exportkey=A0AuIZXLXfaCUJh6N0h7JFc=&amp;acctmode=0&amp;pass_ticket=SutsenLsyHjhygbjZLAmzNXvVpa9E0OUnw+MVmTyLzxfNfuqQ05DT1hHI6J7ubu7&amp;wx_header=0&amp;fontgear=2" </w:instrText>
      </w:r>
      <w:r>
        <w:rPr>
          <w:rFonts w:hint="eastAsia" w:ascii="宋体" w:hAnsi="宋体" w:eastAsia="宋体" w:cs="宋体"/>
          <w:i w:val="0"/>
          <w:iCs w:val="0"/>
          <w:caps w:val="0"/>
          <w:color w:val="576B95"/>
          <w:spacing w:val="8"/>
          <w:sz w:val="28"/>
          <w:szCs w:val="28"/>
          <w:u w:val="none"/>
          <w:shd w:val="clear" w:fill="FFFFFF"/>
        </w:rPr>
        <w:fldChar w:fldCharType="separate"/>
      </w:r>
      <w:r>
        <w:rPr>
          <w:rStyle w:val="16"/>
          <w:rFonts w:hint="eastAsia" w:ascii="宋体" w:hAnsi="宋体" w:eastAsia="宋体" w:cs="宋体"/>
          <w:i w:val="0"/>
          <w:iCs w:val="0"/>
          <w:caps w:val="0"/>
          <w:color w:val="576B95"/>
          <w:spacing w:val="8"/>
          <w:sz w:val="28"/>
          <w:szCs w:val="28"/>
          <w:u w:val="none"/>
          <w:shd w:val="clear" w:fill="FFFFFF"/>
        </w:rPr>
        <w:t>米内网数据</w:t>
      </w:r>
      <w:r>
        <w:rPr>
          <w:rFonts w:hint="eastAsia" w:ascii="宋体" w:hAnsi="宋体" w:eastAsia="宋体" w:cs="宋体"/>
          <w:i w:val="0"/>
          <w:iCs w:val="0"/>
          <w:caps w:val="0"/>
          <w:color w:val="576B95"/>
          <w:spacing w:val="8"/>
          <w:sz w:val="28"/>
          <w:szCs w:val="28"/>
          <w:u w:val="none"/>
          <w:shd w:val="clear" w:fill="FFFFFF"/>
        </w:rPr>
        <w:fldChar w:fldCharType="end"/>
      </w:r>
      <w:r>
        <w:rPr>
          <w:rFonts w:hint="eastAsia" w:ascii="宋体" w:hAnsi="宋体" w:eastAsia="宋体" w:cs="宋体"/>
          <w:i w:val="0"/>
          <w:iCs w:val="0"/>
          <w:caps w:val="0"/>
          <w:color w:val="222222"/>
          <w:spacing w:val="8"/>
          <w:sz w:val="28"/>
          <w:szCs w:val="28"/>
          <w:shd w:val="clear" w:fill="FFFFFF"/>
        </w:rPr>
        <w:t>显示，截至2021年底，约有20万家药店加入O2O，占全国零售药店总数的1/3。2021年零售药店O2O的销售额达202亿元，2019年以来，其占实体药店整体市场的份额从0.8%上升至3.5%，近3年的复合增长率高达115.3%，而零售实体药店同期复合增长率仅为3.2%。</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center"/>
      </w:pPr>
      <w:r>
        <w:rPr>
          <w:rFonts w:hint="eastAsia" w:ascii="宋体" w:hAnsi="宋体" w:eastAsia="宋体" w:cs="宋体"/>
          <w:b/>
          <w:bCs/>
          <w:i w:val="0"/>
          <w:iCs w:val="0"/>
          <w:caps w:val="0"/>
          <w:color w:val="222222"/>
          <w:spacing w:val="8"/>
          <w:sz w:val="28"/>
          <w:szCs w:val="28"/>
          <w:shd w:val="clear" w:fill="FFFFFF"/>
        </w:rPr>
        <w:t>零售药店O2O的市场规模与成长性</w:t>
      </w:r>
      <w:r>
        <w:rPr>
          <w:rFonts w:hint="eastAsia" w:ascii="宋体" w:hAnsi="宋体" w:eastAsia="宋体" w:cs="宋体"/>
          <w:b/>
          <w:bCs/>
          <w:i w:val="0"/>
          <w:iCs w:val="0"/>
          <w:caps w:val="0"/>
          <w:color w:val="222222"/>
          <w:spacing w:val="8"/>
          <w:sz w:val="28"/>
          <w:szCs w:val="28"/>
          <w:shd w:val="clear" w:fill="FFFFFF"/>
        </w:rPr>
        <w:br w:type="textWrapping"/>
      </w:r>
      <w:r>
        <w:rPr>
          <w:rFonts w:hint="eastAsia" w:ascii="Microsoft YaHei UI" w:hAnsi="Microsoft YaHei UI" w:eastAsia="Microsoft YaHei UI" w:cs="Microsoft YaHei UI"/>
          <w:i w:val="0"/>
          <w:iCs w:val="0"/>
          <w:caps w:val="0"/>
          <w:color w:val="222222"/>
          <w:spacing w:val="8"/>
          <w:sz w:val="22"/>
          <w:szCs w:val="22"/>
          <w:shd w:val="clear" w:fill="FFFFFF"/>
        </w:rPr>
        <w:drawing>
          <wp:inline distT="0" distB="0" distL="114300" distR="114300">
            <wp:extent cx="5324475" cy="2190750"/>
            <wp:effectExtent l="0" t="0" r="9525" b="0"/>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6"/>
                    <pic:cNvPicPr>
                      <a:picLocks noChangeAspect="1"/>
                    </pic:cNvPicPr>
                  </pic:nvPicPr>
                  <pic:blipFill>
                    <a:blip r:embed="rId38"/>
                    <a:stretch>
                      <a:fillRect/>
                    </a:stretch>
                  </pic:blipFill>
                  <pic:spPr>
                    <a:xfrm>
                      <a:off x="0" y="0"/>
                      <a:ext cx="5324475" cy="219075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sz w:val="21"/>
          <w:szCs w:val="21"/>
          <w:shd w:val="clear" w:fill="FFFFFF"/>
        </w:rPr>
        <w:t>数据来源：米内网</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firstLine="592" w:firstLineChars="200"/>
        <w:jc w:val="both"/>
        <w:rPr>
          <w:rFonts w:hint="eastAsia" w:ascii="宋体" w:hAnsi="宋体" w:eastAsia="宋体" w:cs="宋体"/>
          <w:sz w:val="28"/>
          <w:szCs w:val="28"/>
        </w:rPr>
      </w:pPr>
      <w:r>
        <w:rPr>
          <w:rFonts w:hint="eastAsia" w:ascii="宋体" w:hAnsi="宋体" w:eastAsia="宋体" w:cs="宋体"/>
          <w:i w:val="0"/>
          <w:iCs w:val="0"/>
          <w:caps w:val="0"/>
          <w:color w:val="222222"/>
          <w:spacing w:val="8"/>
          <w:sz w:val="28"/>
          <w:szCs w:val="28"/>
          <w:shd w:val="clear" w:fill="FFFFFF"/>
        </w:rPr>
        <w:t>随着各方对O2O的不断重视、消费者线上购买习惯的形成、零售药店参与度的提高、线上医保支付的逐步放开，未来零售药店O2O规模将持续增长。米内网预测，2029年零售药店终端的规模将上涨至11500亿元，在三大终端六大市场中的份额明显提升，其中实体药店整体市场的规模达7500亿元，其规模增长势必带动O2O规模的上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firstLine="592" w:firstLineChars="200"/>
        <w:jc w:val="both"/>
        <w:rPr>
          <w:rFonts w:hint="eastAsia" w:ascii="宋体" w:hAnsi="宋体" w:eastAsia="宋体" w:cs="宋体"/>
          <w:sz w:val="28"/>
          <w:szCs w:val="28"/>
        </w:rPr>
      </w:pPr>
      <w:r>
        <w:rPr>
          <w:rFonts w:hint="eastAsia" w:ascii="宋体" w:hAnsi="宋体" w:eastAsia="宋体" w:cs="宋体"/>
          <w:i w:val="0"/>
          <w:iCs w:val="0"/>
          <w:caps w:val="0"/>
          <w:color w:val="222222"/>
          <w:spacing w:val="8"/>
          <w:sz w:val="28"/>
          <w:szCs w:val="28"/>
          <w:shd w:val="clear" w:fill="FFFFFF"/>
        </w:rPr>
        <w:t>米内网预计，到2030年零售药店O2O的规模占实体药店的份额将升至19.2%，市场规模将达1444亿元。如果线上医保全面开放，米内网预计2030年零售药店O2O的规模占实体药店的份额将升至32.1%，市场规模将达2407亿元。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r>
        <w:rPr>
          <w:rFonts w:hint="eastAsia" w:ascii="Microsoft YaHei UI" w:hAnsi="Microsoft YaHei UI" w:eastAsia="Microsoft YaHei UI" w:cs="Microsoft YaHei UI"/>
          <w:i w:val="0"/>
          <w:iCs w:val="0"/>
          <w:caps w:val="0"/>
          <w:color w:val="222222"/>
          <w:spacing w:val="8"/>
          <w:sz w:val="22"/>
          <w:szCs w:val="22"/>
          <w:shd w:val="clear" w:fill="FFFFFF"/>
        </w:rPr>
        <w:drawing>
          <wp:inline distT="0" distB="0" distL="114300" distR="114300">
            <wp:extent cx="5252720" cy="2696210"/>
            <wp:effectExtent l="0" t="0" r="5080" b="8890"/>
            <wp:docPr id="2"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7"/>
                    <pic:cNvPicPr>
                      <a:picLocks noChangeAspect="1"/>
                    </pic:cNvPicPr>
                  </pic:nvPicPr>
                  <pic:blipFill>
                    <a:blip r:embed="rId39"/>
                    <a:stretch>
                      <a:fillRect/>
                    </a:stretch>
                  </pic:blipFill>
                  <pic:spPr>
                    <a:xfrm>
                      <a:off x="0" y="0"/>
                      <a:ext cx="5252720" cy="269621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sz w:val="21"/>
          <w:szCs w:val="21"/>
          <w:shd w:val="clear" w:fill="FFFFFF"/>
        </w:rPr>
        <w:t>数据来源：米内网《中国零售药店O2O发展报告》</w:t>
      </w:r>
    </w:p>
    <w:p>
      <w:pPr>
        <w:keepNext w:val="0"/>
        <w:keepLines w:val="0"/>
        <w:widowControl/>
        <w:suppressLineNumbers w:val="0"/>
        <w:spacing w:before="0" w:beforeAutospacing="0" w:after="0" w:afterAutospacing="0"/>
        <w:ind w:left="0" w:right="0"/>
        <w:jc w:val="left"/>
        <w:rPr>
          <w:rFonts w:hint="eastAsia" w:ascii="宋体" w:hAnsi="宋体" w:eastAsia="宋体" w:cs="宋体"/>
          <w:sz w:val="28"/>
          <w:szCs w:val="28"/>
        </w:rPr>
      </w:pPr>
      <w:r>
        <w:rPr>
          <w:rFonts w:hint="eastAsia" w:ascii="宋体" w:hAnsi="宋体" w:eastAsia="宋体" w:cs="宋体"/>
          <w:b/>
          <w:bCs/>
          <w:i w:val="0"/>
          <w:iCs w:val="0"/>
          <w:caps w:val="0"/>
          <w:color w:val="1C7B86"/>
          <w:spacing w:val="8"/>
          <w:kern w:val="0"/>
          <w:sz w:val="28"/>
          <w:szCs w:val="28"/>
          <w:shd w:val="clear" w:fill="FFFFFF"/>
          <w:lang w:val="en-US" w:eastAsia="zh-CN" w:bidi="ar"/>
        </w:rPr>
        <w:t>O2O业态更加服务实体，预计2030年赶超B2C药品规模</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firstLine="592" w:firstLineChars="200"/>
        <w:jc w:val="both"/>
        <w:rPr>
          <w:rFonts w:hint="eastAsia" w:ascii="宋体" w:hAnsi="宋体" w:eastAsia="宋体" w:cs="宋体"/>
          <w:sz w:val="28"/>
          <w:szCs w:val="28"/>
        </w:rPr>
      </w:pPr>
      <w:r>
        <w:rPr>
          <w:rFonts w:hint="eastAsia" w:ascii="宋体" w:hAnsi="宋体" w:eastAsia="宋体" w:cs="宋体"/>
          <w:i w:val="0"/>
          <w:iCs w:val="0"/>
          <w:caps w:val="0"/>
          <w:color w:val="222222"/>
          <w:spacing w:val="8"/>
          <w:sz w:val="28"/>
          <w:szCs w:val="28"/>
          <w:shd w:val="clear" w:fill="FFFFFF"/>
        </w:rPr>
        <w:t>当下，O2O正成为线下门店的一个补充，与零售实体药店相辅相成。在此背景下，“完善销售渠道”成为药店开展O2O的共识，药店在O2O的投入度越来越高。根据米内网数据，开展O2O门店数量在80%以上的连锁药店占比从2019年的27.5%上涨至2021年的54.9%。</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center"/>
      </w:pPr>
      <w:r>
        <w:rPr>
          <w:rFonts w:hint="eastAsia" w:ascii="宋体" w:hAnsi="宋体" w:eastAsia="宋体" w:cs="宋体"/>
          <w:b/>
          <w:bCs/>
          <w:i w:val="0"/>
          <w:iCs w:val="0"/>
          <w:caps w:val="0"/>
          <w:color w:val="222222"/>
          <w:spacing w:val="8"/>
          <w:sz w:val="28"/>
          <w:szCs w:val="28"/>
          <w:shd w:val="clear" w:fill="FFFFFF"/>
        </w:rPr>
        <w:t>2019-2021年零售药店开展O2O的门店数量占比变化</w:t>
      </w:r>
      <w:r>
        <w:rPr>
          <w:rFonts w:hint="eastAsia" w:ascii="宋体" w:hAnsi="宋体" w:eastAsia="宋体" w:cs="宋体"/>
          <w:i w:val="0"/>
          <w:iCs w:val="0"/>
          <w:caps w:val="0"/>
          <w:color w:val="222222"/>
          <w:spacing w:val="8"/>
          <w:sz w:val="28"/>
          <w:szCs w:val="28"/>
          <w:shd w:val="clear" w:fill="FFFFFF"/>
        </w:rPr>
        <w:br w:type="textWrapping"/>
      </w:r>
      <w:r>
        <w:rPr>
          <w:rFonts w:hint="eastAsia" w:ascii="Microsoft YaHei UI" w:hAnsi="Microsoft YaHei UI" w:eastAsia="Microsoft YaHei UI" w:cs="Microsoft YaHei UI"/>
          <w:i w:val="0"/>
          <w:iCs w:val="0"/>
          <w:caps w:val="0"/>
          <w:color w:val="222222"/>
          <w:spacing w:val="8"/>
          <w:sz w:val="22"/>
          <w:szCs w:val="22"/>
          <w:shd w:val="clear" w:fill="FFFFFF"/>
        </w:rPr>
        <w:drawing>
          <wp:inline distT="0" distB="0" distL="114300" distR="114300">
            <wp:extent cx="5267960" cy="2187575"/>
            <wp:effectExtent l="0" t="0" r="8890" b="3175"/>
            <wp:docPr id="3"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8"/>
                    <pic:cNvPicPr>
                      <a:picLocks noChangeAspect="1"/>
                    </pic:cNvPicPr>
                  </pic:nvPicPr>
                  <pic:blipFill>
                    <a:blip r:embed="rId40"/>
                    <a:stretch>
                      <a:fillRect/>
                    </a:stretch>
                  </pic:blipFill>
                  <pic:spPr>
                    <a:xfrm>
                      <a:off x="0" y="0"/>
                      <a:ext cx="5267960" cy="21875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sz w:val="21"/>
          <w:szCs w:val="21"/>
          <w:shd w:val="clear" w:fill="FFFFFF"/>
        </w:rPr>
        <w:br w:type="textWrapping"/>
      </w:r>
      <w:r>
        <w:rPr>
          <w:rFonts w:hint="eastAsia" w:ascii="Microsoft YaHei UI" w:hAnsi="Microsoft YaHei UI" w:eastAsia="Microsoft YaHei UI" w:cs="Microsoft YaHei UI"/>
          <w:i w:val="0"/>
          <w:iCs w:val="0"/>
          <w:caps w:val="0"/>
          <w:color w:val="222222"/>
          <w:spacing w:val="8"/>
          <w:sz w:val="21"/>
          <w:szCs w:val="21"/>
          <w:shd w:val="clear" w:fill="FFFFFF"/>
        </w:rPr>
        <w:t>数据来源：米内网零售药店O2O问卷调研（2022年5月）</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firstLine="592" w:firstLineChars="200"/>
        <w:jc w:val="both"/>
        <w:rPr>
          <w:rFonts w:hint="eastAsia" w:ascii="宋体" w:hAnsi="宋体" w:eastAsia="宋体" w:cs="宋体"/>
          <w:sz w:val="28"/>
          <w:szCs w:val="28"/>
        </w:rPr>
      </w:pPr>
      <w:r>
        <w:rPr>
          <w:rFonts w:hint="eastAsia" w:ascii="宋体" w:hAnsi="宋体" w:eastAsia="宋体" w:cs="宋体"/>
          <w:i w:val="0"/>
          <w:iCs w:val="0"/>
          <w:caps w:val="0"/>
          <w:color w:val="222222"/>
          <w:spacing w:val="8"/>
          <w:sz w:val="28"/>
          <w:szCs w:val="28"/>
          <w:shd w:val="clear" w:fill="FFFFFF"/>
        </w:rPr>
        <w:t>人们对时效性和便捷性的不懈追求，也推动了线上购药渠道的持续渗透和蓬勃发展。据米内网的消费者调研显示，目前O2O购药渗透率达到50.8%，高于医药B2C的渗透率（46.5%），这也进一步说明零售药店O2O拥有更加广阔的发展前景。在规模方面，目前零售药店O2O的品类主要以满足常见病需求为主，大部分是药品，与网上药店的销售品类有较大不同。米内网《中国网上药店终端用药格局》数据显示，2021年网上药店药品的规模为368亿元，占网上药店份额的16.5%。随着O2O的高速发展，药品的规模也会随之上升，米内网预计，到2030年，零售药店O2O的药品规模将追平或赶超B2C网上药店的药品规模。</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center"/>
      </w:pPr>
      <w:r>
        <w:rPr>
          <w:rFonts w:hint="eastAsia" w:ascii="宋体" w:hAnsi="宋体" w:eastAsia="宋体" w:cs="宋体"/>
          <w:b/>
          <w:bCs/>
          <w:i w:val="0"/>
          <w:iCs w:val="0"/>
          <w:caps w:val="0"/>
          <w:color w:val="222222"/>
          <w:spacing w:val="8"/>
          <w:sz w:val="28"/>
          <w:szCs w:val="28"/>
          <w:shd w:val="clear" w:fill="FFFFFF"/>
        </w:rPr>
        <w:t>近一年内消费者在各购药渠道的渗透率</w:t>
      </w:r>
      <w:r>
        <w:rPr>
          <w:rFonts w:hint="eastAsia" w:ascii="宋体" w:hAnsi="宋体" w:eastAsia="宋体" w:cs="宋体"/>
          <w:i w:val="0"/>
          <w:iCs w:val="0"/>
          <w:caps w:val="0"/>
          <w:color w:val="222222"/>
          <w:spacing w:val="8"/>
          <w:sz w:val="28"/>
          <w:szCs w:val="28"/>
          <w:shd w:val="clear" w:fill="FFFFFF"/>
        </w:rPr>
        <w:br w:type="textWrapping"/>
      </w:r>
      <w:r>
        <w:rPr>
          <w:rFonts w:hint="eastAsia" w:ascii="Microsoft YaHei UI" w:hAnsi="Microsoft YaHei UI" w:eastAsia="Microsoft YaHei UI" w:cs="Microsoft YaHei UI"/>
          <w:i w:val="0"/>
          <w:iCs w:val="0"/>
          <w:caps w:val="0"/>
          <w:color w:val="222222"/>
          <w:spacing w:val="8"/>
          <w:sz w:val="22"/>
          <w:szCs w:val="22"/>
          <w:shd w:val="clear" w:fill="FFFFFF"/>
        </w:rPr>
        <w:drawing>
          <wp:inline distT="0" distB="0" distL="114300" distR="114300">
            <wp:extent cx="5264150" cy="1985010"/>
            <wp:effectExtent l="0" t="0" r="12700" b="15240"/>
            <wp:docPr id="4"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59"/>
                    <pic:cNvPicPr>
                      <a:picLocks noChangeAspect="1"/>
                    </pic:cNvPicPr>
                  </pic:nvPicPr>
                  <pic:blipFill>
                    <a:blip r:embed="rId41"/>
                    <a:stretch>
                      <a:fillRect/>
                    </a:stretch>
                  </pic:blipFill>
                  <pic:spPr>
                    <a:xfrm>
                      <a:off x="0" y="0"/>
                      <a:ext cx="5264150" cy="198501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sz w:val="21"/>
          <w:szCs w:val="21"/>
          <w:shd w:val="clear" w:fill="FFFFFF"/>
        </w:rPr>
        <w:t>数据来源：米内网零售药店O2O消费者随机问卷调研（2022年5月）</w:t>
      </w:r>
    </w:p>
    <w:p>
      <w:pPr>
        <w:keepNext w:val="0"/>
        <w:keepLines w:val="0"/>
        <w:widowControl/>
        <w:suppressLineNumbers w:val="0"/>
        <w:spacing w:before="0" w:beforeAutospacing="0" w:after="0" w:afterAutospacing="0"/>
        <w:ind w:left="0" w:right="0"/>
        <w:jc w:val="left"/>
        <w:rPr>
          <w:rFonts w:hint="eastAsia" w:ascii="宋体" w:hAnsi="宋体" w:eastAsia="宋体" w:cs="宋体"/>
          <w:sz w:val="28"/>
          <w:szCs w:val="28"/>
        </w:rPr>
      </w:pPr>
      <w:r>
        <w:rPr>
          <w:rFonts w:hint="eastAsia" w:ascii="宋体" w:hAnsi="宋体" w:eastAsia="宋体" w:cs="宋体"/>
          <w:b/>
          <w:bCs/>
          <w:i w:val="0"/>
          <w:iCs w:val="0"/>
          <w:caps w:val="0"/>
          <w:color w:val="1C7B86"/>
          <w:spacing w:val="8"/>
          <w:kern w:val="0"/>
          <w:sz w:val="28"/>
          <w:szCs w:val="28"/>
          <w:shd w:val="clear" w:fill="FFFFFF"/>
          <w:lang w:val="en-US" w:eastAsia="zh-CN" w:bidi="ar"/>
        </w:rPr>
        <w:t>O2O成零售药店增长源动力，近三年部分上市公司O2O销售额翻倍</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firstLine="592" w:firstLineChars="200"/>
        <w:jc w:val="both"/>
        <w:rPr>
          <w:rFonts w:hint="eastAsia" w:ascii="宋体" w:hAnsi="宋体" w:eastAsia="宋体" w:cs="宋体"/>
          <w:sz w:val="28"/>
          <w:szCs w:val="28"/>
        </w:rPr>
      </w:pPr>
      <w:r>
        <w:rPr>
          <w:rFonts w:hint="eastAsia" w:ascii="宋体" w:hAnsi="宋体" w:eastAsia="宋体" w:cs="宋体"/>
          <w:i w:val="0"/>
          <w:iCs w:val="0"/>
          <w:caps w:val="0"/>
          <w:color w:val="222222"/>
          <w:spacing w:val="8"/>
          <w:sz w:val="28"/>
          <w:szCs w:val="28"/>
          <w:shd w:val="clear" w:fill="FFFFFF"/>
        </w:rPr>
        <w:t>随着模式的逐渐成熟，O2O已成为零售药店增长的源动力。大部分零售药店认为O2O是行业发展的必然趋势，既能迎合消费者的习惯，也能够增加营业收入。米内网调研显示，2021年，O2O销售额占比在5%以下的连锁药店达50.8%，占比在10%及以上的则有23.3%。但与2020年相比，有64.7%的连锁药店表示其O2O销售额占比是上升的，“明显上升”的药店也多达33.3%。</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r>
        <w:rPr>
          <w:rFonts w:hint="eastAsia" w:ascii="Microsoft YaHei UI" w:hAnsi="Microsoft YaHei UI" w:eastAsia="Microsoft YaHei UI" w:cs="Microsoft YaHei UI"/>
          <w:i w:val="0"/>
          <w:iCs w:val="0"/>
          <w:caps w:val="0"/>
          <w:color w:val="222222"/>
          <w:spacing w:val="8"/>
          <w:sz w:val="22"/>
          <w:szCs w:val="22"/>
          <w:shd w:val="clear" w:fill="FFFFFF"/>
        </w:rPr>
        <w:drawing>
          <wp:inline distT="0" distB="0" distL="114300" distR="114300">
            <wp:extent cx="5302250" cy="2190115"/>
            <wp:effectExtent l="0" t="0" r="12700" b="635"/>
            <wp:docPr id="5"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0"/>
                    <pic:cNvPicPr>
                      <a:picLocks noChangeAspect="1"/>
                    </pic:cNvPicPr>
                  </pic:nvPicPr>
                  <pic:blipFill>
                    <a:blip r:embed="rId42"/>
                    <a:stretch>
                      <a:fillRect/>
                    </a:stretch>
                  </pic:blipFill>
                  <pic:spPr>
                    <a:xfrm>
                      <a:off x="0" y="0"/>
                      <a:ext cx="5302250" cy="21901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sz w:val="21"/>
          <w:szCs w:val="21"/>
          <w:shd w:val="clear" w:fill="FFFFFF"/>
        </w:rPr>
        <w:t>数据来源：米内网零售药店O2O问卷调研（2022年5月）</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firstLine="592" w:firstLineChars="200"/>
        <w:jc w:val="both"/>
        <w:rPr>
          <w:rFonts w:hint="eastAsia" w:ascii="宋体" w:hAnsi="宋体" w:eastAsia="宋体" w:cs="宋体"/>
          <w:sz w:val="28"/>
          <w:szCs w:val="28"/>
        </w:rPr>
      </w:pPr>
      <w:r>
        <w:rPr>
          <w:rFonts w:hint="eastAsia" w:ascii="宋体" w:hAnsi="宋体" w:eastAsia="宋体" w:cs="宋体"/>
          <w:i w:val="0"/>
          <w:iCs w:val="0"/>
          <w:caps w:val="0"/>
          <w:color w:val="222222"/>
          <w:spacing w:val="8"/>
          <w:sz w:val="28"/>
          <w:szCs w:val="28"/>
          <w:shd w:val="clear" w:fill="FFFFFF"/>
        </w:rPr>
        <w:t>上市公司O2O行动较早，布局广，而且持续投入，近两年O2O的销售额亦有翻倍的增长。据米内网数据显示，与2020年的销售额相比，2021年益丰、老百姓、健之佳等上市公司增长均超2亿元，其中益丰的销售额增长高达3.8亿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r>
        <w:rPr>
          <w:rFonts w:hint="eastAsia" w:ascii="Microsoft YaHei UI" w:hAnsi="Microsoft YaHei UI" w:eastAsia="Microsoft YaHei UI" w:cs="Microsoft YaHei UI"/>
          <w:i w:val="0"/>
          <w:iCs w:val="0"/>
          <w:caps w:val="0"/>
          <w:color w:val="222222"/>
          <w:spacing w:val="8"/>
          <w:sz w:val="22"/>
          <w:szCs w:val="22"/>
          <w:shd w:val="clear" w:fill="FFFFFF"/>
        </w:rPr>
        <w:t>上市公司近三年O2O销售额（单位：元）</w:t>
      </w:r>
      <w:r>
        <w:rPr>
          <w:rFonts w:hint="eastAsia" w:ascii="Microsoft YaHei UI" w:hAnsi="Microsoft YaHei UI" w:eastAsia="Microsoft YaHei UI" w:cs="Microsoft YaHei UI"/>
          <w:i w:val="0"/>
          <w:iCs w:val="0"/>
          <w:caps w:val="0"/>
          <w:color w:val="222222"/>
          <w:spacing w:val="8"/>
          <w:sz w:val="22"/>
          <w:szCs w:val="22"/>
          <w:shd w:val="clear" w:fill="FFFFFF"/>
        </w:rPr>
        <w:br w:type="textWrapping"/>
      </w:r>
      <w:r>
        <w:rPr>
          <w:rFonts w:hint="eastAsia" w:ascii="Microsoft YaHei UI" w:hAnsi="Microsoft YaHei UI" w:eastAsia="Microsoft YaHei UI" w:cs="Microsoft YaHei UI"/>
          <w:i w:val="0"/>
          <w:iCs w:val="0"/>
          <w:caps w:val="0"/>
          <w:color w:val="222222"/>
          <w:spacing w:val="8"/>
          <w:sz w:val="22"/>
          <w:szCs w:val="22"/>
          <w:shd w:val="clear" w:fill="FFFFFF"/>
        </w:rPr>
        <w:drawing>
          <wp:inline distT="0" distB="0" distL="114300" distR="114300">
            <wp:extent cx="5317490" cy="2876550"/>
            <wp:effectExtent l="0" t="0" r="16510" b="0"/>
            <wp:docPr id="6"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1"/>
                    <pic:cNvPicPr>
                      <a:picLocks noChangeAspect="1"/>
                    </pic:cNvPicPr>
                  </pic:nvPicPr>
                  <pic:blipFill>
                    <a:blip r:embed="rId43"/>
                    <a:stretch>
                      <a:fillRect/>
                    </a:stretch>
                  </pic:blipFill>
                  <pic:spPr>
                    <a:xfrm>
                      <a:off x="0" y="0"/>
                      <a:ext cx="5317490" cy="287655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rPr>
          <w:rFonts w:hint="eastAsia" w:ascii="宋体" w:hAnsi="宋体" w:eastAsia="宋体" w:cs="宋体"/>
          <w:sz w:val="28"/>
          <w:szCs w:val="28"/>
        </w:rPr>
      </w:pPr>
      <w:r>
        <w:rPr>
          <w:rFonts w:hint="eastAsia" w:ascii="宋体" w:hAnsi="宋体" w:eastAsia="宋体" w:cs="宋体"/>
          <w:b/>
          <w:bCs/>
          <w:i w:val="0"/>
          <w:iCs w:val="0"/>
          <w:caps w:val="0"/>
          <w:color w:val="1C7B86"/>
          <w:spacing w:val="8"/>
          <w:kern w:val="0"/>
          <w:sz w:val="28"/>
          <w:szCs w:val="28"/>
          <w:shd w:val="clear" w:fill="FFFFFF"/>
          <w:lang w:val="en-US" w:eastAsia="zh-CN" w:bidi="ar"/>
        </w:rPr>
        <w:t>数字化成零售药店竞争关键，第三方平台助力药店O2O业务升级</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firstLine="592" w:firstLineChars="200"/>
        <w:jc w:val="both"/>
        <w:rPr>
          <w:rFonts w:hint="eastAsia" w:ascii="宋体" w:hAnsi="宋体" w:eastAsia="宋体" w:cs="宋体"/>
          <w:sz w:val="28"/>
          <w:szCs w:val="28"/>
        </w:rPr>
      </w:pPr>
      <w:r>
        <w:rPr>
          <w:rFonts w:hint="eastAsia" w:ascii="宋体" w:hAnsi="宋体" w:eastAsia="宋体" w:cs="宋体"/>
          <w:i w:val="0"/>
          <w:iCs w:val="0"/>
          <w:caps w:val="0"/>
          <w:color w:val="222222"/>
          <w:spacing w:val="8"/>
          <w:sz w:val="28"/>
          <w:szCs w:val="28"/>
          <w:shd w:val="clear" w:fill="FFFFFF"/>
        </w:rPr>
        <w:t>经过几十年的发展，零售药店完成了从单体药店向连锁药店的转变，经营管理也逐渐从粗放向精细、规范、程序、标准化转变，高毛利时代已然过去，竞争也越来越激烈，因此数字化成为零售药店提升竞争力和营销能力的关键。</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firstLine="592" w:firstLineChars="200"/>
        <w:jc w:val="both"/>
        <w:rPr>
          <w:rFonts w:hint="eastAsia" w:ascii="宋体" w:hAnsi="宋体" w:eastAsia="宋体" w:cs="宋体"/>
          <w:sz w:val="28"/>
          <w:szCs w:val="28"/>
        </w:rPr>
      </w:pPr>
      <w:r>
        <w:rPr>
          <w:rFonts w:hint="eastAsia" w:ascii="宋体" w:hAnsi="宋体" w:eastAsia="宋体" w:cs="宋体"/>
          <w:i w:val="0"/>
          <w:iCs w:val="0"/>
          <w:caps w:val="0"/>
          <w:color w:val="222222"/>
          <w:spacing w:val="8"/>
          <w:sz w:val="28"/>
          <w:szCs w:val="28"/>
          <w:shd w:val="clear" w:fill="FFFFFF"/>
        </w:rPr>
        <w:t>零售药店在O2O的数字化体现在商品上线、用户画像、运营管理等方面。报告指出，在零售药店O2O运营中，数字化在提升人效、分析功能和助力营销决策上有明显的作用。但不同连锁对于数字化的认知不同，据米内网数据显示，门店数量在100家及以上的连锁药店对O2O提高数字化能力会有更大的感触。</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5295900" cy="1762125"/>
            <wp:effectExtent l="0" t="0" r="0" b="9525"/>
            <wp:docPr id="7" name="图片 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2"/>
                    <pic:cNvPicPr>
                      <a:picLocks noChangeAspect="1"/>
                    </pic:cNvPicPr>
                  </pic:nvPicPr>
                  <pic:blipFill>
                    <a:blip r:embed="rId44"/>
                    <a:stretch>
                      <a:fillRect/>
                    </a:stretch>
                  </pic:blipFill>
                  <pic:spPr>
                    <a:xfrm>
                      <a:off x="0" y="0"/>
                      <a:ext cx="5295900" cy="176212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sz w:val="21"/>
          <w:szCs w:val="21"/>
          <w:shd w:val="clear" w:fill="FFFFFF"/>
        </w:rPr>
        <w:br w:type="textWrapping"/>
      </w:r>
      <w:r>
        <w:rPr>
          <w:rFonts w:hint="eastAsia" w:ascii="Microsoft YaHei UI" w:hAnsi="Microsoft YaHei UI" w:eastAsia="Microsoft YaHei UI" w:cs="Microsoft YaHei UI"/>
          <w:i w:val="0"/>
          <w:iCs w:val="0"/>
          <w:caps w:val="0"/>
          <w:color w:val="222222"/>
          <w:spacing w:val="8"/>
          <w:sz w:val="21"/>
          <w:szCs w:val="21"/>
          <w:shd w:val="clear" w:fill="FFFFFF"/>
        </w:rPr>
        <w:t>数据来源：米内网零售药店O2O问卷调研（2022年5月）</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firstLine="592" w:firstLineChars="200"/>
        <w:jc w:val="both"/>
        <w:rPr>
          <w:rFonts w:hint="eastAsia" w:ascii="宋体" w:hAnsi="宋体" w:eastAsia="宋体" w:cs="宋体"/>
          <w:sz w:val="28"/>
          <w:szCs w:val="28"/>
        </w:rPr>
      </w:pPr>
      <w:r>
        <w:rPr>
          <w:rFonts w:hint="eastAsia" w:ascii="宋体" w:hAnsi="宋体" w:eastAsia="宋体" w:cs="宋体"/>
          <w:i w:val="0"/>
          <w:iCs w:val="0"/>
          <w:caps w:val="0"/>
          <w:color w:val="222222"/>
          <w:spacing w:val="8"/>
          <w:sz w:val="28"/>
          <w:szCs w:val="28"/>
          <w:shd w:val="clear" w:fill="FFFFFF"/>
        </w:rPr>
        <w:t>在助力零售药店进行数字化升级的过程中，第三方平台的作用不可或缺，其凭借更多便捷性的工具，让更多药店上线O2O成为可能。以美团为例，近年来美团加大与线下药店合作，不仅推出了扶持24小时药店的“小黄灯”计划，对24小时营业的线下药店给予流量倾斜、运费补贴等扶持政策，让消费者夜间买药更容易，还推出涵盖商家经营补贴、经营分析系统升级、商家学习中心、私域会员经营和新手商家帮扶五项举措的“腾飞计划”，帮助商家提升数字化经营能力。</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firstLine="592" w:firstLineChars="200"/>
        <w:jc w:val="both"/>
        <w:rPr>
          <w:rFonts w:hint="eastAsia" w:ascii="宋体" w:hAnsi="宋体" w:eastAsia="宋体" w:cs="宋体"/>
          <w:sz w:val="28"/>
          <w:szCs w:val="28"/>
        </w:rPr>
      </w:pPr>
      <w:r>
        <w:rPr>
          <w:rFonts w:hint="eastAsia" w:ascii="宋体" w:hAnsi="宋体" w:eastAsia="宋体" w:cs="宋体"/>
          <w:i w:val="0"/>
          <w:iCs w:val="0"/>
          <w:caps w:val="0"/>
          <w:color w:val="222222"/>
          <w:spacing w:val="8"/>
          <w:sz w:val="28"/>
          <w:szCs w:val="28"/>
          <w:shd w:val="clear" w:fill="FFFFFF"/>
        </w:rPr>
        <w:t>零售药店O2O的健康良性发展有赖于各参与方携手共建，共同维持并推进行业良好生态发展，更好地服务于广大人民的健康需求。米内网认为，平台、零售药店、工业企业三者的协作密不可分，必须联合做好患者教育和用药咨询服务，给消费者带来便利和满足，同时加强下沉市场的布局和开发，让低线城市的需求得到更好的满足与释放。</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r>
        <w:rPr>
          <w:rFonts w:hint="eastAsia" w:ascii="Microsoft YaHei UI" w:hAnsi="Microsoft YaHei UI" w:eastAsia="Microsoft YaHei UI" w:cs="Microsoft YaHei UI"/>
          <w:i w:val="0"/>
          <w:iCs w:val="0"/>
          <w:caps w:val="0"/>
          <w:color w:val="333333"/>
          <w:spacing w:val="0"/>
          <w:sz w:val="22"/>
          <w:szCs w:val="22"/>
          <w:shd w:val="clear" w:fill="FFFFFF"/>
        </w:rPr>
        <w:t>数据来源：米内网数据库</w:t>
      </w:r>
      <w:r>
        <w:rPr>
          <w:rFonts w:hint="eastAsia" w:ascii="Microsoft YaHei UI" w:hAnsi="Microsoft YaHei UI" w:eastAsia="Microsoft YaHei UI" w:cs="Microsoft YaHei UI"/>
          <w:i w:val="0"/>
          <w:iCs w:val="0"/>
          <w:caps w:val="0"/>
          <w:color w:val="333333"/>
          <w:spacing w:val="0"/>
          <w:sz w:val="22"/>
          <w:szCs w:val="22"/>
          <w:shd w:val="clear" w:fill="FFFFFF"/>
        </w:rPr>
        <w:br w:type="textWrapping"/>
      </w:r>
      <w:r>
        <w:rPr>
          <w:rFonts w:hint="eastAsia" w:ascii="Microsoft YaHei UI" w:hAnsi="Microsoft YaHei UI" w:eastAsia="Microsoft YaHei UI" w:cs="Microsoft YaHei UI"/>
          <w:i w:val="0"/>
          <w:iCs w:val="0"/>
          <w:caps w:val="0"/>
          <w:color w:val="222222"/>
          <w:spacing w:val="8"/>
          <w:sz w:val="21"/>
          <w:szCs w:val="21"/>
          <w:shd w:val="clear" w:fill="FFFFFF"/>
        </w:rPr>
        <w:t>注：米内网《中国三大终端6大市场竞争格局》，统计范围是：城市公立医院和县级公立医院、城市社区中心和乡镇卫生院、城市实体药店和网上药店，不含民营医院、私人诊所、村卫生室，不含县乡村药店；上述销售额以产品在终端的平均零售价计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b/>
          <w:kern w:val="0"/>
          <w:sz w:val="33"/>
          <w:szCs w:val="33"/>
          <w:lang w:val="en-US" w:eastAsia="zh-CN" w:bidi="ar"/>
        </w:rPr>
      </w:pPr>
    </w:p>
    <w:sectPr>
      <w:headerReference r:id="rId4" w:type="first"/>
      <w:footerReference r:id="rId6" w:type="first"/>
      <w:headerReference r:id="rId3" w:type="default"/>
      <w:footerReference r:id="rId5" w:type="default"/>
      <w:pgSz w:w="11906" w:h="16838"/>
      <w:pgMar w:top="709" w:right="1797" w:bottom="426" w:left="1797"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Heiti SC Light">
    <w:altName w:val="Arial Unicode MS"/>
    <w:panose1 w:val="00000000000000000000"/>
    <w:charset w:val="50"/>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Microsoft YaHei UI">
    <w:panose1 w:val="020B0503020204020204"/>
    <w:charset w:val="86"/>
    <w:family w:val="auto"/>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174036"/>
      <w:docPartObj>
        <w:docPartGallery w:val="autotext"/>
      </w:docPartObj>
    </w:sdtPr>
    <w:sdtContent>
      <w:p>
        <w:pPr>
          <w:pStyle w:val="8"/>
          <w:jc w:val="center"/>
        </w:pPr>
        <w:r>
          <w:fldChar w:fldCharType="begin"/>
        </w:r>
        <w:r>
          <w:instrText xml:space="preserve"> PAGE   \* MERGEFORMAT </w:instrText>
        </w:r>
        <w:r>
          <w:fldChar w:fldCharType="separate"/>
        </w:r>
        <w:r>
          <w:rPr>
            <w:lang w:val="zh-CN"/>
          </w:rPr>
          <w:t>11</w:t>
        </w:r>
        <w:r>
          <w:rPr>
            <w:lang w:val="zh-CN"/>
          </w:rPr>
          <w:fldChar w:fldCharType="end"/>
        </w:r>
      </w:p>
    </w:sdtContent>
  </w:sdt>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5DA212"/>
    <w:multiLevelType w:val="singleLevel"/>
    <w:tmpl w:val="AF5DA212"/>
    <w:lvl w:ilvl="0" w:tentative="0">
      <w:start w:val="1"/>
      <w:numFmt w:val="decimal"/>
      <w:suff w:val="nothing"/>
      <w:lvlText w:val="%1、"/>
      <w:lvlJc w:val="left"/>
      <w:pPr>
        <w:ind w:left="420"/>
      </w:pPr>
    </w:lvl>
  </w:abstractNum>
  <w:abstractNum w:abstractNumId="1">
    <w:nsid w:val="159E846C"/>
    <w:multiLevelType w:val="singleLevel"/>
    <w:tmpl w:val="159E846C"/>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DIyYzMyZjhjZWI0MmYzYWUxYzE2YThlOTgxY2RjYTIifQ=="/>
  </w:docVars>
  <w:rsids>
    <w:rsidRoot w:val="00EE0913"/>
    <w:rsid w:val="00001BFB"/>
    <w:rsid w:val="000022E3"/>
    <w:rsid w:val="000024F5"/>
    <w:rsid w:val="00002766"/>
    <w:rsid w:val="000039EE"/>
    <w:rsid w:val="00003F1F"/>
    <w:rsid w:val="000052F1"/>
    <w:rsid w:val="00005C14"/>
    <w:rsid w:val="00010051"/>
    <w:rsid w:val="000100BC"/>
    <w:rsid w:val="000113BB"/>
    <w:rsid w:val="00011510"/>
    <w:rsid w:val="00011729"/>
    <w:rsid w:val="000128A3"/>
    <w:rsid w:val="000146CA"/>
    <w:rsid w:val="00015379"/>
    <w:rsid w:val="000155B7"/>
    <w:rsid w:val="0001575A"/>
    <w:rsid w:val="00015A5C"/>
    <w:rsid w:val="00015D57"/>
    <w:rsid w:val="000175C9"/>
    <w:rsid w:val="00017C59"/>
    <w:rsid w:val="00017FF3"/>
    <w:rsid w:val="000208A4"/>
    <w:rsid w:val="00022B29"/>
    <w:rsid w:val="00022D08"/>
    <w:rsid w:val="0002356D"/>
    <w:rsid w:val="0002364C"/>
    <w:rsid w:val="00024906"/>
    <w:rsid w:val="0002670E"/>
    <w:rsid w:val="0002785C"/>
    <w:rsid w:val="00027E7A"/>
    <w:rsid w:val="00031218"/>
    <w:rsid w:val="0003140E"/>
    <w:rsid w:val="00031F9A"/>
    <w:rsid w:val="000323D0"/>
    <w:rsid w:val="00032702"/>
    <w:rsid w:val="00032748"/>
    <w:rsid w:val="00032D3A"/>
    <w:rsid w:val="00032F39"/>
    <w:rsid w:val="00033524"/>
    <w:rsid w:val="000341C2"/>
    <w:rsid w:val="000348FD"/>
    <w:rsid w:val="000352F5"/>
    <w:rsid w:val="00035AF1"/>
    <w:rsid w:val="00035BE2"/>
    <w:rsid w:val="00035C5A"/>
    <w:rsid w:val="00035CD4"/>
    <w:rsid w:val="00036356"/>
    <w:rsid w:val="0003643D"/>
    <w:rsid w:val="00036535"/>
    <w:rsid w:val="00040400"/>
    <w:rsid w:val="00040A70"/>
    <w:rsid w:val="00040DA8"/>
    <w:rsid w:val="000417F0"/>
    <w:rsid w:val="000420F3"/>
    <w:rsid w:val="000436FE"/>
    <w:rsid w:val="00043E05"/>
    <w:rsid w:val="000454E9"/>
    <w:rsid w:val="000459E3"/>
    <w:rsid w:val="00047695"/>
    <w:rsid w:val="00050CCD"/>
    <w:rsid w:val="00050E0C"/>
    <w:rsid w:val="00051091"/>
    <w:rsid w:val="00053A0E"/>
    <w:rsid w:val="00053CCF"/>
    <w:rsid w:val="00053D46"/>
    <w:rsid w:val="00055025"/>
    <w:rsid w:val="0005614E"/>
    <w:rsid w:val="000561FD"/>
    <w:rsid w:val="0005653C"/>
    <w:rsid w:val="0005678D"/>
    <w:rsid w:val="00056ADA"/>
    <w:rsid w:val="00057394"/>
    <w:rsid w:val="00057873"/>
    <w:rsid w:val="00057E16"/>
    <w:rsid w:val="00060194"/>
    <w:rsid w:val="00060829"/>
    <w:rsid w:val="00060B4E"/>
    <w:rsid w:val="00060DB6"/>
    <w:rsid w:val="00060E3A"/>
    <w:rsid w:val="00060F2A"/>
    <w:rsid w:val="000612FF"/>
    <w:rsid w:val="00061883"/>
    <w:rsid w:val="0006228B"/>
    <w:rsid w:val="000627A5"/>
    <w:rsid w:val="000629CC"/>
    <w:rsid w:val="00063B74"/>
    <w:rsid w:val="000644AD"/>
    <w:rsid w:val="00064FF9"/>
    <w:rsid w:val="000660CF"/>
    <w:rsid w:val="00066B1E"/>
    <w:rsid w:val="00067203"/>
    <w:rsid w:val="0007054B"/>
    <w:rsid w:val="00070668"/>
    <w:rsid w:val="00070C62"/>
    <w:rsid w:val="00072506"/>
    <w:rsid w:val="0007440C"/>
    <w:rsid w:val="00074962"/>
    <w:rsid w:val="0007594B"/>
    <w:rsid w:val="00076278"/>
    <w:rsid w:val="00076422"/>
    <w:rsid w:val="00076AA0"/>
    <w:rsid w:val="00077AA6"/>
    <w:rsid w:val="00081C4C"/>
    <w:rsid w:val="0008296C"/>
    <w:rsid w:val="00082B25"/>
    <w:rsid w:val="00082D82"/>
    <w:rsid w:val="0008334C"/>
    <w:rsid w:val="00083BD0"/>
    <w:rsid w:val="00084851"/>
    <w:rsid w:val="000853DB"/>
    <w:rsid w:val="000855A7"/>
    <w:rsid w:val="00085664"/>
    <w:rsid w:val="00086182"/>
    <w:rsid w:val="00086257"/>
    <w:rsid w:val="00086383"/>
    <w:rsid w:val="0008668C"/>
    <w:rsid w:val="00087C0D"/>
    <w:rsid w:val="00087E46"/>
    <w:rsid w:val="00087FA7"/>
    <w:rsid w:val="00090C13"/>
    <w:rsid w:val="00091146"/>
    <w:rsid w:val="0009141B"/>
    <w:rsid w:val="0009174A"/>
    <w:rsid w:val="00091FFC"/>
    <w:rsid w:val="00093A40"/>
    <w:rsid w:val="00093CBF"/>
    <w:rsid w:val="00093E3A"/>
    <w:rsid w:val="00094515"/>
    <w:rsid w:val="000953D3"/>
    <w:rsid w:val="00096C9C"/>
    <w:rsid w:val="00097D5A"/>
    <w:rsid w:val="000A003B"/>
    <w:rsid w:val="000A0979"/>
    <w:rsid w:val="000A0C20"/>
    <w:rsid w:val="000A1603"/>
    <w:rsid w:val="000A1660"/>
    <w:rsid w:val="000A1AFA"/>
    <w:rsid w:val="000A1B47"/>
    <w:rsid w:val="000A1FCA"/>
    <w:rsid w:val="000A202A"/>
    <w:rsid w:val="000A2150"/>
    <w:rsid w:val="000A23F5"/>
    <w:rsid w:val="000A49A4"/>
    <w:rsid w:val="000A634C"/>
    <w:rsid w:val="000A6BFA"/>
    <w:rsid w:val="000A7367"/>
    <w:rsid w:val="000B0A67"/>
    <w:rsid w:val="000B3940"/>
    <w:rsid w:val="000B3F1B"/>
    <w:rsid w:val="000B4EC5"/>
    <w:rsid w:val="000B53B1"/>
    <w:rsid w:val="000B5C93"/>
    <w:rsid w:val="000B6825"/>
    <w:rsid w:val="000B6B78"/>
    <w:rsid w:val="000C2567"/>
    <w:rsid w:val="000C47AA"/>
    <w:rsid w:val="000C4E05"/>
    <w:rsid w:val="000C682D"/>
    <w:rsid w:val="000C6AFC"/>
    <w:rsid w:val="000C6FFF"/>
    <w:rsid w:val="000C7C03"/>
    <w:rsid w:val="000D041E"/>
    <w:rsid w:val="000D0824"/>
    <w:rsid w:val="000D0D8A"/>
    <w:rsid w:val="000D1C31"/>
    <w:rsid w:val="000D246E"/>
    <w:rsid w:val="000D28F7"/>
    <w:rsid w:val="000D56A1"/>
    <w:rsid w:val="000D5A1A"/>
    <w:rsid w:val="000D61D0"/>
    <w:rsid w:val="000D6AB0"/>
    <w:rsid w:val="000D76C3"/>
    <w:rsid w:val="000E0059"/>
    <w:rsid w:val="000E05FD"/>
    <w:rsid w:val="000E11A9"/>
    <w:rsid w:val="000E1243"/>
    <w:rsid w:val="000E16A0"/>
    <w:rsid w:val="000E251E"/>
    <w:rsid w:val="000E2955"/>
    <w:rsid w:val="000E2B6C"/>
    <w:rsid w:val="000E4895"/>
    <w:rsid w:val="000E4A5E"/>
    <w:rsid w:val="000E5D58"/>
    <w:rsid w:val="000E6245"/>
    <w:rsid w:val="000E79CF"/>
    <w:rsid w:val="000F0270"/>
    <w:rsid w:val="000F07CE"/>
    <w:rsid w:val="000F0AF0"/>
    <w:rsid w:val="000F0C17"/>
    <w:rsid w:val="000F0F23"/>
    <w:rsid w:val="000F1D22"/>
    <w:rsid w:val="000F2C6A"/>
    <w:rsid w:val="000F32F6"/>
    <w:rsid w:val="000F33C1"/>
    <w:rsid w:val="000F43A9"/>
    <w:rsid w:val="000F55D2"/>
    <w:rsid w:val="000F6444"/>
    <w:rsid w:val="000F6846"/>
    <w:rsid w:val="000F6ACA"/>
    <w:rsid w:val="000F6D53"/>
    <w:rsid w:val="000F724C"/>
    <w:rsid w:val="001016A6"/>
    <w:rsid w:val="00101B15"/>
    <w:rsid w:val="001031E5"/>
    <w:rsid w:val="001032B8"/>
    <w:rsid w:val="00103BC3"/>
    <w:rsid w:val="00103DAD"/>
    <w:rsid w:val="00104ACF"/>
    <w:rsid w:val="00105135"/>
    <w:rsid w:val="001056A9"/>
    <w:rsid w:val="00105CE5"/>
    <w:rsid w:val="001069F4"/>
    <w:rsid w:val="0010723C"/>
    <w:rsid w:val="00107268"/>
    <w:rsid w:val="0011189B"/>
    <w:rsid w:val="00113937"/>
    <w:rsid w:val="00113DC5"/>
    <w:rsid w:val="00114185"/>
    <w:rsid w:val="00114802"/>
    <w:rsid w:val="001149F4"/>
    <w:rsid w:val="001163FB"/>
    <w:rsid w:val="001173FB"/>
    <w:rsid w:val="00117A35"/>
    <w:rsid w:val="0012030B"/>
    <w:rsid w:val="00120A62"/>
    <w:rsid w:val="00121C29"/>
    <w:rsid w:val="00122376"/>
    <w:rsid w:val="00122583"/>
    <w:rsid w:val="001225B1"/>
    <w:rsid w:val="001228C5"/>
    <w:rsid w:val="00123126"/>
    <w:rsid w:val="00123D5A"/>
    <w:rsid w:val="0012415F"/>
    <w:rsid w:val="00124221"/>
    <w:rsid w:val="00125020"/>
    <w:rsid w:val="001257A6"/>
    <w:rsid w:val="00126255"/>
    <w:rsid w:val="00126BF8"/>
    <w:rsid w:val="0012750C"/>
    <w:rsid w:val="0012752B"/>
    <w:rsid w:val="00127A07"/>
    <w:rsid w:val="0013048B"/>
    <w:rsid w:val="00130EEA"/>
    <w:rsid w:val="00131CBA"/>
    <w:rsid w:val="00131EC6"/>
    <w:rsid w:val="00132673"/>
    <w:rsid w:val="001326AA"/>
    <w:rsid w:val="00133315"/>
    <w:rsid w:val="00136D64"/>
    <w:rsid w:val="001403FA"/>
    <w:rsid w:val="001407D8"/>
    <w:rsid w:val="0014087D"/>
    <w:rsid w:val="001424A8"/>
    <w:rsid w:val="0014298A"/>
    <w:rsid w:val="00142E3F"/>
    <w:rsid w:val="00144B2F"/>
    <w:rsid w:val="00144ECC"/>
    <w:rsid w:val="00145DB1"/>
    <w:rsid w:val="001460BB"/>
    <w:rsid w:val="001466DA"/>
    <w:rsid w:val="00146CD9"/>
    <w:rsid w:val="00147260"/>
    <w:rsid w:val="00147B39"/>
    <w:rsid w:val="001500A3"/>
    <w:rsid w:val="00150113"/>
    <w:rsid w:val="00150FFB"/>
    <w:rsid w:val="00151A04"/>
    <w:rsid w:val="00152AE5"/>
    <w:rsid w:val="00152C40"/>
    <w:rsid w:val="00152E4E"/>
    <w:rsid w:val="0015388E"/>
    <w:rsid w:val="00153D1C"/>
    <w:rsid w:val="00154F45"/>
    <w:rsid w:val="0015554A"/>
    <w:rsid w:val="00155BAD"/>
    <w:rsid w:val="001563A0"/>
    <w:rsid w:val="00156883"/>
    <w:rsid w:val="001578CA"/>
    <w:rsid w:val="001608F2"/>
    <w:rsid w:val="00162ADF"/>
    <w:rsid w:val="00162DBC"/>
    <w:rsid w:val="001630AD"/>
    <w:rsid w:val="001639CA"/>
    <w:rsid w:val="00163BDD"/>
    <w:rsid w:val="00163DA7"/>
    <w:rsid w:val="001642EC"/>
    <w:rsid w:val="00164597"/>
    <w:rsid w:val="00164B58"/>
    <w:rsid w:val="00164C43"/>
    <w:rsid w:val="001670DA"/>
    <w:rsid w:val="0017152E"/>
    <w:rsid w:val="00171A68"/>
    <w:rsid w:val="001739AD"/>
    <w:rsid w:val="00173C28"/>
    <w:rsid w:val="0017408C"/>
    <w:rsid w:val="0017457B"/>
    <w:rsid w:val="00175134"/>
    <w:rsid w:val="001767E5"/>
    <w:rsid w:val="0018153F"/>
    <w:rsid w:val="0018160E"/>
    <w:rsid w:val="00181800"/>
    <w:rsid w:val="001818F9"/>
    <w:rsid w:val="0018574F"/>
    <w:rsid w:val="00185B3C"/>
    <w:rsid w:val="00186072"/>
    <w:rsid w:val="0018620F"/>
    <w:rsid w:val="001864C9"/>
    <w:rsid w:val="00186C9C"/>
    <w:rsid w:val="00187303"/>
    <w:rsid w:val="001903A2"/>
    <w:rsid w:val="001905DD"/>
    <w:rsid w:val="001908AB"/>
    <w:rsid w:val="00190927"/>
    <w:rsid w:val="00190F6E"/>
    <w:rsid w:val="001919F5"/>
    <w:rsid w:val="00191FD5"/>
    <w:rsid w:val="0019335B"/>
    <w:rsid w:val="00193B69"/>
    <w:rsid w:val="00193D4E"/>
    <w:rsid w:val="00193F34"/>
    <w:rsid w:val="0019486C"/>
    <w:rsid w:val="00195DC1"/>
    <w:rsid w:val="001962FE"/>
    <w:rsid w:val="001A038F"/>
    <w:rsid w:val="001A0497"/>
    <w:rsid w:val="001A1C96"/>
    <w:rsid w:val="001A301E"/>
    <w:rsid w:val="001A354B"/>
    <w:rsid w:val="001A354F"/>
    <w:rsid w:val="001A47B2"/>
    <w:rsid w:val="001A4F2B"/>
    <w:rsid w:val="001A4F78"/>
    <w:rsid w:val="001A510C"/>
    <w:rsid w:val="001A5C75"/>
    <w:rsid w:val="001A5FCE"/>
    <w:rsid w:val="001A621D"/>
    <w:rsid w:val="001B0448"/>
    <w:rsid w:val="001B07E5"/>
    <w:rsid w:val="001B0EFF"/>
    <w:rsid w:val="001B1199"/>
    <w:rsid w:val="001B1726"/>
    <w:rsid w:val="001B1E70"/>
    <w:rsid w:val="001B2160"/>
    <w:rsid w:val="001B25B6"/>
    <w:rsid w:val="001B3741"/>
    <w:rsid w:val="001B3846"/>
    <w:rsid w:val="001B4721"/>
    <w:rsid w:val="001B544A"/>
    <w:rsid w:val="001B5720"/>
    <w:rsid w:val="001B62B5"/>
    <w:rsid w:val="001B6A65"/>
    <w:rsid w:val="001B6C75"/>
    <w:rsid w:val="001B7DF4"/>
    <w:rsid w:val="001C27A9"/>
    <w:rsid w:val="001C2967"/>
    <w:rsid w:val="001C3235"/>
    <w:rsid w:val="001C39E0"/>
    <w:rsid w:val="001C39FD"/>
    <w:rsid w:val="001C4801"/>
    <w:rsid w:val="001C508D"/>
    <w:rsid w:val="001C5A48"/>
    <w:rsid w:val="001D0737"/>
    <w:rsid w:val="001D13D4"/>
    <w:rsid w:val="001D1E3F"/>
    <w:rsid w:val="001D33E2"/>
    <w:rsid w:val="001D3B5C"/>
    <w:rsid w:val="001D3BFF"/>
    <w:rsid w:val="001D433F"/>
    <w:rsid w:val="001D44DA"/>
    <w:rsid w:val="001D5F46"/>
    <w:rsid w:val="001D5F9D"/>
    <w:rsid w:val="001D71ED"/>
    <w:rsid w:val="001D7E99"/>
    <w:rsid w:val="001E0A8D"/>
    <w:rsid w:val="001E0EF4"/>
    <w:rsid w:val="001E1450"/>
    <w:rsid w:val="001E1C3D"/>
    <w:rsid w:val="001E2F38"/>
    <w:rsid w:val="001E34DF"/>
    <w:rsid w:val="001E3D69"/>
    <w:rsid w:val="001E66CE"/>
    <w:rsid w:val="001E6B82"/>
    <w:rsid w:val="001E72AD"/>
    <w:rsid w:val="001E7B65"/>
    <w:rsid w:val="001F0482"/>
    <w:rsid w:val="001F090A"/>
    <w:rsid w:val="001F0A9C"/>
    <w:rsid w:val="001F17B4"/>
    <w:rsid w:val="001F2D98"/>
    <w:rsid w:val="001F2F68"/>
    <w:rsid w:val="001F33AE"/>
    <w:rsid w:val="001F3D96"/>
    <w:rsid w:val="001F4080"/>
    <w:rsid w:val="001F467E"/>
    <w:rsid w:val="001F4D84"/>
    <w:rsid w:val="001F53FD"/>
    <w:rsid w:val="001F6CFD"/>
    <w:rsid w:val="001F7124"/>
    <w:rsid w:val="0020139B"/>
    <w:rsid w:val="002022A3"/>
    <w:rsid w:val="002034B9"/>
    <w:rsid w:val="00203567"/>
    <w:rsid w:val="00203947"/>
    <w:rsid w:val="00205880"/>
    <w:rsid w:val="00205AB9"/>
    <w:rsid w:val="00205B89"/>
    <w:rsid w:val="00205EB5"/>
    <w:rsid w:val="00206FBB"/>
    <w:rsid w:val="00207153"/>
    <w:rsid w:val="002075FF"/>
    <w:rsid w:val="0020779A"/>
    <w:rsid w:val="002103E0"/>
    <w:rsid w:val="0021048A"/>
    <w:rsid w:val="002105D7"/>
    <w:rsid w:val="0021132D"/>
    <w:rsid w:val="002119CC"/>
    <w:rsid w:val="002122CD"/>
    <w:rsid w:val="00212300"/>
    <w:rsid w:val="00213B80"/>
    <w:rsid w:val="00214454"/>
    <w:rsid w:val="0021452B"/>
    <w:rsid w:val="002160B9"/>
    <w:rsid w:val="00216CDF"/>
    <w:rsid w:val="002173B6"/>
    <w:rsid w:val="00221241"/>
    <w:rsid w:val="00222CC3"/>
    <w:rsid w:val="00223404"/>
    <w:rsid w:val="002236A0"/>
    <w:rsid w:val="00223FA0"/>
    <w:rsid w:val="002243A0"/>
    <w:rsid w:val="002243A5"/>
    <w:rsid w:val="002249B6"/>
    <w:rsid w:val="00226714"/>
    <w:rsid w:val="002278CC"/>
    <w:rsid w:val="00230207"/>
    <w:rsid w:val="00230B63"/>
    <w:rsid w:val="00230C6B"/>
    <w:rsid w:val="00231311"/>
    <w:rsid w:val="002314A5"/>
    <w:rsid w:val="002318A0"/>
    <w:rsid w:val="002327D9"/>
    <w:rsid w:val="00232967"/>
    <w:rsid w:val="00233542"/>
    <w:rsid w:val="0023379C"/>
    <w:rsid w:val="00233C59"/>
    <w:rsid w:val="00235103"/>
    <w:rsid w:val="002351A4"/>
    <w:rsid w:val="002353B1"/>
    <w:rsid w:val="00236537"/>
    <w:rsid w:val="00237D91"/>
    <w:rsid w:val="0024061C"/>
    <w:rsid w:val="00240C67"/>
    <w:rsid w:val="00240FAB"/>
    <w:rsid w:val="002416FC"/>
    <w:rsid w:val="0024184A"/>
    <w:rsid w:val="002427C2"/>
    <w:rsid w:val="00244227"/>
    <w:rsid w:val="00244248"/>
    <w:rsid w:val="0024457B"/>
    <w:rsid w:val="00244ABD"/>
    <w:rsid w:val="00245654"/>
    <w:rsid w:val="00245FDA"/>
    <w:rsid w:val="0024640D"/>
    <w:rsid w:val="00247264"/>
    <w:rsid w:val="00247497"/>
    <w:rsid w:val="00247AA4"/>
    <w:rsid w:val="00247E86"/>
    <w:rsid w:val="00250630"/>
    <w:rsid w:val="0025106B"/>
    <w:rsid w:val="002519F4"/>
    <w:rsid w:val="00251B6B"/>
    <w:rsid w:val="00251BB2"/>
    <w:rsid w:val="0025201B"/>
    <w:rsid w:val="00252A4A"/>
    <w:rsid w:val="00254F04"/>
    <w:rsid w:val="00255199"/>
    <w:rsid w:val="0025548F"/>
    <w:rsid w:val="00256111"/>
    <w:rsid w:val="00256345"/>
    <w:rsid w:val="002563FA"/>
    <w:rsid w:val="0026045F"/>
    <w:rsid w:val="00260468"/>
    <w:rsid w:val="00260992"/>
    <w:rsid w:val="002621FF"/>
    <w:rsid w:val="00262479"/>
    <w:rsid w:val="002625D6"/>
    <w:rsid w:val="002629B4"/>
    <w:rsid w:val="00262A6D"/>
    <w:rsid w:val="0026346A"/>
    <w:rsid w:val="002638D5"/>
    <w:rsid w:val="00264A0A"/>
    <w:rsid w:val="002657C3"/>
    <w:rsid w:val="0026611E"/>
    <w:rsid w:val="0026627E"/>
    <w:rsid w:val="00266A78"/>
    <w:rsid w:val="00266C02"/>
    <w:rsid w:val="00266CC5"/>
    <w:rsid w:val="002677A9"/>
    <w:rsid w:val="00270B26"/>
    <w:rsid w:val="00272A57"/>
    <w:rsid w:val="00272DD6"/>
    <w:rsid w:val="00272DD8"/>
    <w:rsid w:val="0027315C"/>
    <w:rsid w:val="00273666"/>
    <w:rsid w:val="00274D0C"/>
    <w:rsid w:val="00275C4C"/>
    <w:rsid w:val="00276854"/>
    <w:rsid w:val="00276E5B"/>
    <w:rsid w:val="002776BC"/>
    <w:rsid w:val="0028072E"/>
    <w:rsid w:val="00280939"/>
    <w:rsid w:val="0028113F"/>
    <w:rsid w:val="00281484"/>
    <w:rsid w:val="00283DBC"/>
    <w:rsid w:val="00284758"/>
    <w:rsid w:val="002852EE"/>
    <w:rsid w:val="00285A99"/>
    <w:rsid w:val="00286857"/>
    <w:rsid w:val="002903C0"/>
    <w:rsid w:val="002906A4"/>
    <w:rsid w:val="00291A08"/>
    <w:rsid w:val="002920A8"/>
    <w:rsid w:val="00292553"/>
    <w:rsid w:val="00292558"/>
    <w:rsid w:val="00292833"/>
    <w:rsid w:val="00292AA3"/>
    <w:rsid w:val="00292B86"/>
    <w:rsid w:val="00292CF2"/>
    <w:rsid w:val="0029335C"/>
    <w:rsid w:val="002937FB"/>
    <w:rsid w:val="002938F5"/>
    <w:rsid w:val="002946BD"/>
    <w:rsid w:val="002952D5"/>
    <w:rsid w:val="00295F88"/>
    <w:rsid w:val="00297251"/>
    <w:rsid w:val="0029747B"/>
    <w:rsid w:val="002A07D3"/>
    <w:rsid w:val="002A2451"/>
    <w:rsid w:val="002A33A8"/>
    <w:rsid w:val="002A3C2B"/>
    <w:rsid w:val="002A4944"/>
    <w:rsid w:val="002A598B"/>
    <w:rsid w:val="002A5DD2"/>
    <w:rsid w:val="002A62EC"/>
    <w:rsid w:val="002A68AE"/>
    <w:rsid w:val="002B01FD"/>
    <w:rsid w:val="002B0589"/>
    <w:rsid w:val="002B1FCF"/>
    <w:rsid w:val="002B3ED6"/>
    <w:rsid w:val="002B3FA2"/>
    <w:rsid w:val="002B46CC"/>
    <w:rsid w:val="002B4A21"/>
    <w:rsid w:val="002B4B4C"/>
    <w:rsid w:val="002B4DC6"/>
    <w:rsid w:val="002B5298"/>
    <w:rsid w:val="002B556C"/>
    <w:rsid w:val="002B5B13"/>
    <w:rsid w:val="002B681D"/>
    <w:rsid w:val="002B741C"/>
    <w:rsid w:val="002C1C42"/>
    <w:rsid w:val="002C1E38"/>
    <w:rsid w:val="002C2126"/>
    <w:rsid w:val="002C26E3"/>
    <w:rsid w:val="002C31C2"/>
    <w:rsid w:val="002C3457"/>
    <w:rsid w:val="002C393C"/>
    <w:rsid w:val="002C3FEE"/>
    <w:rsid w:val="002C431C"/>
    <w:rsid w:val="002C46BB"/>
    <w:rsid w:val="002C473E"/>
    <w:rsid w:val="002C4A09"/>
    <w:rsid w:val="002C72F3"/>
    <w:rsid w:val="002C7A72"/>
    <w:rsid w:val="002C7DC1"/>
    <w:rsid w:val="002D1189"/>
    <w:rsid w:val="002D1EA0"/>
    <w:rsid w:val="002D216A"/>
    <w:rsid w:val="002D2553"/>
    <w:rsid w:val="002D2D9C"/>
    <w:rsid w:val="002D3CB8"/>
    <w:rsid w:val="002D4680"/>
    <w:rsid w:val="002D50D6"/>
    <w:rsid w:val="002D580B"/>
    <w:rsid w:val="002D5B47"/>
    <w:rsid w:val="002D68A2"/>
    <w:rsid w:val="002D6CB2"/>
    <w:rsid w:val="002D7855"/>
    <w:rsid w:val="002D7BEE"/>
    <w:rsid w:val="002E096F"/>
    <w:rsid w:val="002E1EA0"/>
    <w:rsid w:val="002E2D86"/>
    <w:rsid w:val="002E36AC"/>
    <w:rsid w:val="002E3F25"/>
    <w:rsid w:val="002E5E7D"/>
    <w:rsid w:val="002E68AF"/>
    <w:rsid w:val="002F0685"/>
    <w:rsid w:val="002F1160"/>
    <w:rsid w:val="002F13BC"/>
    <w:rsid w:val="002F1F90"/>
    <w:rsid w:val="002F3403"/>
    <w:rsid w:val="002F3F94"/>
    <w:rsid w:val="002F40B3"/>
    <w:rsid w:val="002F58B5"/>
    <w:rsid w:val="002F7B7B"/>
    <w:rsid w:val="00300477"/>
    <w:rsid w:val="00300F79"/>
    <w:rsid w:val="00302DBE"/>
    <w:rsid w:val="00304584"/>
    <w:rsid w:val="00304793"/>
    <w:rsid w:val="003047E7"/>
    <w:rsid w:val="003051B4"/>
    <w:rsid w:val="00305369"/>
    <w:rsid w:val="00305412"/>
    <w:rsid w:val="00306DBC"/>
    <w:rsid w:val="00307F55"/>
    <w:rsid w:val="0031012A"/>
    <w:rsid w:val="00310835"/>
    <w:rsid w:val="00310B0A"/>
    <w:rsid w:val="0031156E"/>
    <w:rsid w:val="00311A79"/>
    <w:rsid w:val="00312472"/>
    <w:rsid w:val="00312785"/>
    <w:rsid w:val="00312A2C"/>
    <w:rsid w:val="00312A4E"/>
    <w:rsid w:val="00313469"/>
    <w:rsid w:val="00313539"/>
    <w:rsid w:val="00314C54"/>
    <w:rsid w:val="00317276"/>
    <w:rsid w:val="003179E4"/>
    <w:rsid w:val="00317BF9"/>
    <w:rsid w:val="00320350"/>
    <w:rsid w:val="00320E71"/>
    <w:rsid w:val="00320FE0"/>
    <w:rsid w:val="003210F3"/>
    <w:rsid w:val="00321602"/>
    <w:rsid w:val="0032169F"/>
    <w:rsid w:val="00322C5C"/>
    <w:rsid w:val="00323017"/>
    <w:rsid w:val="00323170"/>
    <w:rsid w:val="00323392"/>
    <w:rsid w:val="0032363C"/>
    <w:rsid w:val="00323C2E"/>
    <w:rsid w:val="00324197"/>
    <w:rsid w:val="00325071"/>
    <w:rsid w:val="003268D7"/>
    <w:rsid w:val="00327CAF"/>
    <w:rsid w:val="00327FE5"/>
    <w:rsid w:val="0033263D"/>
    <w:rsid w:val="0033291B"/>
    <w:rsid w:val="0033465D"/>
    <w:rsid w:val="00335274"/>
    <w:rsid w:val="00335A4E"/>
    <w:rsid w:val="00335C44"/>
    <w:rsid w:val="00336460"/>
    <w:rsid w:val="00336499"/>
    <w:rsid w:val="0033663B"/>
    <w:rsid w:val="00336E08"/>
    <w:rsid w:val="00336F6F"/>
    <w:rsid w:val="003370D6"/>
    <w:rsid w:val="0033724A"/>
    <w:rsid w:val="00337391"/>
    <w:rsid w:val="00337888"/>
    <w:rsid w:val="00341038"/>
    <w:rsid w:val="0034105F"/>
    <w:rsid w:val="00342973"/>
    <w:rsid w:val="0034346C"/>
    <w:rsid w:val="0034378E"/>
    <w:rsid w:val="0034422C"/>
    <w:rsid w:val="003442D9"/>
    <w:rsid w:val="00345AFD"/>
    <w:rsid w:val="00346311"/>
    <w:rsid w:val="00346627"/>
    <w:rsid w:val="003507E9"/>
    <w:rsid w:val="00350845"/>
    <w:rsid w:val="00351168"/>
    <w:rsid w:val="00352C9C"/>
    <w:rsid w:val="0035304D"/>
    <w:rsid w:val="00354BFD"/>
    <w:rsid w:val="00354D1F"/>
    <w:rsid w:val="00355190"/>
    <w:rsid w:val="00357A31"/>
    <w:rsid w:val="00357D07"/>
    <w:rsid w:val="00360F8B"/>
    <w:rsid w:val="00361C58"/>
    <w:rsid w:val="00361FBE"/>
    <w:rsid w:val="00364EDB"/>
    <w:rsid w:val="00365092"/>
    <w:rsid w:val="003656A7"/>
    <w:rsid w:val="00365C24"/>
    <w:rsid w:val="003662F1"/>
    <w:rsid w:val="00366A50"/>
    <w:rsid w:val="00366F4D"/>
    <w:rsid w:val="0036711D"/>
    <w:rsid w:val="00367305"/>
    <w:rsid w:val="0036751A"/>
    <w:rsid w:val="003679CE"/>
    <w:rsid w:val="003712D6"/>
    <w:rsid w:val="00371710"/>
    <w:rsid w:val="003724C8"/>
    <w:rsid w:val="003730BD"/>
    <w:rsid w:val="00373967"/>
    <w:rsid w:val="00374CE2"/>
    <w:rsid w:val="003752B6"/>
    <w:rsid w:val="00376004"/>
    <w:rsid w:val="0037647A"/>
    <w:rsid w:val="00376480"/>
    <w:rsid w:val="00376771"/>
    <w:rsid w:val="0037765D"/>
    <w:rsid w:val="00380C91"/>
    <w:rsid w:val="0038131A"/>
    <w:rsid w:val="003817B3"/>
    <w:rsid w:val="00382270"/>
    <w:rsid w:val="003836E1"/>
    <w:rsid w:val="00384748"/>
    <w:rsid w:val="003849E1"/>
    <w:rsid w:val="00385431"/>
    <w:rsid w:val="00385743"/>
    <w:rsid w:val="00386D12"/>
    <w:rsid w:val="003874DC"/>
    <w:rsid w:val="00387AE4"/>
    <w:rsid w:val="003902B7"/>
    <w:rsid w:val="003902FB"/>
    <w:rsid w:val="00390444"/>
    <w:rsid w:val="00390851"/>
    <w:rsid w:val="0039109A"/>
    <w:rsid w:val="003914FA"/>
    <w:rsid w:val="00393655"/>
    <w:rsid w:val="00393F06"/>
    <w:rsid w:val="0039555E"/>
    <w:rsid w:val="003962F0"/>
    <w:rsid w:val="00397D5A"/>
    <w:rsid w:val="00397F9A"/>
    <w:rsid w:val="003A06BF"/>
    <w:rsid w:val="003A082D"/>
    <w:rsid w:val="003A0FC6"/>
    <w:rsid w:val="003A17C6"/>
    <w:rsid w:val="003A1EDA"/>
    <w:rsid w:val="003A230C"/>
    <w:rsid w:val="003A2A79"/>
    <w:rsid w:val="003A2D64"/>
    <w:rsid w:val="003A3081"/>
    <w:rsid w:val="003A4135"/>
    <w:rsid w:val="003A4422"/>
    <w:rsid w:val="003A5055"/>
    <w:rsid w:val="003A516D"/>
    <w:rsid w:val="003A5641"/>
    <w:rsid w:val="003A583B"/>
    <w:rsid w:val="003A67B2"/>
    <w:rsid w:val="003A6902"/>
    <w:rsid w:val="003A7F64"/>
    <w:rsid w:val="003B014F"/>
    <w:rsid w:val="003B044F"/>
    <w:rsid w:val="003B0EE9"/>
    <w:rsid w:val="003B2521"/>
    <w:rsid w:val="003B37EF"/>
    <w:rsid w:val="003B3A38"/>
    <w:rsid w:val="003B478F"/>
    <w:rsid w:val="003B5078"/>
    <w:rsid w:val="003B6CEF"/>
    <w:rsid w:val="003B7665"/>
    <w:rsid w:val="003B794B"/>
    <w:rsid w:val="003C0CEC"/>
    <w:rsid w:val="003C1120"/>
    <w:rsid w:val="003C1999"/>
    <w:rsid w:val="003C1A2D"/>
    <w:rsid w:val="003C31B3"/>
    <w:rsid w:val="003C3686"/>
    <w:rsid w:val="003C3AD5"/>
    <w:rsid w:val="003C46AB"/>
    <w:rsid w:val="003C4D36"/>
    <w:rsid w:val="003C594F"/>
    <w:rsid w:val="003C5C2A"/>
    <w:rsid w:val="003C6E83"/>
    <w:rsid w:val="003C79BE"/>
    <w:rsid w:val="003D073B"/>
    <w:rsid w:val="003D1CD9"/>
    <w:rsid w:val="003D24D6"/>
    <w:rsid w:val="003D2AE9"/>
    <w:rsid w:val="003D402A"/>
    <w:rsid w:val="003D4F06"/>
    <w:rsid w:val="003D68AB"/>
    <w:rsid w:val="003D7AC8"/>
    <w:rsid w:val="003D7ADF"/>
    <w:rsid w:val="003D7B40"/>
    <w:rsid w:val="003E0D0F"/>
    <w:rsid w:val="003E1888"/>
    <w:rsid w:val="003E3DE0"/>
    <w:rsid w:val="003E499D"/>
    <w:rsid w:val="003E4D7B"/>
    <w:rsid w:val="003E50E1"/>
    <w:rsid w:val="003E5215"/>
    <w:rsid w:val="003E524C"/>
    <w:rsid w:val="003E5A12"/>
    <w:rsid w:val="003E5B90"/>
    <w:rsid w:val="003E6D15"/>
    <w:rsid w:val="003E6FE6"/>
    <w:rsid w:val="003E70B9"/>
    <w:rsid w:val="003E711B"/>
    <w:rsid w:val="003E74F7"/>
    <w:rsid w:val="003E76BE"/>
    <w:rsid w:val="003F09D8"/>
    <w:rsid w:val="003F11DF"/>
    <w:rsid w:val="003F12FB"/>
    <w:rsid w:val="003F1864"/>
    <w:rsid w:val="003F1D3F"/>
    <w:rsid w:val="003F1F98"/>
    <w:rsid w:val="003F3312"/>
    <w:rsid w:val="003F480C"/>
    <w:rsid w:val="003F4D08"/>
    <w:rsid w:val="003F5392"/>
    <w:rsid w:val="003F5C06"/>
    <w:rsid w:val="003F5D26"/>
    <w:rsid w:val="003F5E53"/>
    <w:rsid w:val="003F5FAB"/>
    <w:rsid w:val="003F66F5"/>
    <w:rsid w:val="003F6EF1"/>
    <w:rsid w:val="003F6F0B"/>
    <w:rsid w:val="003F6F7E"/>
    <w:rsid w:val="003F7CD9"/>
    <w:rsid w:val="004004A9"/>
    <w:rsid w:val="00401A5E"/>
    <w:rsid w:val="00402835"/>
    <w:rsid w:val="004036D4"/>
    <w:rsid w:val="004037CC"/>
    <w:rsid w:val="00403D84"/>
    <w:rsid w:val="00403E71"/>
    <w:rsid w:val="00404FFF"/>
    <w:rsid w:val="00406F51"/>
    <w:rsid w:val="0040708F"/>
    <w:rsid w:val="00407DE5"/>
    <w:rsid w:val="00412203"/>
    <w:rsid w:val="00412CF6"/>
    <w:rsid w:val="00413EE7"/>
    <w:rsid w:val="00413FA9"/>
    <w:rsid w:val="004142CB"/>
    <w:rsid w:val="004145E0"/>
    <w:rsid w:val="0041468C"/>
    <w:rsid w:val="00415BFA"/>
    <w:rsid w:val="00415CB7"/>
    <w:rsid w:val="00415F69"/>
    <w:rsid w:val="00416421"/>
    <w:rsid w:val="00416EF8"/>
    <w:rsid w:val="00417AE2"/>
    <w:rsid w:val="00421A67"/>
    <w:rsid w:val="00421F7A"/>
    <w:rsid w:val="004220BE"/>
    <w:rsid w:val="00423DB5"/>
    <w:rsid w:val="00425249"/>
    <w:rsid w:val="00425DDE"/>
    <w:rsid w:val="00430063"/>
    <w:rsid w:val="00431042"/>
    <w:rsid w:val="00431504"/>
    <w:rsid w:val="00432908"/>
    <w:rsid w:val="00432E09"/>
    <w:rsid w:val="00433299"/>
    <w:rsid w:val="0043362D"/>
    <w:rsid w:val="00434263"/>
    <w:rsid w:val="0043430C"/>
    <w:rsid w:val="004348D6"/>
    <w:rsid w:val="00434C44"/>
    <w:rsid w:val="00436B3A"/>
    <w:rsid w:val="004407B0"/>
    <w:rsid w:val="004409F5"/>
    <w:rsid w:val="00441126"/>
    <w:rsid w:val="004424C2"/>
    <w:rsid w:val="004434D1"/>
    <w:rsid w:val="004443DB"/>
    <w:rsid w:val="00444478"/>
    <w:rsid w:val="0044561B"/>
    <w:rsid w:val="00445B89"/>
    <w:rsid w:val="00446986"/>
    <w:rsid w:val="00447011"/>
    <w:rsid w:val="004472D7"/>
    <w:rsid w:val="00447F78"/>
    <w:rsid w:val="004509DA"/>
    <w:rsid w:val="00450A96"/>
    <w:rsid w:val="00451772"/>
    <w:rsid w:val="00452EE2"/>
    <w:rsid w:val="00453117"/>
    <w:rsid w:val="00454775"/>
    <w:rsid w:val="0045582A"/>
    <w:rsid w:val="00455DBA"/>
    <w:rsid w:val="004569D8"/>
    <w:rsid w:val="00457D43"/>
    <w:rsid w:val="00457E13"/>
    <w:rsid w:val="004600C4"/>
    <w:rsid w:val="00461C9E"/>
    <w:rsid w:val="00461E9E"/>
    <w:rsid w:val="004623D3"/>
    <w:rsid w:val="004636AB"/>
    <w:rsid w:val="004639B2"/>
    <w:rsid w:val="00463B34"/>
    <w:rsid w:val="00465B50"/>
    <w:rsid w:val="00465C48"/>
    <w:rsid w:val="00465EB8"/>
    <w:rsid w:val="004670EB"/>
    <w:rsid w:val="0046721D"/>
    <w:rsid w:val="004672D7"/>
    <w:rsid w:val="00467651"/>
    <w:rsid w:val="004677A5"/>
    <w:rsid w:val="00470B5D"/>
    <w:rsid w:val="00470F7B"/>
    <w:rsid w:val="00471E9C"/>
    <w:rsid w:val="00472E84"/>
    <w:rsid w:val="00473BC1"/>
    <w:rsid w:val="00474E7F"/>
    <w:rsid w:val="00475AD3"/>
    <w:rsid w:val="00476200"/>
    <w:rsid w:val="00476F76"/>
    <w:rsid w:val="00477D8A"/>
    <w:rsid w:val="00480C0D"/>
    <w:rsid w:val="0048102A"/>
    <w:rsid w:val="00482395"/>
    <w:rsid w:val="004831C3"/>
    <w:rsid w:val="00484545"/>
    <w:rsid w:val="00484809"/>
    <w:rsid w:val="004859BB"/>
    <w:rsid w:val="00486251"/>
    <w:rsid w:val="0048680C"/>
    <w:rsid w:val="0048796A"/>
    <w:rsid w:val="00487EF9"/>
    <w:rsid w:val="00490155"/>
    <w:rsid w:val="00490629"/>
    <w:rsid w:val="0049475D"/>
    <w:rsid w:val="004947E2"/>
    <w:rsid w:val="00494C34"/>
    <w:rsid w:val="00494F33"/>
    <w:rsid w:val="004954CE"/>
    <w:rsid w:val="004966D8"/>
    <w:rsid w:val="004971AF"/>
    <w:rsid w:val="00497214"/>
    <w:rsid w:val="004A0635"/>
    <w:rsid w:val="004A16C0"/>
    <w:rsid w:val="004A267F"/>
    <w:rsid w:val="004A3D97"/>
    <w:rsid w:val="004A4A6C"/>
    <w:rsid w:val="004A538B"/>
    <w:rsid w:val="004A676E"/>
    <w:rsid w:val="004A6B9F"/>
    <w:rsid w:val="004A71B6"/>
    <w:rsid w:val="004B01E1"/>
    <w:rsid w:val="004B1197"/>
    <w:rsid w:val="004B2C58"/>
    <w:rsid w:val="004B37EA"/>
    <w:rsid w:val="004B3804"/>
    <w:rsid w:val="004B3885"/>
    <w:rsid w:val="004B3A6D"/>
    <w:rsid w:val="004B3FB9"/>
    <w:rsid w:val="004B4737"/>
    <w:rsid w:val="004B4860"/>
    <w:rsid w:val="004B52D0"/>
    <w:rsid w:val="004B5B57"/>
    <w:rsid w:val="004B5FCB"/>
    <w:rsid w:val="004B64CC"/>
    <w:rsid w:val="004B67CE"/>
    <w:rsid w:val="004B6DAD"/>
    <w:rsid w:val="004B6FA0"/>
    <w:rsid w:val="004C0247"/>
    <w:rsid w:val="004C171A"/>
    <w:rsid w:val="004C3CBE"/>
    <w:rsid w:val="004C3CE4"/>
    <w:rsid w:val="004C4274"/>
    <w:rsid w:val="004C7C97"/>
    <w:rsid w:val="004D0092"/>
    <w:rsid w:val="004D0111"/>
    <w:rsid w:val="004D084D"/>
    <w:rsid w:val="004D2867"/>
    <w:rsid w:val="004D35EC"/>
    <w:rsid w:val="004D3876"/>
    <w:rsid w:val="004D4BAA"/>
    <w:rsid w:val="004D4E85"/>
    <w:rsid w:val="004D60C7"/>
    <w:rsid w:val="004D6958"/>
    <w:rsid w:val="004E1511"/>
    <w:rsid w:val="004E1A94"/>
    <w:rsid w:val="004E29A8"/>
    <w:rsid w:val="004E2ADA"/>
    <w:rsid w:val="004E381D"/>
    <w:rsid w:val="004E38CE"/>
    <w:rsid w:val="004E3ED9"/>
    <w:rsid w:val="004E4BB1"/>
    <w:rsid w:val="004E50C1"/>
    <w:rsid w:val="004E5638"/>
    <w:rsid w:val="004E56B5"/>
    <w:rsid w:val="004E5C10"/>
    <w:rsid w:val="004E72D5"/>
    <w:rsid w:val="004E7710"/>
    <w:rsid w:val="004F0E84"/>
    <w:rsid w:val="004F0FE1"/>
    <w:rsid w:val="004F121E"/>
    <w:rsid w:val="004F22CD"/>
    <w:rsid w:val="004F3AC9"/>
    <w:rsid w:val="004F5EF4"/>
    <w:rsid w:val="004F6B78"/>
    <w:rsid w:val="004F763F"/>
    <w:rsid w:val="004F7F26"/>
    <w:rsid w:val="005000DE"/>
    <w:rsid w:val="005005F8"/>
    <w:rsid w:val="0050100C"/>
    <w:rsid w:val="005021B9"/>
    <w:rsid w:val="00503712"/>
    <w:rsid w:val="005042C2"/>
    <w:rsid w:val="00505232"/>
    <w:rsid w:val="00505974"/>
    <w:rsid w:val="00505EA4"/>
    <w:rsid w:val="00505F7D"/>
    <w:rsid w:val="00506F31"/>
    <w:rsid w:val="00507E29"/>
    <w:rsid w:val="00510E72"/>
    <w:rsid w:val="0051119F"/>
    <w:rsid w:val="00511CFB"/>
    <w:rsid w:val="005132F6"/>
    <w:rsid w:val="00514495"/>
    <w:rsid w:val="00514C16"/>
    <w:rsid w:val="00515B45"/>
    <w:rsid w:val="0051644E"/>
    <w:rsid w:val="0051646E"/>
    <w:rsid w:val="005174E7"/>
    <w:rsid w:val="00517C0C"/>
    <w:rsid w:val="005213F6"/>
    <w:rsid w:val="00521621"/>
    <w:rsid w:val="00521C2D"/>
    <w:rsid w:val="00522893"/>
    <w:rsid w:val="005238E5"/>
    <w:rsid w:val="00523B2B"/>
    <w:rsid w:val="00523D61"/>
    <w:rsid w:val="00523D8F"/>
    <w:rsid w:val="00523ED3"/>
    <w:rsid w:val="00524818"/>
    <w:rsid w:val="005255AF"/>
    <w:rsid w:val="005256DB"/>
    <w:rsid w:val="00526122"/>
    <w:rsid w:val="0052626E"/>
    <w:rsid w:val="0052644A"/>
    <w:rsid w:val="00526794"/>
    <w:rsid w:val="00527A5D"/>
    <w:rsid w:val="00531185"/>
    <w:rsid w:val="0053380C"/>
    <w:rsid w:val="00533C5A"/>
    <w:rsid w:val="00533CAC"/>
    <w:rsid w:val="005344EF"/>
    <w:rsid w:val="00536F68"/>
    <w:rsid w:val="005373E7"/>
    <w:rsid w:val="00537423"/>
    <w:rsid w:val="00537ADE"/>
    <w:rsid w:val="005415C7"/>
    <w:rsid w:val="00542C03"/>
    <w:rsid w:val="00543671"/>
    <w:rsid w:val="005439C2"/>
    <w:rsid w:val="00543B55"/>
    <w:rsid w:val="005445E0"/>
    <w:rsid w:val="0054576E"/>
    <w:rsid w:val="00546498"/>
    <w:rsid w:val="0054699E"/>
    <w:rsid w:val="00547F88"/>
    <w:rsid w:val="00550EE7"/>
    <w:rsid w:val="0055123E"/>
    <w:rsid w:val="00551CA2"/>
    <w:rsid w:val="00551D58"/>
    <w:rsid w:val="0055237F"/>
    <w:rsid w:val="0055250D"/>
    <w:rsid w:val="00552761"/>
    <w:rsid w:val="00552AC7"/>
    <w:rsid w:val="00552CC4"/>
    <w:rsid w:val="005531B7"/>
    <w:rsid w:val="00553819"/>
    <w:rsid w:val="00554749"/>
    <w:rsid w:val="0055488B"/>
    <w:rsid w:val="005575A7"/>
    <w:rsid w:val="00557A9F"/>
    <w:rsid w:val="00557C8E"/>
    <w:rsid w:val="00557EC3"/>
    <w:rsid w:val="0056031B"/>
    <w:rsid w:val="005607D2"/>
    <w:rsid w:val="00560CC1"/>
    <w:rsid w:val="00560CD8"/>
    <w:rsid w:val="00560D7F"/>
    <w:rsid w:val="005622D9"/>
    <w:rsid w:val="005653A4"/>
    <w:rsid w:val="0056604E"/>
    <w:rsid w:val="005664FC"/>
    <w:rsid w:val="005665C8"/>
    <w:rsid w:val="00566CFC"/>
    <w:rsid w:val="00567329"/>
    <w:rsid w:val="005674C3"/>
    <w:rsid w:val="00570BCB"/>
    <w:rsid w:val="00570FB0"/>
    <w:rsid w:val="00571FA6"/>
    <w:rsid w:val="005728E3"/>
    <w:rsid w:val="00572BE2"/>
    <w:rsid w:val="00573F39"/>
    <w:rsid w:val="0057442A"/>
    <w:rsid w:val="005766DB"/>
    <w:rsid w:val="0058147E"/>
    <w:rsid w:val="00581653"/>
    <w:rsid w:val="00581705"/>
    <w:rsid w:val="00582195"/>
    <w:rsid w:val="00582A49"/>
    <w:rsid w:val="0058329D"/>
    <w:rsid w:val="00583D67"/>
    <w:rsid w:val="00583F7A"/>
    <w:rsid w:val="005842F5"/>
    <w:rsid w:val="00584B68"/>
    <w:rsid w:val="00584F8E"/>
    <w:rsid w:val="005870CF"/>
    <w:rsid w:val="00587245"/>
    <w:rsid w:val="0058741D"/>
    <w:rsid w:val="00587879"/>
    <w:rsid w:val="00587CED"/>
    <w:rsid w:val="005914A1"/>
    <w:rsid w:val="00591FEB"/>
    <w:rsid w:val="005921D6"/>
    <w:rsid w:val="00592404"/>
    <w:rsid w:val="00594156"/>
    <w:rsid w:val="00594234"/>
    <w:rsid w:val="00594F38"/>
    <w:rsid w:val="0059593D"/>
    <w:rsid w:val="005963FD"/>
    <w:rsid w:val="0059771D"/>
    <w:rsid w:val="0059776B"/>
    <w:rsid w:val="005A273E"/>
    <w:rsid w:val="005A2A33"/>
    <w:rsid w:val="005A2CD4"/>
    <w:rsid w:val="005A2E7A"/>
    <w:rsid w:val="005A2FF4"/>
    <w:rsid w:val="005A5744"/>
    <w:rsid w:val="005A6006"/>
    <w:rsid w:val="005A76FD"/>
    <w:rsid w:val="005B0440"/>
    <w:rsid w:val="005B0B4C"/>
    <w:rsid w:val="005B0E29"/>
    <w:rsid w:val="005B1D49"/>
    <w:rsid w:val="005B25AE"/>
    <w:rsid w:val="005B4BF2"/>
    <w:rsid w:val="005B5317"/>
    <w:rsid w:val="005B564F"/>
    <w:rsid w:val="005B5BC1"/>
    <w:rsid w:val="005B6AB6"/>
    <w:rsid w:val="005B74DC"/>
    <w:rsid w:val="005B7DED"/>
    <w:rsid w:val="005C07FD"/>
    <w:rsid w:val="005C1DC4"/>
    <w:rsid w:val="005C20F1"/>
    <w:rsid w:val="005C2158"/>
    <w:rsid w:val="005C22DA"/>
    <w:rsid w:val="005C4724"/>
    <w:rsid w:val="005C47B8"/>
    <w:rsid w:val="005C5B9C"/>
    <w:rsid w:val="005C5DB8"/>
    <w:rsid w:val="005C6DE8"/>
    <w:rsid w:val="005C7C55"/>
    <w:rsid w:val="005D2171"/>
    <w:rsid w:val="005D22D1"/>
    <w:rsid w:val="005D23E8"/>
    <w:rsid w:val="005D2D96"/>
    <w:rsid w:val="005D44A8"/>
    <w:rsid w:val="005D59A8"/>
    <w:rsid w:val="005D5E71"/>
    <w:rsid w:val="005D65AE"/>
    <w:rsid w:val="005D7320"/>
    <w:rsid w:val="005D7463"/>
    <w:rsid w:val="005D7BDD"/>
    <w:rsid w:val="005D7D43"/>
    <w:rsid w:val="005E3A9B"/>
    <w:rsid w:val="005E48A0"/>
    <w:rsid w:val="005E4B49"/>
    <w:rsid w:val="005E5241"/>
    <w:rsid w:val="005E5B1D"/>
    <w:rsid w:val="005E750B"/>
    <w:rsid w:val="005E7CEA"/>
    <w:rsid w:val="005F023A"/>
    <w:rsid w:val="005F02AF"/>
    <w:rsid w:val="005F1719"/>
    <w:rsid w:val="005F2817"/>
    <w:rsid w:val="005F3812"/>
    <w:rsid w:val="005F4451"/>
    <w:rsid w:val="005F52CE"/>
    <w:rsid w:val="005F6C87"/>
    <w:rsid w:val="005F73C2"/>
    <w:rsid w:val="005F79D9"/>
    <w:rsid w:val="005F7AE0"/>
    <w:rsid w:val="0060019F"/>
    <w:rsid w:val="006002B9"/>
    <w:rsid w:val="00600D7E"/>
    <w:rsid w:val="00603094"/>
    <w:rsid w:val="00603466"/>
    <w:rsid w:val="006036D2"/>
    <w:rsid w:val="006053CD"/>
    <w:rsid w:val="00605FC0"/>
    <w:rsid w:val="0060648C"/>
    <w:rsid w:val="00606E1F"/>
    <w:rsid w:val="0060747B"/>
    <w:rsid w:val="0060783C"/>
    <w:rsid w:val="00607EFD"/>
    <w:rsid w:val="006100B4"/>
    <w:rsid w:val="00610A23"/>
    <w:rsid w:val="00611F3F"/>
    <w:rsid w:val="00612A1B"/>
    <w:rsid w:val="00613C0E"/>
    <w:rsid w:val="00613C3B"/>
    <w:rsid w:val="006147EE"/>
    <w:rsid w:val="006158C5"/>
    <w:rsid w:val="00615E0A"/>
    <w:rsid w:val="00617A3C"/>
    <w:rsid w:val="00620134"/>
    <w:rsid w:val="0062061E"/>
    <w:rsid w:val="00620A19"/>
    <w:rsid w:val="00621934"/>
    <w:rsid w:val="006252E0"/>
    <w:rsid w:val="006262F0"/>
    <w:rsid w:val="00627B57"/>
    <w:rsid w:val="0063181F"/>
    <w:rsid w:val="00631A90"/>
    <w:rsid w:val="00631AAA"/>
    <w:rsid w:val="006323AE"/>
    <w:rsid w:val="00632774"/>
    <w:rsid w:val="00634210"/>
    <w:rsid w:val="00634487"/>
    <w:rsid w:val="00635516"/>
    <w:rsid w:val="0063631E"/>
    <w:rsid w:val="00640027"/>
    <w:rsid w:val="00640572"/>
    <w:rsid w:val="00642485"/>
    <w:rsid w:val="006424A1"/>
    <w:rsid w:val="006429BB"/>
    <w:rsid w:val="00642B9D"/>
    <w:rsid w:val="006434A5"/>
    <w:rsid w:val="00643EB1"/>
    <w:rsid w:val="00644728"/>
    <w:rsid w:val="00644F30"/>
    <w:rsid w:val="00647037"/>
    <w:rsid w:val="006528C5"/>
    <w:rsid w:val="00652F6A"/>
    <w:rsid w:val="006540AA"/>
    <w:rsid w:val="00654470"/>
    <w:rsid w:val="00656888"/>
    <w:rsid w:val="006568CA"/>
    <w:rsid w:val="006570EB"/>
    <w:rsid w:val="00657192"/>
    <w:rsid w:val="006571BE"/>
    <w:rsid w:val="0066071E"/>
    <w:rsid w:val="00660A24"/>
    <w:rsid w:val="00660B52"/>
    <w:rsid w:val="00660FFD"/>
    <w:rsid w:val="006614A1"/>
    <w:rsid w:val="0066206F"/>
    <w:rsid w:val="00662406"/>
    <w:rsid w:val="006633BC"/>
    <w:rsid w:val="006640EE"/>
    <w:rsid w:val="006646B8"/>
    <w:rsid w:val="006651AD"/>
    <w:rsid w:val="00670A54"/>
    <w:rsid w:val="00671103"/>
    <w:rsid w:val="00672426"/>
    <w:rsid w:val="006724A5"/>
    <w:rsid w:val="006726E6"/>
    <w:rsid w:val="00673A1B"/>
    <w:rsid w:val="0067431C"/>
    <w:rsid w:val="006745F3"/>
    <w:rsid w:val="0067485E"/>
    <w:rsid w:val="0067613C"/>
    <w:rsid w:val="00676334"/>
    <w:rsid w:val="00677844"/>
    <w:rsid w:val="00677C11"/>
    <w:rsid w:val="00677EED"/>
    <w:rsid w:val="006800C4"/>
    <w:rsid w:val="006803FE"/>
    <w:rsid w:val="0068073D"/>
    <w:rsid w:val="006815BE"/>
    <w:rsid w:val="006815CA"/>
    <w:rsid w:val="006829A7"/>
    <w:rsid w:val="00682CFC"/>
    <w:rsid w:val="00682D26"/>
    <w:rsid w:val="00683581"/>
    <w:rsid w:val="00683E8D"/>
    <w:rsid w:val="006844CE"/>
    <w:rsid w:val="00684B8B"/>
    <w:rsid w:val="00684C34"/>
    <w:rsid w:val="00685431"/>
    <w:rsid w:val="0068578F"/>
    <w:rsid w:val="006864ED"/>
    <w:rsid w:val="00686767"/>
    <w:rsid w:val="006867A3"/>
    <w:rsid w:val="00687269"/>
    <w:rsid w:val="006873DE"/>
    <w:rsid w:val="00687A8B"/>
    <w:rsid w:val="00690BF1"/>
    <w:rsid w:val="0069161F"/>
    <w:rsid w:val="00691717"/>
    <w:rsid w:val="00694570"/>
    <w:rsid w:val="0069492C"/>
    <w:rsid w:val="006949FC"/>
    <w:rsid w:val="006965BF"/>
    <w:rsid w:val="006A044B"/>
    <w:rsid w:val="006A194D"/>
    <w:rsid w:val="006A2825"/>
    <w:rsid w:val="006A3A2F"/>
    <w:rsid w:val="006A3AA8"/>
    <w:rsid w:val="006A3BD7"/>
    <w:rsid w:val="006A3FA9"/>
    <w:rsid w:val="006A43C7"/>
    <w:rsid w:val="006A5012"/>
    <w:rsid w:val="006A54D0"/>
    <w:rsid w:val="006A54FA"/>
    <w:rsid w:val="006A57EE"/>
    <w:rsid w:val="006A725A"/>
    <w:rsid w:val="006B045E"/>
    <w:rsid w:val="006B072C"/>
    <w:rsid w:val="006B0AFF"/>
    <w:rsid w:val="006B0CAD"/>
    <w:rsid w:val="006B1D1E"/>
    <w:rsid w:val="006B304B"/>
    <w:rsid w:val="006B5D86"/>
    <w:rsid w:val="006B63E5"/>
    <w:rsid w:val="006B69C4"/>
    <w:rsid w:val="006B6D0F"/>
    <w:rsid w:val="006B6E3A"/>
    <w:rsid w:val="006B7403"/>
    <w:rsid w:val="006C0190"/>
    <w:rsid w:val="006C0AA4"/>
    <w:rsid w:val="006C1D80"/>
    <w:rsid w:val="006C22BE"/>
    <w:rsid w:val="006C2576"/>
    <w:rsid w:val="006C2CEB"/>
    <w:rsid w:val="006C3248"/>
    <w:rsid w:val="006C3D07"/>
    <w:rsid w:val="006C4046"/>
    <w:rsid w:val="006C65FE"/>
    <w:rsid w:val="006C7039"/>
    <w:rsid w:val="006C78C0"/>
    <w:rsid w:val="006C78FD"/>
    <w:rsid w:val="006D0129"/>
    <w:rsid w:val="006D0383"/>
    <w:rsid w:val="006D23F1"/>
    <w:rsid w:val="006D2DD4"/>
    <w:rsid w:val="006D3EA8"/>
    <w:rsid w:val="006D44BA"/>
    <w:rsid w:val="006D6384"/>
    <w:rsid w:val="006D71BF"/>
    <w:rsid w:val="006D74CB"/>
    <w:rsid w:val="006E34E2"/>
    <w:rsid w:val="006E3B07"/>
    <w:rsid w:val="006E3B29"/>
    <w:rsid w:val="006E43A0"/>
    <w:rsid w:val="006E45CE"/>
    <w:rsid w:val="006E4B48"/>
    <w:rsid w:val="006E5756"/>
    <w:rsid w:val="006E5C8D"/>
    <w:rsid w:val="006E6DED"/>
    <w:rsid w:val="006E702C"/>
    <w:rsid w:val="006E7639"/>
    <w:rsid w:val="006E7AD9"/>
    <w:rsid w:val="006E7FC8"/>
    <w:rsid w:val="006F0A19"/>
    <w:rsid w:val="006F1CEC"/>
    <w:rsid w:val="006F201F"/>
    <w:rsid w:val="006F25F5"/>
    <w:rsid w:val="006F5124"/>
    <w:rsid w:val="006F5285"/>
    <w:rsid w:val="006F5942"/>
    <w:rsid w:val="006F63D2"/>
    <w:rsid w:val="006F6BBC"/>
    <w:rsid w:val="006F72C9"/>
    <w:rsid w:val="00700509"/>
    <w:rsid w:val="00700803"/>
    <w:rsid w:val="00700FF9"/>
    <w:rsid w:val="0070162F"/>
    <w:rsid w:val="00702273"/>
    <w:rsid w:val="007031A8"/>
    <w:rsid w:val="007042A3"/>
    <w:rsid w:val="00704315"/>
    <w:rsid w:val="00704B0B"/>
    <w:rsid w:val="00705171"/>
    <w:rsid w:val="0070547D"/>
    <w:rsid w:val="007060FF"/>
    <w:rsid w:val="00706C2D"/>
    <w:rsid w:val="00707258"/>
    <w:rsid w:val="0070758F"/>
    <w:rsid w:val="00707F9E"/>
    <w:rsid w:val="00710B18"/>
    <w:rsid w:val="00711EFA"/>
    <w:rsid w:val="0071250A"/>
    <w:rsid w:val="00712AEF"/>
    <w:rsid w:val="0071386C"/>
    <w:rsid w:val="007142C6"/>
    <w:rsid w:val="00715834"/>
    <w:rsid w:val="007159EF"/>
    <w:rsid w:val="007170EB"/>
    <w:rsid w:val="00717466"/>
    <w:rsid w:val="007178AE"/>
    <w:rsid w:val="00717C15"/>
    <w:rsid w:val="00720138"/>
    <w:rsid w:val="007211A2"/>
    <w:rsid w:val="00721CA9"/>
    <w:rsid w:val="00723A70"/>
    <w:rsid w:val="00723BD6"/>
    <w:rsid w:val="00723D39"/>
    <w:rsid w:val="007242E8"/>
    <w:rsid w:val="00724637"/>
    <w:rsid w:val="0072593C"/>
    <w:rsid w:val="00726523"/>
    <w:rsid w:val="00726AB8"/>
    <w:rsid w:val="007272C0"/>
    <w:rsid w:val="00730E23"/>
    <w:rsid w:val="00731E43"/>
    <w:rsid w:val="007320E2"/>
    <w:rsid w:val="00733A24"/>
    <w:rsid w:val="00735361"/>
    <w:rsid w:val="0073586B"/>
    <w:rsid w:val="00737585"/>
    <w:rsid w:val="0074024A"/>
    <w:rsid w:val="007415D4"/>
    <w:rsid w:val="00742514"/>
    <w:rsid w:val="00743CDA"/>
    <w:rsid w:val="00744E86"/>
    <w:rsid w:val="007460CB"/>
    <w:rsid w:val="007465EF"/>
    <w:rsid w:val="00746E97"/>
    <w:rsid w:val="007477C6"/>
    <w:rsid w:val="0075012C"/>
    <w:rsid w:val="00750A97"/>
    <w:rsid w:val="00750E4C"/>
    <w:rsid w:val="00751008"/>
    <w:rsid w:val="00751245"/>
    <w:rsid w:val="007517DA"/>
    <w:rsid w:val="00752631"/>
    <w:rsid w:val="00752E62"/>
    <w:rsid w:val="007546A7"/>
    <w:rsid w:val="007549A4"/>
    <w:rsid w:val="00754E29"/>
    <w:rsid w:val="00755B21"/>
    <w:rsid w:val="00756119"/>
    <w:rsid w:val="00756B0D"/>
    <w:rsid w:val="00757837"/>
    <w:rsid w:val="00757842"/>
    <w:rsid w:val="00760E20"/>
    <w:rsid w:val="00761093"/>
    <w:rsid w:val="007623D4"/>
    <w:rsid w:val="0076649E"/>
    <w:rsid w:val="00767C54"/>
    <w:rsid w:val="00770794"/>
    <w:rsid w:val="007709D9"/>
    <w:rsid w:val="007723B4"/>
    <w:rsid w:val="007731B4"/>
    <w:rsid w:val="007736E3"/>
    <w:rsid w:val="00773C00"/>
    <w:rsid w:val="007740F8"/>
    <w:rsid w:val="00774901"/>
    <w:rsid w:val="00774B6B"/>
    <w:rsid w:val="00776326"/>
    <w:rsid w:val="007765A0"/>
    <w:rsid w:val="00776644"/>
    <w:rsid w:val="00776F97"/>
    <w:rsid w:val="00777D2D"/>
    <w:rsid w:val="00777D47"/>
    <w:rsid w:val="00780375"/>
    <w:rsid w:val="0078128A"/>
    <w:rsid w:val="0078191C"/>
    <w:rsid w:val="00783E24"/>
    <w:rsid w:val="00784175"/>
    <w:rsid w:val="00784A6D"/>
    <w:rsid w:val="00785159"/>
    <w:rsid w:val="007851A6"/>
    <w:rsid w:val="00785755"/>
    <w:rsid w:val="00785C8E"/>
    <w:rsid w:val="00786991"/>
    <w:rsid w:val="00786ABF"/>
    <w:rsid w:val="0079015C"/>
    <w:rsid w:val="00790F8E"/>
    <w:rsid w:val="007918EF"/>
    <w:rsid w:val="007927AC"/>
    <w:rsid w:val="0079554D"/>
    <w:rsid w:val="0079590D"/>
    <w:rsid w:val="00796936"/>
    <w:rsid w:val="0079738C"/>
    <w:rsid w:val="0079774A"/>
    <w:rsid w:val="00797849"/>
    <w:rsid w:val="007A0E81"/>
    <w:rsid w:val="007A1B0C"/>
    <w:rsid w:val="007A2AD9"/>
    <w:rsid w:val="007A3660"/>
    <w:rsid w:val="007A3F61"/>
    <w:rsid w:val="007A4994"/>
    <w:rsid w:val="007A4A02"/>
    <w:rsid w:val="007A6CAD"/>
    <w:rsid w:val="007A728B"/>
    <w:rsid w:val="007A7A5A"/>
    <w:rsid w:val="007B08C4"/>
    <w:rsid w:val="007B1BC6"/>
    <w:rsid w:val="007B1C91"/>
    <w:rsid w:val="007B4520"/>
    <w:rsid w:val="007B496E"/>
    <w:rsid w:val="007B4A5F"/>
    <w:rsid w:val="007B4FE4"/>
    <w:rsid w:val="007B50D4"/>
    <w:rsid w:val="007B52AA"/>
    <w:rsid w:val="007B6059"/>
    <w:rsid w:val="007B612D"/>
    <w:rsid w:val="007B729D"/>
    <w:rsid w:val="007B7A6E"/>
    <w:rsid w:val="007C045F"/>
    <w:rsid w:val="007C0ABD"/>
    <w:rsid w:val="007C0C42"/>
    <w:rsid w:val="007C1DFA"/>
    <w:rsid w:val="007C1F5A"/>
    <w:rsid w:val="007C3721"/>
    <w:rsid w:val="007C5537"/>
    <w:rsid w:val="007C63B1"/>
    <w:rsid w:val="007C6DEB"/>
    <w:rsid w:val="007C7ECB"/>
    <w:rsid w:val="007D1CC2"/>
    <w:rsid w:val="007D1CC7"/>
    <w:rsid w:val="007D23AD"/>
    <w:rsid w:val="007D373A"/>
    <w:rsid w:val="007D389C"/>
    <w:rsid w:val="007D47E7"/>
    <w:rsid w:val="007D485E"/>
    <w:rsid w:val="007D4CA1"/>
    <w:rsid w:val="007D5C19"/>
    <w:rsid w:val="007D6205"/>
    <w:rsid w:val="007D621D"/>
    <w:rsid w:val="007D6FB5"/>
    <w:rsid w:val="007D7D7F"/>
    <w:rsid w:val="007E034D"/>
    <w:rsid w:val="007E1A81"/>
    <w:rsid w:val="007E1C2F"/>
    <w:rsid w:val="007E2C47"/>
    <w:rsid w:val="007E313E"/>
    <w:rsid w:val="007E32A3"/>
    <w:rsid w:val="007E34E1"/>
    <w:rsid w:val="007E4918"/>
    <w:rsid w:val="007E4BE3"/>
    <w:rsid w:val="007E516E"/>
    <w:rsid w:val="007E675B"/>
    <w:rsid w:val="007E67DF"/>
    <w:rsid w:val="007E76AB"/>
    <w:rsid w:val="007E78CA"/>
    <w:rsid w:val="007E7F55"/>
    <w:rsid w:val="007F0519"/>
    <w:rsid w:val="007F094C"/>
    <w:rsid w:val="007F1B27"/>
    <w:rsid w:val="007F20D5"/>
    <w:rsid w:val="007F3DB8"/>
    <w:rsid w:val="007F3E00"/>
    <w:rsid w:val="007F4B15"/>
    <w:rsid w:val="007F4D8F"/>
    <w:rsid w:val="007F7EAA"/>
    <w:rsid w:val="00800789"/>
    <w:rsid w:val="0080166B"/>
    <w:rsid w:val="008018E2"/>
    <w:rsid w:val="00802A42"/>
    <w:rsid w:val="0080341C"/>
    <w:rsid w:val="00803457"/>
    <w:rsid w:val="008035B9"/>
    <w:rsid w:val="00803C69"/>
    <w:rsid w:val="00803CD0"/>
    <w:rsid w:val="00804A9D"/>
    <w:rsid w:val="00804C8A"/>
    <w:rsid w:val="0080626A"/>
    <w:rsid w:val="0080741D"/>
    <w:rsid w:val="00807731"/>
    <w:rsid w:val="00807EAA"/>
    <w:rsid w:val="00811D10"/>
    <w:rsid w:val="00812EAC"/>
    <w:rsid w:val="008138EC"/>
    <w:rsid w:val="008138F0"/>
    <w:rsid w:val="00813AFE"/>
    <w:rsid w:val="00814D85"/>
    <w:rsid w:val="008151F5"/>
    <w:rsid w:val="00815C2E"/>
    <w:rsid w:val="00816D2F"/>
    <w:rsid w:val="00816EDB"/>
    <w:rsid w:val="00817855"/>
    <w:rsid w:val="008203B3"/>
    <w:rsid w:val="0082191D"/>
    <w:rsid w:val="00822DB3"/>
    <w:rsid w:val="008230CA"/>
    <w:rsid w:val="00826013"/>
    <w:rsid w:val="0082627D"/>
    <w:rsid w:val="00826C11"/>
    <w:rsid w:val="00827962"/>
    <w:rsid w:val="00827E97"/>
    <w:rsid w:val="00830713"/>
    <w:rsid w:val="00832A3B"/>
    <w:rsid w:val="008330EF"/>
    <w:rsid w:val="0083399D"/>
    <w:rsid w:val="00833C3C"/>
    <w:rsid w:val="00834AB3"/>
    <w:rsid w:val="0083537F"/>
    <w:rsid w:val="00835B75"/>
    <w:rsid w:val="008360FD"/>
    <w:rsid w:val="0083657F"/>
    <w:rsid w:val="00837DE9"/>
    <w:rsid w:val="00840196"/>
    <w:rsid w:val="008402AF"/>
    <w:rsid w:val="00840E43"/>
    <w:rsid w:val="00841401"/>
    <w:rsid w:val="00843605"/>
    <w:rsid w:val="00843CBC"/>
    <w:rsid w:val="00843F22"/>
    <w:rsid w:val="008452D6"/>
    <w:rsid w:val="00845F54"/>
    <w:rsid w:val="00847087"/>
    <w:rsid w:val="00847FA5"/>
    <w:rsid w:val="0085135A"/>
    <w:rsid w:val="00851884"/>
    <w:rsid w:val="00852701"/>
    <w:rsid w:val="00852AE4"/>
    <w:rsid w:val="00852C1A"/>
    <w:rsid w:val="00852E54"/>
    <w:rsid w:val="00852FC8"/>
    <w:rsid w:val="00854094"/>
    <w:rsid w:val="00855C0F"/>
    <w:rsid w:val="00855D48"/>
    <w:rsid w:val="00855F77"/>
    <w:rsid w:val="00856FC1"/>
    <w:rsid w:val="008570DA"/>
    <w:rsid w:val="00857CC7"/>
    <w:rsid w:val="00857D4C"/>
    <w:rsid w:val="00860E40"/>
    <w:rsid w:val="00862040"/>
    <w:rsid w:val="0086267F"/>
    <w:rsid w:val="00862897"/>
    <w:rsid w:val="008628EC"/>
    <w:rsid w:val="008631D7"/>
    <w:rsid w:val="008636EE"/>
    <w:rsid w:val="0086467A"/>
    <w:rsid w:val="0086479E"/>
    <w:rsid w:val="00864D1E"/>
    <w:rsid w:val="0086769C"/>
    <w:rsid w:val="008677ED"/>
    <w:rsid w:val="00867B2A"/>
    <w:rsid w:val="00867DB1"/>
    <w:rsid w:val="00870961"/>
    <w:rsid w:val="00870B32"/>
    <w:rsid w:val="008739B0"/>
    <w:rsid w:val="00874011"/>
    <w:rsid w:val="00875BF7"/>
    <w:rsid w:val="00876026"/>
    <w:rsid w:val="008767A1"/>
    <w:rsid w:val="00876C4E"/>
    <w:rsid w:val="008770B8"/>
    <w:rsid w:val="00877218"/>
    <w:rsid w:val="008772DD"/>
    <w:rsid w:val="00877BF4"/>
    <w:rsid w:val="0088072C"/>
    <w:rsid w:val="0088080A"/>
    <w:rsid w:val="00880BBE"/>
    <w:rsid w:val="00880D90"/>
    <w:rsid w:val="008811A6"/>
    <w:rsid w:val="00881EA4"/>
    <w:rsid w:val="00882B35"/>
    <w:rsid w:val="00882B3B"/>
    <w:rsid w:val="00882E6C"/>
    <w:rsid w:val="00882EED"/>
    <w:rsid w:val="00883F4A"/>
    <w:rsid w:val="00884166"/>
    <w:rsid w:val="00885B27"/>
    <w:rsid w:val="00886843"/>
    <w:rsid w:val="008869DB"/>
    <w:rsid w:val="00886E5A"/>
    <w:rsid w:val="00887726"/>
    <w:rsid w:val="00887833"/>
    <w:rsid w:val="00890A63"/>
    <w:rsid w:val="00890ACD"/>
    <w:rsid w:val="00891398"/>
    <w:rsid w:val="0089234D"/>
    <w:rsid w:val="00892971"/>
    <w:rsid w:val="0089467A"/>
    <w:rsid w:val="00894C8F"/>
    <w:rsid w:val="00894D05"/>
    <w:rsid w:val="00895192"/>
    <w:rsid w:val="00895DBE"/>
    <w:rsid w:val="00895E53"/>
    <w:rsid w:val="008A0587"/>
    <w:rsid w:val="008A16D5"/>
    <w:rsid w:val="008A1D25"/>
    <w:rsid w:val="008A21CE"/>
    <w:rsid w:val="008A2526"/>
    <w:rsid w:val="008A276C"/>
    <w:rsid w:val="008A2A50"/>
    <w:rsid w:val="008A3553"/>
    <w:rsid w:val="008A3A51"/>
    <w:rsid w:val="008A4055"/>
    <w:rsid w:val="008A5471"/>
    <w:rsid w:val="008A5A30"/>
    <w:rsid w:val="008A6374"/>
    <w:rsid w:val="008A692E"/>
    <w:rsid w:val="008A72C3"/>
    <w:rsid w:val="008A76F6"/>
    <w:rsid w:val="008A7B27"/>
    <w:rsid w:val="008A7DA7"/>
    <w:rsid w:val="008B0359"/>
    <w:rsid w:val="008B093E"/>
    <w:rsid w:val="008B09C2"/>
    <w:rsid w:val="008B0B30"/>
    <w:rsid w:val="008B1F4D"/>
    <w:rsid w:val="008B2461"/>
    <w:rsid w:val="008B2C23"/>
    <w:rsid w:val="008B3C31"/>
    <w:rsid w:val="008B3F06"/>
    <w:rsid w:val="008B48B0"/>
    <w:rsid w:val="008B50A6"/>
    <w:rsid w:val="008B5DD7"/>
    <w:rsid w:val="008B6C1E"/>
    <w:rsid w:val="008B7C77"/>
    <w:rsid w:val="008B7DF6"/>
    <w:rsid w:val="008C1535"/>
    <w:rsid w:val="008C18C7"/>
    <w:rsid w:val="008C1B3D"/>
    <w:rsid w:val="008C4DCF"/>
    <w:rsid w:val="008C4EE1"/>
    <w:rsid w:val="008C5DDB"/>
    <w:rsid w:val="008C6853"/>
    <w:rsid w:val="008C73C2"/>
    <w:rsid w:val="008C7A23"/>
    <w:rsid w:val="008D0520"/>
    <w:rsid w:val="008D0CFE"/>
    <w:rsid w:val="008D0F76"/>
    <w:rsid w:val="008D11C0"/>
    <w:rsid w:val="008D194F"/>
    <w:rsid w:val="008D35ED"/>
    <w:rsid w:val="008D4328"/>
    <w:rsid w:val="008D4801"/>
    <w:rsid w:val="008D60D0"/>
    <w:rsid w:val="008D7006"/>
    <w:rsid w:val="008D7C67"/>
    <w:rsid w:val="008E0F93"/>
    <w:rsid w:val="008E11A3"/>
    <w:rsid w:val="008E284F"/>
    <w:rsid w:val="008E2B11"/>
    <w:rsid w:val="008E2C35"/>
    <w:rsid w:val="008E332B"/>
    <w:rsid w:val="008E33D6"/>
    <w:rsid w:val="008E5715"/>
    <w:rsid w:val="008E5AF2"/>
    <w:rsid w:val="008E63F1"/>
    <w:rsid w:val="008E7080"/>
    <w:rsid w:val="008E77AE"/>
    <w:rsid w:val="008E7834"/>
    <w:rsid w:val="008F0723"/>
    <w:rsid w:val="008F0815"/>
    <w:rsid w:val="008F11C5"/>
    <w:rsid w:val="008F122D"/>
    <w:rsid w:val="008F3174"/>
    <w:rsid w:val="009004AF"/>
    <w:rsid w:val="00900824"/>
    <w:rsid w:val="00900F43"/>
    <w:rsid w:val="009041CD"/>
    <w:rsid w:val="009047C9"/>
    <w:rsid w:val="00905401"/>
    <w:rsid w:val="009058CF"/>
    <w:rsid w:val="009062D9"/>
    <w:rsid w:val="00906C05"/>
    <w:rsid w:val="0090776C"/>
    <w:rsid w:val="00907A0E"/>
    <w:rsid w:val="00911372"/>
    <w:rsid w:val="009113F4"/>
    <w:rsid w:val="00911E31"/>
    <w:rsid w:val="00911F96"/>
    <w:rsid w:val="00912091"/>
    <w:rsid w:val="009126F0"/>
    <w:rsid w:val="009134C8"/>
    <w:rsid w:val="00914D4E"/>
    <w:rsid w:val="00917213"/>
    <w:rsid w:val="009175A9"/>
    <w:rsid w:val="00920C58"/>
    <w:rsid w:val="00921525"/>
    <w:rsid w:val="0092155F"/>
    <w:rsid w:val="00924388"/>
    <w:rsid w:val="009249B6"/>
    <w:rsid w:val="00924FAE"/>
    <w:rsid w:val="00925270"/>
    <w:rsid w:val="00926FB0"/>
    <w:rsid w:val="009323A4"/>
    <w:rsid w:val="00933A64"/>
    <w:rsid w:val="00934B11"/>
    <w:rsid w:val="00934B71"/>
    <w:rsid w:val="00934B87"/>
    <w:rsid w:val="00935002"/>
    <w:rsid w:val="00935015"/>
    <w:rsid w:val="0093507D"/>
    <w:rsid w:val="00935224"/>
    <w:rsid w:val="00936266"/>
    <w:rsid w:val="00936ADA"/>
    <w:rsid w:val="00936F7D"/>
    <w:rsid w:val="0093767F"/>
    <w:rsid w:val="009407FC"/>
    <w:rsid w:val="0094174C"/>
    <w:rsid w:val="009431FC"/>
    <w:rsid w:val="009449F2"/>
    <w:rsid w:val="00944B22"/>
    <w:rsid w:val="00945BAA"/>
    <w:rsid w:val="00945D39"/>
    <w:rsid w:val="009464CD"/>
    <w:rsid w:val="0095077E"/>
    <w:rsid w:val="0095103C"/>
    <w:rsid w:val="00951072"/>
    <w:rsid w:val="00953942"/>
    <w:rsid w:val="009539E6"/>
    <w:rsid w:val="009545F5"/>
    <w:rsid w:val="009557B1"/>
    <w:rsid w:val="00955FE7"/>
    <w:rsid w:val="009566AB"/>
    <w:rsid w:val="00956AB3"/>
    <w:rsid w:val="009572BA"/>
    <w:rsid w:val="0095748D"/>
    <w:rsid w:val="009576EA"/>
    <w:rsid w:val="009577E9"/>
    <w:rsid w:val="00957D9F"/>
    <w:rsid w:val="00960DE2"/>
    <w:rsid w:val="00961E9C"/>
    <w:rsid w:val="009624A1"/>
    <w:rsid w:val="00964761"/>
    <w:rsid w:val="009647EC"/>
    <w:rsid w:val="00967284"/>
    <w:rsid w:val="0096775C"/>
    <w:rsid w:val="009711B8"/>
    <w:rsid w:val="009719FB"/>
    <w:rsid w:val="00972192"/>
    <w:rsid w:val="00972664"/>
    <w:rsid w:val="00973C73"/>
    <w:rsid w:val="0097538D"/>
    <w:rsid w:val="00975E74"/>
    <w:rsid w:val="00976911"/>
    <w:rsid w:val="00977742"/>
    <w:rsid w:val="009806F0"/>
    <w:rsid w:val="00981181"/>
    <w:rsid w:val="009812FD"/>
    <w:rsid w:val="009813D5"/>
    <w:rsid w:val="009816C4"/>
    <w:rsid w:val="0098346B"/>
    <w:rsid w:val="00985A43"/>
    <w:rsid w:val="009860B9"/>
    <w:rsid w:val="00990B9A"/>
    <w:rsid w:val="00991165"/>
    <w:rsid w:val="00991306"/>
    <w:rsid w:val="00991FB7"/>
    <w:rsid w:val="00992060"/>
    <w:rsid w:val="009929EB"/>
    <w:rsid w:val="00992F75"/>
    <w:rsid w:val="00993080"/>
    <w:rsid w:val="00993543"/>
    <w:rsid w:val="00993B0E"/>
    <w:rsid w:val="00993B25"/>
    <w:rsid w:val="009940EE"/>
    <w:rsid w:val="0099413B"/>
    <w:rsid w:val="009941AE"/>
    <w:rsid w:val="009945AA"/>
    <w:rsid w:val="00994F4D"/>
    <w:rsid w:val="009958AC"/>
    <w:rsid w:val="00995936"/>
    <w:rsid w:val="00996BB4"/>
    <w:rsid w:val="009A0B3D"/>
    <w:rsid w:val="009A19F9"/>
    <w:rsid w:val="009A2199"/>
    <w:rsid w:val="009A26DA"/>
    <w:rsid w:val="009A3AEF"/>
    <w:rsid w:val="009A410B"/>
    <w:rsid w:val="009A5C27"/>
    <w:rsid w:val="009A5F5C"/>
    <w:rsid w:val="009A65CC"/>
    <w:rsid w:val="009A6776"/>
    <w:rsid w:val="009A7601"/>
    <w:rsid w:val="009B0412"/>
    <w:rsid w:val="009B05E8"/>
    <w:rsid w:val="009B0F84"/>
    <w:rsid w:val="009B2761"/>
    <w:rsid w:val="009B3428"/>
    <w:rsid w:val="009B37BD"/>
    <w:rsid w:val="009B3D86"/>
    <w:rsid w:val="009B4360"/>
    <w:rsid w:val="009B4E51"/>
    <w:rsid w:val="009B5DF4"/>
    <w:rsid w:val="009B735C"/>
    <w:rsid w:val="009B76C6"/>
    <w:rsid w:val="009C05BE"/>
    <w:rsid w:val="009C0D36"/>
    <w:rsid w:val="009C172B"/>
    <w:rsid w:val="009C18AE"/>
    <w:rsid w:val="009C1D95"/>
    <w:rsid w:val="009C2096"/>
    <w:rsid w:val="009C276A"/>
    <w:rsid w:val="009C3624"/>
    <w:rsid w:val="009C3A47"/>
    <w:rsid w:val="009C4922"/>
    <w:rsid w:val="009C58CA"/>
    <w:rsid w:val="009C5E0F"/>
    <w:rsid w:val="009C6DED"/>
    <w:rsid w:val="009C73C3"/>
    <w:rsid w:val="009C7B5D"/>
    <w:rsid w:val="009C7E54"/>
    <w:rsid w:val="009D21E6"/>
    <w:rsid w:val="009D2CED"/>
    <w:rsid w:val="009D38D0"/>
    <w:rsid w:val="009D396B"/>
    <w:rsid w:val="009D3BB9"/>
    <w:rsid w:val="009D3EBC"/>
    <w:rsid w:val="009D451B"/>
    <w:rsid w:val="009D4A51"/>
    <w:rsid w:val="009D54BF"/>
    <w:rsid w:val="009D6235"/>
    <w:rsid w:val="009D68C5"/>
    <w:rsid w:val="009D6B01"/>
    <w:rsid w:val="009E0547"/>
    <w:rsid w:val="009E087F"/>
    <w:rsid w:val="009E0ADF"/>
    <w:rsid w:val="009E0B56"/>
    <w:rsid w:val="009E0C9F"/>
    <w:rsid w:val="009E11AF"/>
    <w:rsid w:val="009E21FE"/>
    <w:rsid w:val="009E3BA3"/>
    <w:rsid w:val="009E55FE"/>
    <w:rsid w:val="009E6461"/>
    <w:rsid w:val="009E6669"/>
    <w:rsid w:val="009E6747"/>
    <w:rsid w:val="009F062F"/>
    <w:rsid w:val="009F2311"/>
    <w:rsid w:val="009F2575"/>
    <w:rsid w:val="009F25DB"/>
    <w:rsid w:val="009F449D"/>
    <w:rsid w:val="009F5C8D"/>
    <w:rsid w:val="009F6736"/>
    <w:rsid w:val="00A0041B"/>
    <w:rsid w:val="00A005FE"/>
    <w:rsid w:val="00A0084A"/>
    <w:rsid w:val="00A008B6"/>
    <w:rsid w:val="00A012B3"/>
    <w:rsid w:val="00A01F48"/>
    <w:rsid w:val="00A021A8"/>
    <w:rsid w:val="00A0272F"/>
    <w:rsid w:val="00A03209"/>
    <w:rsid w:val="00A05A59"/>
    <w:rsid w:val="00A06161"/>
    <w:rsid w:val="00A064E7"/>
    <w:rsid w:val="00A065C7"/>
    <w:rsid w:val="00A07942"/>
    <w:rsid w:val="00A103DD"/>
    <w:rsid w:val="00A10DD1"/>
    <w:rsid w:val="00A11645"/>
    <w:rsid w:val="00A11E52"/>
    <w:rsid w:val="00A1209C"/>
    <w:rsid w:val="00A12914"/>
    <w:rsid w:val="00A13870"/>
    <w:rsid w:val="00A13C47"/>
    <w:rsid w:val="00A14A82"/>
    <w:rsid w:val="00A15392"/>
    <w:rsid w:val="00A15511"/>
    <w:rsid w:val="00A15712"/>
    <w:rsid w:val="00A16290"/>
    <w:rsid w:val="00A16484"/>
    <w:rsid w:val="00A16626"/>
    <w:rsid w:val="00A223B5"/>
    <w:rsid w:val="00A2274F"/>
    <w:rsid w:val="00A234CB"/>
    <w:rsid w:val="00A235CA"/>
    <w:rsid w:val="00A235D3"/>
    <w:rsid w:val="00A2485F"/>
    <w:rsid w:val="00A257FC"/>
    <w:rsid w:val="00A301AA"/>
    <w:rsid w:val="00A30480"/>
    <w:rsid w:val="00A3049D"/>
    <w:rsid w:val="00A30E9C"/>
    <w:rsid w:val="00A32C7B"/>
    <w:rsid w:val="00A33128"/>
    <w:rsid w:val="00A35A71"/>
    <w:rsid w:val="00A35C38"/>
    <w:rsid w:val="00A36446"/>
    <w:rsid w:val="00A36D74"/>
    <w:rsid w:val="00A36EC6"/>
    <w:rsid w:val="00A37B99"/>
    <w:rsid w:val="00A4034A"/>
    <w:rsid w:val="00A4089B"/>
    <w:rsid w:val="00A41593"/>
    <w:rsid w:val="00A45695"/>
    <w:rsid w:val="00A45B7F"/>
    <w:rsid w:val="00A466F9"/>
    <w:rsid w:val="00A478C6"/>
    <w:rsid w:val="00A479A5"/>
    <w:rsid w:val="00A501EE"/>
    <w:rsid w:val="00A5044E"/>
    <w:rsid w:val="00A50493"/>
    <w:rsid w:val="00A506AC"/>
    <w:rsid w:val="00A50BEB"/>
    <w:rsid w:val="00A50E84"/>
    <w:rsid w:val="00A518FC"/>
    <w:rsid w:val="00A52E0A"/>
    <w:rsid w:val="00A53B30"/>
    <w:rsid w:val="00A56BC6"/>
    <w:rsid w:val="00A574A8"/>
    <w:rsid w:val="00A614C8"/>
    <w:rsid w:val="00A62ED0"/>
    <w:rsid w:val="00A63C89"/>
    <w:rsid w:val="00A65750"/>
    <w:rsid w:val="00A658BB"/>
    <w:rsid w:val="00A66D94"/>
    <w:rsid w:val="00A67372"/>
    <w:rsid w:val="00A6749B"/>
    <w:rsid w:val="00A701D3"/>
    <w:rsid w:val="00A70315"/>
    <w:rsid w:val="00A70A85"/>
    <w:rsid w:val="00A71909"/>
    <w:rsid w:val="00A7200E"/>
    <w:rsid w:val="00A7203A"/>
    <w:rsid w:val="00A724DC"/>
    <w:rsid w:val="00A73C59"/>
    <w:rsid w:val="00A752E0"/>
    <w:rsid w:val="00A75312"/>
    <w:rsid w:val="00A75544"/>
    <w:rsid w:val="00A759C8"/>
    <w:rsid w:val="00A75BAC"/>
    <w:rsid w:val="00A762C2"/>
    <w:rsid w:val="00A766DB"/>
    <w:rsid w:val="00A80423"/>
    <w:rsid w:val="00A8218B"/>
    <w:rsid w:val="00A841CF"/>
    <w:rsid w:val="00A8488C"/>
    <w:rsid w:val="00A84C55"/>
    <w:rsid w:val="00A854BA"/>
    <w:rsid w:val="00A86693"/>
    <w:rsid w:val="00A86D98"/>
    <w:rsid w:val="00A9012C"/>
    <w:rsid w:val="00A90667"/>
    <w:rsid w:val="00A90FC7"/>
    <w:rsid w:val="00A91F90"/>
    <w:rsid w:val="00A92946"/>
    <w:rsid w:val="00A9339E"/>
    <w:rsid w:val="00A9518C"/>
    <w:rsid w:val="00A95FA1"/>
    <w:rsid w:val="00A97107"/>
    <w:rsid w:val="00A97D2D"/>
    <w:rsid w:val="00AA060D"/>
    <w:rsid w:val="00AA07E5"/>
    <w:rsid w:val="00AA15A2"/>
    <w:rsid w:val="00AA2D2A"/>
    <w:rsid w:val="00AA3115"/>
    <w:rsid w:val="00AA365B"/>
    <w:rsid w:val="00AA4DBD"/>
    <w:rsid w:val="00AA5585"/>
    <w:rsid w:val="00AA6666"/>
    <w:rsid w:val="00AA67D9"/>
    <w:rsid w:val="00AA783E"/>
    <w:rsid w:val="00AB0B3C"/>
    <w:rsid w:val="00AB0C40"/>
    <w:rsid w:val="00AB2783"/>
    <w:rsid w:val="00AB3CE8"/>
    <w:rsid w:val="00AB3EAA"/>
    <w:rsid w:val="00AB44AA"/>
    <w:rsid w:val="00AB44B2"/>
    <w:rsid w:val="00AB472D"/>
    <w:rsid w:val="00AB4DE8"/>
    <w:rsid w:val="00AB5C1B"/>
    <w:rsid w:val="00AB6084"/>
    <w:rsid w:val="00AB659F"/>
    <w:rsid w:val="00AB6D7B"/>
    <w:rsid w:val="00AB6DF9"/>
    <w:rsid w:val="00AB6FFE"/>
    <w:rsid w:val="00AB73C0"/>
    <w:rsid w:val="00AB7893"/>
    <w:rsid w:val="00AC042E"/>
    <w:rsid w:val="00AC0BC2"/>
    <w:rsid w:val="00AC0ECB"/>
    <w:rsid w:val="00AC1436"/>
    <w:rsid w:val="00AC193A"/>
    <w:rsid w:val="00AC1EAC"/>
    <w:rsid w:val="00AC2400"/>
    <w:rsid w:val="00AC279D"/>
    <w:rsid w:val="00AC2C0D"/>
    <w:rsid w:val="00AC2E86"/>
    <w:rsid w:val="00AC365B"/>
    <w:rsid w:val="00AC4522"/>
    <w:rsid w:val="00AC4C57"/>
    <w:rsid w:val="00AC5510"/>
    <w:rsid w:val="00AC58B5"/>
    <w:rsid w:val="00AC6BE5"/>
    <w:rsid w:val="00AC6CC1"/>
    <w:rsid w:val="00AC6D17"/>
    <w:rsid w:val="00AC6D7A"/>
    <w:rsid w:val="00AC7AB7"/>
    <w:rsid w:val="00AC7C99"/>
    <w:rsid w:val="00AD1C1F"/>
    <w:rsid w:val="00AD26F4"/>
    <w:rsid w:val="00AD3679"/>
    <w:rsid w:val="00AD37D5"/>
    <w:rsid w:val="00AD43A1"/>
    <w:rsid w:val="00AD56D2"/>
    <w:rsid w:val="00AD6721"/>
    <w:rsid w:val="00AD6D61"/>
    <w:rsid w:val="00AD6F6B"/>
    <w:rsid w:val="00AD721F"/>
    <w:rsid w:val="00AD7985"/>
    <w:rsid w:val="00AE126B"/>
    <w:rsid w:val="00AE1757"/>
    <w:rsid w:val="00AE1811"/>
    <w:rsid w:val="00AE2237"/>
    <w:rsid w:val="00AE289B"/>
    <w:rsid w:val="00AE2B82"/>
    <w:rsid w:val="00AE326C"/>
    <w:rsid w:val="00AE3954"/>
    <w:rsid w:val="00AE3E63"/>
    <w:rsid w:val="00AE3EE7"/>
    <w:rsid w:val="00AE4CB8"/>
    <w:rsid w:val="00AE5602"/>
    <w:rsid w:val="00AE58D3"/>
    <w:rsid w:val="00AE5F1F"/>
    <w:rsid w:val="00AE61B5"/>
    <w:rsid w:val="00AE6E0E"/>
    <w:rsid w:val="00AE7332"/>
    <w:rsid w:val="00AF0B6E"/>
    <w:rsid w:val="00AF1CCD"/>
    <w:rsid w:val="00AF2888"/>
    <w:rsid w:val="00AF2C59"/>
    <w:rsid w:val="00AF3198"/>
    <w:rsid w:val="00AF3D2C"/>
    <w:rsid w:val="00AF41A0"/>
    <w:rsid w:val="00AF576F"/>
    <w:rsid w:val="00AF66DA"/>
    <w:rsid w:val="00AF69D4"/>
    <w:rsid w:val="00AF6AA4"/>
    <w:rsid w:val="00AF6D34"/>
    <w:rsid w:val="00AF7167"/>
    <w:rsid w:val="00B00E46"/>
    <w:rsid w:val="00B01AF8"/>
    <w:rsid w:val="00B02C39"/>
    <w:rsid w:val="00B04015"/>
    <w:rsid w:val="00B0467C"/>
    <w:rsid w:val="00B04DF0"/>
    <w:rsid w:val="00B06028"/>
    <w:rsid w:val="00B064D2"/>
    <w:rsid w:val="00B06536"/>
    <w:rsid w:val="00B06AC6"/>
    <w:rsid w:val="00B06B37"/>
    <w:rsid w:val="00B078A4"/>
    <w:rsid w:val="00B106BB"/>
    <w:rsid w:val="00B118BE"/>
    <w:rsid w:val="00B11EDC"/>
    <w:rsid w:val="00B125E7"/>
    <w:rsid w:val="00B13A31"/>
    <w:rsid w:val="00B13B53"/>
    <w:rsid w:val="00B15424"/>
    <w:rsid w:val="00B16070"/>
    <w:rsid w:val="00B1625B"/>
    <w:rsid w:val="00B16594"/>
    <w:rsid w:val="00B16A2E"/>
    <w:rsid w:val="00B1726E"/>
    <w:rsid w:val="00B20183"/>
    <w:rsid w:val="00B20918"/>
    <w:rsid w:val="00B20DE0"/>
    <w:rsid w:val="00B22299"/>
    <w:rsid w:val="00B23455"/>
    <w:rsid w:val="00B23EF7"/>
    <w:rsid w:val="00B243AB"/>
    <w:rsid w:val="00B25AA3"/>
    <w:rsid w:val="00B25C68"/>
    <w:rsid w:val="00B25D02"/>
    <w:rsid w:val="00B26346"/>
    <w:rsid w:val="00B27C9D"/>
    <w:rsid w:val="00B3102D"/>
    <w:rsid w:val="00B326F3"/>
    <w:rsid w:val="00B33524"/>
    <w:rsid w:val="00B33791"/>
    <w:rsid w:val="00B3439F"/>
    <w:rsid w:val="00B348E7"/>
    <w:rsid w:val="00B3584E"/>
    <w:rsid w:val="00B35DDB"/>
    <w:rsid w:val="00B35FDD"/>
    <w:rsid w:val="00B371AA"/>
    <w:rsid w:val="00B373B3"/>
    <w:rsid w:val="00B37A74"/>
    <w:rsid w:val="00B37BB7"/>
    <w:rsid w:val="00B37BCD"/>
    <w:rsid w:val="00B424AB"/>
    <w:rsid w:val="00B42853"/>
    <w:rsid w:val="00B44B37"/>
    <w:rsid w:val="00B44F9F"/>
    <w:rsid w:val="00B45524"/>
    <w:rsid w:val="00B46999"/>
    <w:rsid w:val="00B4709F"/>
    <w:rsid w:val="00B47157"/>
    <w:rsid w:val="00B47200"/>
    <w:rsid w:val="00B475F1"/>
    <w:rsid w:val="00B502AD"/>
    <w:rsid w:val="00B5037E"/>
    <w:rsid w:val="00B52941"/>
    <w:rsid w:val="00B5304E"/>
    <w:rsid w:val="00B539FA"/>
    <w:rsid w:val="00B543F6"/>
    <w:rsid w:val="00B54525"/>
    <w:rsid w:val="00B54B78"/>
    <w:rsid w:val="00B550D2"/>
    <w:rsid w:val="00B5579D"/>
    <w:rsid w:val="00B56100"/>
    <w:rsid w:val="00B6063F"/>
    <w:rsid w:val="00B60BDF"/>
    <w:rsid w:val="00B60E75"/>
    <w:rsid w:val="00B60EED"/>
    <w:rsid w:val="00B6237B"/>
    <w:rsid w:val="00B63709"/>
    <w:rsid w:val="00B6403A"/>
    <w:rsid w:val="00B645CD"/>
    <w:rsid w:val="00B647D9"/>
    <w:rsid w:val="00B65605"/>
    <w:rsid w:val="00B658FE"/>
    <w:rsid w:val="00B66539"/>
    <w:rsid w:val="00B66632"/>
    <w:rsid w:val="00B6680E"/>
    <w:rsid w:val="00B673D8"/>
    <w:rsid w:val="00B67436"/>
    <w:rsid w:val="00B708AF"/>
    <w:rsid w:val="00B71262"/>
    <w:rsid w:val="00B73014"/>
    <w:rsid w:val="00B740D5"/>
    <w:rsid w:val="00B746CD"/>
    <w:rsid w:val="00B747DF"/>
    <w:rsid w:val="00B7661F"/>
    <w:rsid w:val="00B76C21"/>
    <w:rsid w:val="00B76FE0"/>
    <w:rsid w:val="00B77108"/>
    <w:rsid w:val="00B80690"/>
    <w:rsid w:val="00B8175A"/>
    <w:rsid w:val="00B818E9"/>
    <w:rsid w:val="00B81A86"/>
    <w:rsid w:val="00B81E08"/>
    <w:rsid w:val="00B82350"/>
    <w:rsid w:val="00B83ACB"/>
    <w:rsid w:val="00B84377"/>
    <w:rsid w:val="00B84518"/>
    <w:rsid w:val="00B85627"/>
    <w:rsid w:val="00B85CC9"/>
    <w:rsid w:val="00B8617A"/>
    <w:rsid w:val="00B87554"/>
    <w:rsid w:val="00B87643"/>
    <w:rsid w:val="00B90BAF"/>
    <w:rsid w:val="00B90D14"/>
    <w:rsid w:val="00B926DC"/>
    <w:rsid w:val="00B93032"/>
    <w:rsid w:val="00B9322F"/>
    <w:rsid w:val="00B935B9"/>
    <w:rsid w:val="00B93718"/>
    <w:rsid w:val="00B959EE"/>
    <w:rsid w:val="00B95F41"/>
    <w:rsid w:val="00B9691A"/>
    <w:rsid w:val="00B96CC9"/>
    <w:rsid w:val="00B97DE2"/>
    <w:rsid w:val="00BA0058"/>
    <w:rsid w:val="00BA095C"/>
    <w:rsid w:val="00BA0D26"/>
    <w:rsid w:val="00BA23A1"/>
    <w:rsid w:val="00BA23BE"/>
    <w:rsid w:val="00BA266D"/>
    <w:rsid w:val="00BA3917"/>
    <w:rsid w:val="00BA4674"/>
    <w:rsid w:val="00BA4DF9"/>
    <w:rsid w:val="00BA576A"/>
    <w:rsid w:val="00BA62C5"/>
    <w:rsid w:val="00BA7E8A"/>
    <w:rsid w:val="00BB0826"/>
    <w:rsid w:val="00BB0FDB"/>
    <w:rsid w:val="00BB1700"/>
    <w:rsid w:val="00BB2A6D"/>
    <w:rsid w:val="00BB3376"/>
    <w:rsid w:val="00BB34F9"/>
    <w:rsid w:val="00BB38D1"/>
    <w:rsid w:val="00BB3EB4"/>
    <w:rsid w:val="00BB4FFF"/>
    <w:rsid w:val="00BB5820"/>
    <w:rsid w:val="00BB5CCE"/>
    <w:rsid w:val="00BB5D61"/>
    <w:rsid w:val="00BB6215"/>
    <w:rsid w:val="00BB6CAB"/>
    <w:rsid w:val="00BB7934"/>
    <w:rsid w:val="00BC1538"/>
    <w:rsid w:val="00BC1912"/>
    <w:rsid w:val="00BC1EAC"/>
    <w:rsid w:val="00BC254D"/>
    <w:rsid w:val="00BC3175"/>
    <w:rsid w:val="00BC3523"/>
    <w:rsid w:val="00BC42E9"/>
    <w:rsid w:val="00BC52CB"/>
    <w:rsid w:val="00BC654B"/>
    <w:rsid w:val="00BC6B43"/>
    <w:rsid w:val="00BC7CB8"/>
    <w:rsid w:val="00BC7DAF"/>
    <w:rsid w:val="00BD0BB9"/>
    <w:rsid w:val="00BD0D0A"/>
    <w:rsid w:val="00BD1890"/>
    <w:rsid w:val="00BD2D25"/>
    <w:rsid w:val="00BD3FC7"/>
    <w:rsid w:val="00BD513C"/>
    <w:rsid w:val="00BD5DC5"/>
    <w:rsid w:val="00BD5F31"/>
    <w:rsid w:val="00BD70AC"/>
    <w:rsid w:val="00BE01E9"/>
    <w:rsid w:val="00BE02B8"/>
    <w:rsid w:val="00BE0AAC"/>
    <w:rsid w:val="00BE373C"/>
    <w:rsid w:val="00BE39DB"/>
    <w:rsid w:val="00BE41B7"/>
    <w:rsid w:val="00BE5441"/>
    <w:rsid w:val="00BE6138"/>
    <w:rsid w:val="00BF02F6"/>
    <w:rsid w:val="00BF084F"/>
    <w:rsid w:val="00BF0EA0"/>
    <w:rsid w:val="00BF11C9"/>
    <w:rsid w:val="00BF1472"/>
    <w:rsid w:val="00BF1B75"/>
    <w:rsid w:val="00BF1C5C"/>
    <w:rsid w:val="00BF2FF9"/>
    <w:rsid w:val="00BF3937"/>
    <w:rsid w:val="00BF42CE"/>
    <w:rsid w:val="00BF56D5"/>
    <w:rsid w:val="00BF5865"/>
    <w:rsid w:val="00BF67C4"/>
    <w:rsid w:val="00BF68A0"/>
    <w:rsid w:val="00BF77A7"/>
    <w:rsid w:val="00BF7F9E"/>
    <w:rsid w:val="00C004C1"/>
    <w:rsid w:val="00C00B5D"/>
    <w:rsid w:val="00C00C20"/>
    <w:rsid w:val="00C00DFC"/>
    <w:rsid w:val="00C01736"/>
    <w:rsid w:val="00C01E27"/>
    <w:rsid w:val="00C02228"/>
    <w:rsid w:val="00C02307"/>
    <w:rsid w:val="00C02DAD"/>
    <w:rsid w:val="00C042DF"/>
    <w:rsid w:val="00C04FFC"/>
    <w:rsid w:val="00C06A20"/>
    <w:rsid w:val="00C079FE"/>
    <w:rsid w:val="00C07B8A"/>
    <w:rsid w:val="00C10778"/>
    <w:rsid w:val="00C10AD5"/>
    <w:rsid w:val="00C1304F"/>
    <w:rsid w:val="00C13B82"/>
    <w:rsid w:val="00C15A38"/>
    <w:rsid w:val="00C15CCC"/>
    <w:rsid w:val="00C1675A"/>
    <w:rsid w:val="00C1732A"/>
    <w:rsid w:val="00C17AEB"/>
    <w:rsid w:val="00C20029"/>
    <w:rsid w:val="00C2196F"/>
    <w:rsid w:val="00C21EE0"/>
    <w:rsid w:val="00C22F82"/>
    <w:rsid w:val="00C2428B"/>
    <w:rsid w:val="00C258B1"/>
    <w:rsid w:val="00C26B69"/>
    <w:rsid w:val="00C27046"/>
    <w:rsid w:val="00C277A8"/>
    <w:rsid w:val="00C27A54"/>
    <w:rsid w:val="00C32822"/>
    <w:rsid w:val="00C337A0"/>
    <w:rsid w:val="00C341A0"/>
    <w:rsid w:val="00C35900"/>
    <w:rsid w:val="00C3722B"/>
    <w:rsid w:val="00C4065D"/>
    <w:rsid w:val="00C4143B"/>
    <w:rsid w:val="00C46297"/>
    <w:rsid w:val="00C46A93"/>
    <w:rsid w:val="00C470F0"/>
    <w:rsid w:val="00C473EA"/>
    <w:rsid w:val="00C47F11"/>
    <w:rsid w:val="00C50260"/>
    <w:rsid w:val="00C509D1"/>
    <w:rsid w:val="00C514A1"/>
    <w:rsid w:val="00C516F8"/>
    <w:rsid w:val="00C528D1"/>
    <w:rsid w:val="00C52A57"/>
    <w:rsid w:val="00C52AE8"/>
    <w:rsid w:val="00C531DF"/>
    <w:rsid w:val="00C53C85"/>
    <w:rsid w:val="00C54BDB"/>
    <w:rsid w:val="00C55F17"/>
    <w:rsid w:val="00C56532"/>
    <w:rsid w:val="00C56ACF"/>
    <w:rsid w:val="00C571BC"/>
    <w:rsid w:val="00C57B8D"/>
    <w:rsid w:val="00C60807"/>
    <w:rsid w:val="00C60A1C"/>
    <w:rsid w:val="00C615DA"/>
    <w:rsid w:val="00C621A0"/>
    <w:rsid w:val="00C62AB8"/>
    <w:rsid w:val="00C62E86"/>
    <w:rsid w:val="00C6491C"/>
    <w:rsid w:val="00C64D1E"/>
    <w:rsid w:val="00C650F0"/>
    <w:rsid w:val="00C65542"/>
    <w:rsid w:val="00C65FF2"/>
    <w:rsid w:val="00C667F6"/>
    <w:rsid w:val="00C670F1"/>
    <w:rsid w:val="00C67FAC"/>
    <w:rsid w:val="00C70A22"/>
    <w:rsid w:val="00C70E62"/>
    <w:rsid w:val="00C71581"/>
    <w:rsid w:val="00C717C1"/>
    <w:rsid w:val="00C72511"/>
    <w:rsid w:val="00C725EA"/>
    <w:rsid w:val="00C7326D"/>
    <w:rsid w:val="00C738AF"/>
    <w:rsid w:val="00C73B6E"/>
    <w:rsid w:val="00C73D0C"/>
    <w:rsid w:val="00C7425A"/>
    <w:rsid w:val="00C7458A"/>
    <w:rsid w:val="00C74E02"/>
    <w:rsid w:val="00C74FE3"/>
    <w:rsid w:val="00C7506F"/>
    <w:rsid w:val="00C750AB"/>
    <w:rsid w:val="00C75486"/>
    <w:rsid w:val="00C75737"/>
    <w:rsid w:val="00C76181"/>
    <w:rsid w:val="00C764F3"/>
    <w:rsid w:val="00C767F0"/>
    <w:rsid w:val="00C7723B"/>
    <w:rsid w:val="00C803CF"/>
    <w:rsid w:val="00C818F2"/>
    <w:rsid w:val="00C81C56"/>
    <w:rsid w:val="00C82638"/>
    <w:rsid w:val="00C828E4"/>
    <w:rsid w:val="00C82C1A"/>
    <w:rsid w:val="00C840E3"/>
    <w:rsid w:val="00C8480F"/>
    <w:rsid w:val="00C852D6"/>
    <w:rsid w:val="00C8634A"/>
    <w:rsid w:val="00C86886"/>
    <w:rsid w:val="00C874B9"/>
    <w:rsid w:val="00C879B5"/>
    <w:rsid w:val="00C879F5"/>
    <w:rsid w:val="00C87D15"/>
    <w:rsid w:val="00C87F69"/>
    <w:rsid w:val="00C902D1"/>
    <w:rsid w:val="00C904CA"/>
    <w:rsid w:val="00C90EA0"/>
    <w:rsid w:val="00C91A02"/>
    <w:rsid w:val="00C91A32"/>
    <w:rsid w:val="00C92140"/>
    <w:rsid w:val="00C93A24"/>
    <w:rsid w:val="00C94685"/>
    <w:rsid w:val="00C94737"/>
    <w:rsid w:val="00C95582"/>
    <w:rsid w:val="00C9563C"/>
    <w:rsid w:val="00C957B9"/>
    <w:rsid w:val="00C9648D"/>
    <w:rsid w:val="00C96680"/>
    <w:rsid w:val="00C9723C"/>
    <w:rsid w:val="00CA26EF"/>
    <w:rsid w:val="00CA3E70"/>
    <w:rsid w:val="00CA3FBA"/>
    <w:rsid w:val="00CA42F9"/>
    <w:rsid w:val="00CA55FE"/>
    <w:rsid w:val="00CA647C"/>
    <w:rsid w:val="00CA6F0A"/>
    <w:rsid w:val="00CA720B"/>
    <w:rsid w:val="00CA7485"/>
    <w:rsid w:val="00CA7890"/>
    <w:rsid w:val="00CA7984"/>
    <w:rsid w:val="00CA7C71"/>
    <w:rsid w:val="00CB0A01"/>
    <w:rsid w:val="00CB22B1"/>
    <w:rsid w:val="00CB3159"/>
    <w:rsid w:val="00CB357E"/>
    <w:rsid w:val="00CB3642"/>
    <w:rsid w:val="00CB41A7"/>
    <w:rsid w:val="00CB4B35"/>
    <w:rsid w:val="00CB50BF"/>
    <w:rsid w:val="00CB52C8"/>
    <w:rsid w:val="00CB54A3"/>
    <w:rsid w:val="00CB5AD4"/>
    <w:rsid w:val="00CB5AF3"/>
    <w:rsid w:val="00CB70C8"/>
    <w:rsid w:val="00CC058C"/>
    <w:rsid w:val="00CC1169"/>
    <w:rsid w:val="00CC13AB"/>
    <w:rsid w:val="00CC1E7B"/>
    <w:rsid w:val="00CC211A"/>
    <w:rsid w:val="00CC30C9"/>
    <w:rsid w:val="00CC3800"/>
    <w:rsid w:val="00CC3E5A"/>
    <w:rsid w:val="00CC51CE"/>
    <w:rsid w:val="00CC54AC"/>
    <w:rsid w:val="00CC76BF"/>
    <w:rsid w:val="00CC78FD"/>
    <w:rsid w:val="00CD0750"/>
    <w:rsid w:val="00CD1B64"/>
    <w:rsid w:val="00CD2DA7"/>
    <w:rsid w:val="00CD43AB"/>
    <w:rsid w:val="00CD4AD6"/>
    <w:rsid w:val="00CD4B93"/>
    <w:rsid w:val="00CD50E8"/>
    <w:rsid w:val="00CD5180"/>
    <w:rsid w:val="00CD5E33"/>
    <w:rsid w:val="00CE009B"/>
    <w:rsid w:val="00CE04EA"/>
    <w:rsid w:val="00CE09AD"/>
    <w:rsid w:val="00CE146B"/>
    <w:rsid w:val="00CE2068"/>
    <w:rsid w:val="00CE36A3"/>
    <w:rsid w:val="00CE49AF"/>
    <w:rsid w:val="00CE5265"/>
    <w:rsid w:val="00CE52C4"/>
    <w:rsid w:val="00CE5377"/>
    <w:rsid w:val="00CE57B3"/>
    <w:rsid w:val="00CE5A7A"/>
    <w:rsid w:val="00CE64EB"/>
    <w:rsid w:val="00CE6DFA"/>
    <w:rsid w:val="00CE6F97"/>
    <w:rsid w:val="00CE7C5E"/>
    <w:rsid w:val="00CF0878"/>
    <w:rsid w:val="00CF1FA3"/>
    <w:rsid w:val="00CF30C0"/>
    <w:rsid w:val="00CF4145"/>
    <w:rsid w:val="00CF5447"/>
    <w:rsid w:val="00CF5619"/>
    <w:rsid w:val="00CF57AE"/>
    <w:rsid w:val="00CF58E7"/>
    <w:rsid w:val="00CF5FB4"/>
    <w:rsid w:val="00CF69DE"/>
    <w:rsid w:val="00CF6BE4"/>
    <w:rsid w:val="00D0077C"/>
    <w:rsid w:val="00D01DB2"/>
    <w:rsid w:val="00D01E01"/>
    <w:rsid w:val="00D02ED7"/>
    <w:rsid w:val="00D044AE"/>
    <w:rsid w:val="00D06C7B"/>
    <w:rsid w:val="00D07613"/>
    <w:rsid w:val="00D10853"/>
    <w:rsid w:val="00D1136B"/>
    <w:rsid w:val="00D11AD5"/>
    <w:rsid w:val="00D11CA6"/>
    <w:rsid w:val="00D11F90"/>
    <w:rsid w:val="00D12097"/>
    <w:rsid w:val="00D126D2"/>
    <w:rsid w:val="00D12A5D"/>
    <w:rsid w:val="00D12AC8"/>
    <w:rsid w:val="00D13AFE"/>
    <w:rsid w:val="00D143C4"/>
    <w:rsid w:val="00D149DA"/>
    <w:rsid w:val="00D14F94"/>
    <w:rsid w:val="00D15017"/>
    <w:rsid w:val="00D150D6"/>
    <w:rsid w:val="00D152C5"/>
    <w:rsid w:val="00D15B7E"/>
    <w:rsid w:val="00D15E86"/>
    <w:rsid w:val="00D16326"/>
    <w:rsid w:val="00D2068B"/>
    <w:rsid w:val="00D209F3"/>
    <w:rsid w:val="00D21257"/>
    <w:rsid w:val="00D2129C"/>
    <w:rsid w:val="00D21BE6"/>
    <w:rsid w:val="00D21CBC"/>
    <w:rsid w:val="00D21FBD"/>
    <w:rsid w:val="00D220C7"/>
    <w:rsid w:val="00D22538"/>
    <w:rsid w:val="00D2298C"/>
    <w:rsid w:val="00D22A2E"/>
    <w:rsid w:val="00D24312"/>
    <w:rsid w:val="00D24882"/>
    <w:rsid w:val="00D24FEC"/>
    <w:rsid w:val="00D2603A"/>
    <w:rsid w:val="00D26331"/>
    <w:rsid w:val="00D26EDD"/>
    <w:rsid w:val="00D26FCA"/>
    <w:rsid w:val="00D27C24"/>
    <w:rsid w:val="00D30566"/>
    <w:rsid w:val="00D30B59"/>
    <w:rsid w:val="00D30D38"/>
    <w:rsid w:val="00D327F0"/>
    <w:rsid w:val="00D33046"/>
    <w:rsid w:val="00D337BE"/>
    <w:rsid w:val="00D3390C"/>
    <w:rsid w:val="00D33AA5"/>
    <w:rsid w:val="00D34ABB"/>
    <w:rsid w:val="00D34EEF"/>
    <w:rsid w:val="00D3558F"/>
    <w:rsid w:val="00D3756D"/>
    <w:rsid w:val="00D40020"/>
    <w:rsid w:val="00D4020E"/>
    <w:rsid w:val="00D408CF"/>
    <w:rsid w:val="00D41961"/>
    <w:rsid w:val="00D437B1"/>
    <w:rsid w:val="00D45B32"/>
    <w:rsid w:val="00D47116"/>
    <w:rsid w:val="00D508CA"/>
    <w:rsid w:val="00D5097C"/>
    <w:rsid w:val="00D51338"/>
    <w:rsid w:val="00D51651"/>
    <w:rsid w:val="00D51A75"/>
    <w:rsid w:val="00D52E56"/>
    <w:rsid w:val="00D52EFB"/>
    <w:rsid w:val="00D55CF0"/>
    <w:rsid w:val="00D56B2C"/>
    <w:rsid w:val="00D56FBA"/>
    <w:rsid w:val="00D57408"/>
    <w:rsid w:val="00D57607"/>
    <w:rsid w:val="00D57EA5"/>
    <w:rsid w:val="00D6095A"/>
    <w:rsid w:val="00D60C00"/>
    <w:rsid w:val="00D62726"/>
    <w:rsid w:val="00D62BA5"/>
    <w:rsid w:val="00D65754"/>
    <w:rsid w:val="00D666CF"/>
    <w:rsid w:val="00D66749"/>
    <w:rsid w:val="00D6692B"/>
    <w:rsid w:val="00D6693A"/>
    <w:rsid w:val="00D66ED7"/>
    <w:rsid w:val="00D70FCE"/>
    <w:rsid w:val="00D7131B"/>
    <w:rsid w:val="00D73A81"/>
    <w:rsid w:val="00D73AFE"/>
    <w:rsid w:val="00D74F1B"/>
    <w:rsid w:val="00D75BA0"/>
    <w:rsid w:val="00D7611D"/>
    <w:rsid w:val="00D7762F"/>
    <w:rsid w:val="00D81003"/>
    <w:rsid w:val="00D81447"/>
    <w:rsid w:val="00D82813"/>
    <w:rsid w:val="00D82AC6"/>
    <w:rsid w:val="00D840CB"/>
    <w:rsid w:val="00D84F08"/>
    <w:rsid w:val="00D84F38"/>
    <w:rsid w:val="00D85699"/>
    <w:rsid w:val="00D85B2F"/>
    <w:rsid w:val="00D861A2"/>
    <w:rsid w:val="00D86C94"/>
    <w:rsid w:val="00D90FDA"/>
    <w:rsid w:val="00D917F9"/>
    <w:rsid w:val="00D92564"/>
    <w:rsid w:val="00D926FA"/>
    <w:rsid w:val="00D94457"/>
    <w:rsid w:val="00D95608"/>
    <w:rsid w:val="00D958C0"/>
    <w:rsid w:val="00D95D3A"/>
    <w:rsid w:val="00DA0133"/>
    <w:rsid w:val="00DA113B"/>
    <w:rsid w:val="00DA1220"/>
    <w:rsid w:val="00DA16F4"/>
    <w:rsid w:val="00DA223E"/>
    <w:rsid w:val="00DA2278"/>
    <w:rsid w:val="00DA271E"/>
    <w:rsid w:val="00DA2DBF"/>
    <w:rsid w:val="00DA313C"/>
    <w:rsid w:val="00DA46CB"/>
    <w:rsid w:val="00DA5140"/>
    <w:rsid w:val="00DA51FD"/>
    <w:rsid w:val="00DA539E"/>
    <w:rsid w:val="00DA5684"/>
    <w:rsid w:val="00DA5A72"/>
    <w:rsid w:val="00DA5F64"/>
    <w:rsid w:val="00DA6152"/>
    <w:rsid w:val="00DA63D1"/>
    <w:rsid w:val="00DA69B9"/>
    <w:rsid w:val="00DB0018"/>
    <w:rsid w:val="00DB02CD"/>
    <w:rsid w:val="00DB0428"/>
    <w:rsid w:val="00DB1B00"/>
    <w:rsid w:val="00DB1D68"/>
    <w:rsid w:val="00DB1EB5"/>
    <w:rsid w:val="00DB2967"/>
    <w:rsid w:val="00DB32C0"/>
    <w:rsid w:val="00DB3352"/>
    <w:rsid w:val="00DB3D02"/>
    <w:rsid w:val="00DB402F"/>
    <w:rsid w:val="00DB5DB2"/>
    <w:rsid w:val="00DB662A"/>
    <w:rsid w:val="00DB67CE"/>
    <w:rsid w:val="00DB69AF"/>
    <w:rsid w:val="00DB71B9"/>
    <w:rsid w:val="00DB7ED2"/>
    <w:rsid w:val="00DC09BB"/>
    <w:rsid w:val="00DC11C3"/>
    <w:rsid w:val="00DC17A2"/>
    <w:rsid w:val="00DC1D48"/>
    <w:rsid w:val="00DC1FA8"/>
    <w:rsid w:val="00DC2125"/>
    <w:rsid w:val="00DC2DC3"/>
    <w:rsid w:val="00DC5C40"/>
    <w:rsid w:val="00DC6164"/>
    <w:rsid w:val="00DC63C0"/>
    <w:rsid w:val="00DC6A7A"/>
    <w:rsid w:val="00DC6CF6"/>
    <w:rsid w:val="00DC7034"/>
    <w:rsid w:val="00DC75B2"/>
    <w:rsid w:val="00DC76F9"/>
    <w:rsid w:val="00DC7890"/>
    <w:rsid w:val="00DC7A68"/>
    <w:rsid w:val="00DD03CF"/>
    <w:rsid w:val="00DD2495"/>
    <w:rsid w:val="00DD3686"/>
    <w:rsid w:val="00DD378C"/>
    <w:rsid w:val="00DD3E88"/>
    <w:rsid w:val="00DD5114"/>
    <w:rsid w:val="00DD5248"/>
    <w:rsid w:val="00DD5479"/>
    <w:rsid w:val="00DD5F43"/>
    <w:rsid w:val="00DD707F"/>
    <w:rsid w:val="00DD78B2"/>
    <w:rsid w:val="00DD792D"/>
    <w:rsid w:val="00DE015B"/>
    <w:rsid w:val="00DE0C57"/>
    <w:rsid w:val="00DE1410"/>
    <w:rsid w:val="00DE26B7"/>
    <w:rsid w:val="00DE2E7A"/>
    <w:rsid w:val="00DE3492"/>
    <w:rsid w:val="00DE3946"/>
    <w:rsid w:val="00DE3CD1"/>
    <w:rsid w:val="00DE41EA"/>
    <w:rsid w:val="00DE6026"/>
    <w:rsid w:val="00DE6116"/>
    <w:rsid w:val="00DE6821"/>
    <w:rsid w:val="00DE6AF9"/>
    <w:rsid w:val="00DE6E27"/>
    <w:rsid w:val="00DE7739"/>
    <w:rsid w:val="00DF0396"/>
    <w:rsid w:val="00DF0888"/>
    <w:rsid w:val="00DF21D9"/>
    <w:rsid w:val="00DF23EF"/>
    <w:rsid w:val="00DF2C18"/>
    <w:rsid w:val="00DF3D79"/>
    <w:rsid w:val="00DF47EE"/>
    <w:rsid w:val="00DF502B"/>
    <w:rsid w:val="00DF54BB"/>
    <w:rsid w:val="00DF62E0"/>
    <w:rsid w:val="00DF7435"/>
    <w:rsid w:val="00DF7D77"/>
    <w:rsid w:val="00E00060"/>
    <w:rsid w:val="00E00431"/>
    <w:rsid w:val="00E00CC8"/>
    <w:rsid w:val="00E00E12"/>
    <w:rsid w:val="00E0376B"/>
    <w:rsid w:val="00E03F1F"/>
    <w:rsid w:val="00E04254"/>
    <w:rsid w:val="00E0594F"/>
    <w:rsid w:val="00E06166"/>
    <w:rsid w:val="00E06BE5"/>
    <w:rsid w:val="00E07795"/>
    <w:rsid w:val="00E07A3B"/>
    <w:rsid w:val="00E07FF6"/>
    <w:rsid w:val="00E10DF0"/>
    <w:rsid w:val="00E11F2A"/>
    <w:rsid w:val="00E125FC"/>
    <w:rsid w:val="00E1304B"/>
    <w:rsid w:val="00E147A0"/>
    <w:rsid w:val="00E201ED"/>
    <w:rsid w:val="00E21BC0"/>
    <w:rsid w:val="00E21C53"/>
    <w:rsid w:val="00E21CFC"/>
    <w:rsid w:val="00E21D16"/>
    <w:rsid w:val="00E227A8"/>
    <w:rsid w:val="00E23508"/>
    <w:rsid w:val="00E23E26"/>
    <w:rsid w:val="00E250D5"/>
    <w:rsid w:val="00E25958"/>
    <w:rsid w:val="00E25EB4"/>
    <w:rsid w:val="00E3048B"/>
    <w:rsid w:val="00E30FFE"/>
    <w:rsid w:val="00E3120A"/>
    <w:rsid w:val="00E319F1"/>
    <w:rsid w:val="00E31B70"/>
    <w:rsid w:val="00E3284A"/>
    <w:rsid w:val="00E32B86"/>
    <w:rsid w:val="00E32F8A"/>
    <w:rsid w:val="00E3450F"/>
    <w:rsid w:val="00E35150"/>
    <w:rsid w:val="00E35603"/>
    <w:rsid w:val="00E36441"/>
    <w:rsid w:val="00E40A55"/>
    <w:rsid w:val="00E40BD9"/>
    <w:rsid w:val="00E41A3C"/>
    <w:rsid w:val="00E427EA"/>
    <w:rsid w:val="00E42915"/>
    <w:rsid w:val="00E43501"/>
    <w:rsid w:val="00E445F3"/>
    <w:rsid w:val="00E45076"/>
    <w:rsid w:val="00E45EC6"/>
    <w:rsid w:val="00E47096"/>
    <w:rsid w:val="00E47297"/>
    <w:rsid w:val="00E47572"/>
    <w:rsid w:val="00E47746"/>
    <w:rsid w:val="00E47C0C"/>
    <w:rsid w:val="00E51017"/>
    <w:rsid w:val="00E512E5"/>
    <w:rsid w:val="00E51C05"/>
    <w:rsid w:val="00E51E7C"/>
    <w:rsid w:val="00E51FF3"/>
    <w:rsid w:val="00E520D4"/>
    <w:rsid w:val="00E52503"/>
    <w:rsid w:val="00E52EDE"/>
    <w:rsid w:val="00E5416C"/>
    <w:rsid w:val="00E54809"/>
    <w:rsid w:val="00E54EAC"/>
    <w:rsid w:val="00E551D1"/>
    <w:rsid w:val="00E5574E"/>
    <w:rsid w:val="00E56D72"/>
    <w:rsid w:val="00E60486"/>
    <w:rsid w:val="00E60783"/>
    <w:rsid w:val="00E619D0"/>
    <w:rsid w:val="00E635C3"/>
    <w:rsid w:val="00E63F62"/>
    <w:rsid w:val="00E64AD6"/>
    <w:rsid w:val="00E6584B"/>
    <w:rsid w:val="00E65BC7"/>
    <w:rsid w:val="00E6626C"/>
    <w:rsid w:val="00E663DA"/>
    <w:rsid w:val="00E663EC"/>
    <w:rsid w:val="00E66BAA"/>
    <w:rsid w:val="00E66E32"/>
    <w:rsid w:val="00E671D9"/>
    <w:rsid w:val="00E6777C"/>
    <w:rsid w:val="00E677BA"/>
    <w:rsid w:val="00E67A03"/>
    <w:rsid w:val="00E723C5"/>
    <w:rsid w:val="00E72584"/>
    <w:rsid w:val="00E72A21"/>
    <w:rsid w:val="00E73116"/>
    <w:rsid w:val="00E73369"/>
    <w:rsid w:val="00E741A2"/>
    <w:rsid w:val="00E7481D"/>
    <w:rsid w:val="00E76096"/>
    <w:rsid w:val="00E77ABA"/>
    <w:rsid w:val="00E77E24"/>
    <w:rsid w:val="00E81029"/>
    <w:rsid w:val="00E814F0"/>
    <w:rsid w:val="00E827B2"/>
    <w:rsid w:val="00E83678"/>
    <w:rsid w:val="00E84A19"/>
    <w:rsid w:val="00E84B9A"/>
    <w:rsid w:val="00E8694E"/>
    <w:rsid w:val="00E907C5"/>
    <w:rsid w:val="00E907EE"/>
    <w:rsid w:val="00E909E3"/>
    <w:rsid w:val="00E90EFD"/>
    <w:rsid w:val="00E911DB"/>
    <w:rsid w:val="00E91206"/>
    <w:rsid w:val="00E91283"/>
    <w:rsid w:val="00E91363"/>
    <w:rsid w:val="00E91FAD"/>
    <w:rsid w:val="00E93425"/>
    <w:rsid w:val="00E934D3"/>
    <w:rsid w:val="00E93A9C"/>
    <w:rsid w:val="00E93D79"/>
    <w:rsid w:val="00E93F6E"/>
    <w:rsid w:val="00E93FFC"/>
    <w:rsid w:val="00E948A2"/>
    <w:rsid w:val="00E95C23"/>
    <w:rsid w:val="00E96EF4"/>
    <w:rsid w:val="00E970B9"/>
    <w:rsid w:val="00E97543"/>
    <w:rsid w:val="00EA0910"/>
    <w:rsid w:val="00EA0B82"/>
    <w:rsid w:val="00EA0C58"/>
    <w:rsid w:val="00EA0CD7"/>
    <w:rsid w:val="00EA1B99"/>
    <w:rsid w:val="00EA1D7E"/>
    <w:rsid w:val="00EA1F5C"/>
    <w:rsid w:val="00EA1FD4"/>
    <w:rsid w:val="00EA2232"/>
    <w:rsid w:val="00EA2B23"/>
    <w:rsid w:val="00EA3514"/>
    <w:rsid w:val="00EA40C7"/>
    <w:rsid w:val="00EA436F"/>
    <w:rsid w:val="00EA51D0"/>
    <w:rsid w:val="00EA521D"/>
    <w:rsid w:val="00EA5559"/>
    <w:rsid w:val="00EA63B2"/>
    <w:rsid w:val="00EA7D35"/>
    <w:rsid w:val="00EB0493"/>
    <w:rsid w:val="00EB17AB"/>
    <w:rsid w:val="00EB1F0B"/>
    <w:rsid w:val="00EB2E69"/>
    <w:rsid w:val="00EB36BE"/>
    <w:rsid w:val="00EB4726"/>
    <w:rsid w:val="00EB536D"/>
    <w:rsid w:val="00EB72A8"/>
    <w:rsid w:val="00EC13FD"/>
    <w:rsid w:val="00EC16DC"/>
    <w:rsid w:val="00EC2624"/>
    <w:rsid w:val="00EC28CB"/>
    <w:rsid w:val="00EC34FE"/>
    <w:rsid w:val="00EC3D97"/>
    <w:rsid w:val="00EC3F1F"/>
    <w:rsid w:val="00EC4022"/>
    <w:rsid w:val="00EC4718"/>
    <w:rsid w:val="00EC5262"/>
    <w:rsid w:val="00EC5974"/>
    <w:rsid w:val="00EC636E"/>
    <w:rsid w:val="00EC6448"/>
    <w:rsid w:val="00EC7751"/>
    <w:rsid w:val="00EC7F4E"/>
    <w:rsid w:val="00ED0231"/>
    <w:rsid w:val="00ED02EF"/>
    <w:rsid w:val="00ED0831"/>
    <w:rsid w:val="00ED1C4A"/>
    <w:rsid w:val="00ED2254"/>
    <w:rsid w:val="00ED2C8D"/>
    <w:rsid w:val="00ED314B"/>
    <w:rsid w:val="00ED37D0"/>
    <w:rsid w:val="00ED439F"/>
    <w:rsid w:val="00ED526A"/>
    <w:rsid w:val="00ED55C0"/>
    <w:rsid w:val="00ED71D5"/>
    <w:rsid w:val="00ED74F5"/>
    <w:rsid w:val="00EE042C"/>
    <w:rsid w:val="00EE0913"/>
    <w:rsid w:val="00EE0A0B"/>
    <w:rsid w:val="00EE25D9"/>
    <w:rsid w:val="00EE2C59"/>
    <w:rsid w:val="00EE2E0D"/>
    <w:rsid w:val="00EE3C92"/>
    <w:rsid w:val="00EE3D95"/>
    <w:rsid w:val="00EE7E4F"/>
    <w:rsid w:val="00EF006C"/>
    <w:rsid w:val="00EF009D"/>
    <w:rsid w:val="00EF083D"/>
    <w:rsid w:val="00EF0962"/>
    <w:rsid w:val="00EF0F18"/>
    <w:rsid w:val="00EF209D"/>
    <w:rsid w:val="00EF233D"/>
    <w:rsid w:val="00EF26EA"/>
    <w:rsid w:val="00EF3590"/>
    <w:rsid w:val="00EF6277"/>
    <w:rsid w:val="00EF6FDB"/>
    <w:rsid w:val="00F00420"/>
    <w:rsid w:val="00F00E39"/>
    <w:rsid w:val="00F0127B"/>
    <w:rsid w:val="00F01B9E"/>
    <w:rsid w:val="00F0229E"/>
    <w:rsid w:val="00F0302D"/>
    <w:rsid w:val="00F03244"/>
    <w:rsid w:val="00F034BC"/>
    <w:rsid w:val="00F03FCD"/>
    <w:rsid w:val="00F05134"/>
    <w:rsid w:val="00F05BD3"/>
    <w:rsid w:val="00F0627D"/>
    <w:rsid w:val="00F06AF5"/>
    <w:rsid w:val="00F07C7C"/>
    <w:rsid w:val="00F07FE2"/>
    <w:rsid w:val="00F10903"/>
    <w:rsid w:val="00F117BC"/>
    <w:rsid w:val="00F11DCF"/>
    <w:rsid w:val="00F1248E"/>
    <w:rsid w:val="00F12BCB"/>
    <w:rsid w:val="00F14E40"/>
    <w:rsid w:val="00F1515F"/>
    <w:rsid w:val="00F15DDB"/>
    <w:rsid w:val="00F16098"/>
    <w:rsid w:val="00F16779"/>
    <w:rsid w:val="00F17131"/>
    <w:rsid w:val="00F20D61"/>
    <w:rsid w:val="00F21854"/>
    <w:rsid w:val="00F21EAD"/>
    <w:rsid w:val="00F24C39"/>
    <w:rsid w:val="00F24CA5"/>
    <w:rsid w:val="00F279A6"/>
    <w:rsid w:val="00F27B39"/>
    <w:rsid w:val="00F30812"/>
    <w:rsid w:val="00F30FB2"/>
    <w:rsid w:val="00F313CA"/>
    <w:rsid w:val="00F31A9A"/>
    <w:rsid w:val="00F32236"/>
    <w:rsid w:val="00F325C1"/>
    <w:rsid w:val="00F332C3"/>
    <w:rsid w:val="00F34A42"/>
    <w:rsid w:val="00F35074"/>
    <w:rsid w:val="00F35505"/>
    <w:rsid w:val="00F358AF"/>
    <w:rsid w:val="00F35AF8"/>
    <w:rsid w:val="00F35E29"/>
    <w:rsid w:val="00F36479"/>
    <w:rsid w:val="00F36BC3"/>
    <w:rsid w:val="00F36FB1"/>
    <w:rsid w:val="00F3715D"/>
    <w:rsid w:val="00F3729E"/>
    <w:rsid w:val="00F37A57"/>
    <w:rsid w:val="00F40263"/>
    <w:rsid w:val="00F40CAB"/>
    <w:rsid w:val="00F41740"/>
    <w:rsid w:val="00F417D4"/>
    <w:rsid w:val="00F41895"/>
    <w:rsid w:val="00F41AFC"/>
    <w:rsid w:val="00F41CFE"/>
    <w:rsid w:val="00F42D37"/>
    <w:rsid w:val="00F432FB"/>
    <w:rsid w:val="00F44B84"/>
    <w:rsid w:val="00F45144"/>
    <w:rsid w:val="00F45F42"/>
    <w:rsid w:val="00F47FF8"/>
    <w:rsid w:val="00F50A31"/>
    <w:rsid w:val="00F51C04"/>
    <w:rsid w:val="00F53111"/>
    <w:rsid w:val="00F53406"/>
    <w:rsid w:val="00F5395D"/>
    <w:rsid w:val="00F53A99"/>
    <w:rsid w:val="00F55983"/>
    <w:rsid w:val="00F55991"/>
    <w:rsid w:val="00F55E2C"/>
    <w:rsid w:val="00F56579"/>
    <w:rsid w:val="00F56887"/>
    <w:rsid w:val="00F620DD"/>
    <w:rsid w:val="00F623D8"/>
    <w:rsid w:val="00F6277C"/>
    <w:rsid w:val="00F647F9"/>
    <w:rsid w:val="00F64B62"/>
    <w:rsid w:val="00F661C7"/>
    <w:rsid w:val="00F66588"/>
    <w:rsid w:val="00F67FD8"/>
    <w:rsid w:val="00F70838"/>
    <w:rsid w:val="00F71D5C"/>
    <w:rsid w:val="00F71E7A"/>
    <w:rsid w:val="00F720C1"/>
    <w:rsid w:val="00F727AF"/>
    <w:rsid w:val="00F727FE"/>
    <w:rsid w:val="00F72B0B"/>
    <w:rsid w:val="00F72C8D"/>
    <w:rsid w:val="00F73D97"/>
    <w:rsid w:val="00F74D56"/>
    <w:rsid w:val="00F7593E"/>
    <w:rsid w:val="00F76078"/>
    <w:rsid w:val="00F760EB"/>
    <w:rsid w:val="00F76F9D"/>
    <w:rsid w:val="00F800B9"/>
    <w:rsid w:val="00F8076E"/>
    <w:rsid w:val="00F80B77"/>
    <w:rsid w:val="00F80FBC"/>
    <w:rsid w:val="00F8153F"/>
    <w:rsid w:val="00F8163A"/>
    <w:rsid w:val="00F81C9D"/>
    <w:rsid w:val="00F8208F"/>
    <w:rsid w:val="00F8218E"/>
    <w:rsid w:val="00F82F71"/>
    <w:rsid w:val="00F833DC"/>
    <w:rsid w:val="00F83F8F"/>
    <w:rsid w:val="00F840FB"/>
    <w:rsid w:val="00F862D0"/>
    <w:rsid w:val="00F86B60"/>
    <w:rsid w:val="00F87092"/>
    <w:rsid w:val="00F87A56"/>
    <w:rsid w:val="00F87CD7"/>
    <w:rsid w:val="00F87D5F"/>
    <w:rsid w:val="00F90760"/>
    <w:rsid w:val="00F91869"/>
    <w:rsid w:val="00F91CFE"/>
    <w:rsid w:val="00F9374F"/>
    <w:rsid w:val="00F93D8D"/>
    <w:rsid w:val="00F93E96"/>
    <w:rsid w:val="00F9525F"/>
    <w:rsid w:val="00F96269"/>
    <w:rsid w:val="00F968A3"/>
    <w:rsid w:val="00F96A2B"/>
    <w:rsid w:val="00FA0219"/>
    <w:rsid w:val="00FA1431"/>
    <w:rsid w:val="00FA1A82"/>
    <w:rsid w:val="00FA30A2"/>
    <w:rsid w:val="00FA389D"/>
    <w:rsid w:val="00FA3CCE"/>
    <w:rsid w:val="00FA5273"/>
    <w:rsid w:val="00FA5BFD"/>
    <w:rsid w:val="00FA5E36"/>
    <w:rsid w:val="00FA641D"/>
    <w:rsid w:val="00FA6F79"/>
    <w:rsid w:val="00FA71F0"/>
    <w:rsid w:val="00FB02FF"/>
    <w:rsid w:val="00FB0AF5"/>
    <w:rsid w:val="00FB25C5"/>
    <w:rsid w:val="00FB2C5B"/>
    <w:rsid w:val="00FB2FBC"/>
    <w:rsid w:val="00FB4813"/>
    <w:rsid w:val="00FB4AF7"/>
    <w:rsid w:val="00FB5965"/>
    <w:rsid w:val="00FB71AA"/>
    <w:rsid w:val="00FC01F5"/>
    <w:rsid w:val="00FC0E9A"/>
    <w:rsid w:val="00FC2426"/>
    <w:rsid w:val="00FC2723"/>
    <w:rsid w:val="00FC2D25"/>
    <w:rsid w:val="00FC30B1"/>
    <w:rsid w:val="00FC3259"/>
    <w:rsid w:val="00FC3DF3"/>
    <w:rsid w:val="00FC4084"/>
    <w:rsid w:val="00FC4453"/>
    <w:rsid w:val="00FC7687"/>
    <w:rsid w:val="00FC76D9"/>
    <w:rsid w:val="00FC7EC6"/>
    <w:rsid w:val="00FD0814"/>
    <w:rsid w:val="00FD248D"/>
    <w:rsid w:val="00FD285D"/>
    <w:rsid w:val="00FD332A"/>
    <w:rsid w:val="00FD33E5"/>
    <w:rsid w:val="00FD3840"/>
    <w:rsid w:val="00FD49DA"/>
    <w:rsid w:val="00FD4B20"/>
    <w:rsid w:val="00FD5589"/>
    <w:rsid w:val="00FD570A"/>
    <w:rsid w:val="00FD5847"/>
    <w:rsid w:val="00FD5E12"/>
    <w:rsid w:val="00FD656E"/>
    <w:rsid w:val="00FD7143"/>
    <w:rsid w:val="00FD7C4B"/>
    <w:rsid w:val="00FE0AF7"/>
    <w:rsid w:val="00FE0ECD"/>
    <w:rsid w:val="00FE1323"/>
    <w:rsid w:val="00FE1DB5"/>
    <w:rsid w:val="00FE1F5E"/>
    <w:rsid w:val="00FE26AD"/>
    <w:rsid w:val="00FE28BE"/>
    <w:rsid w:val="00FE3142"/>
    <w:rsid w:val="00FE3CB1"/>
    <w:rsid w:val="00FE4342"/>
    <w:rsid w:val="00FE52E2"/>
    <w:rsid w:val="00FE5F99"/>
    <w:rsid w:val="00FE63F3"/>
    <w:rsid w:val="00FE6A9A"/>
    <w:rsid w:val="00FE79C1"/>
    <w:rsid w:val="00FE7B87"/>
    <w:rsid w:val="00FF00E1"/>
    <w:rsid w:val="00FF0587"/>
    <w:rsid w:val="00FF1F49"/>
    <w:rsid w:val="00FF3335"/>
    <w:rsid w:val="00FF3C71"/>
    <w:rsid w:val="00FF3DEC"/>
    <w:rsid w:val="00FF47F6"/>
    <w:rsid w:val="00FF4A83"/>
    <w:rsid w:val="00FF52CF"/>
    <w:rsid w:val="00FF5CC9"/>
    <w:rsid w:val="00FF6D43"/>
    <w:rsid w:val="00FF73E8"/>
    <w:rsid w:val="00FF7CC0"/>
    <w:rsid w:val="016F637D"/>
    <w:rsid w:val="01F076C8"/>
    <w:rsid w:val="022F6E3F"/>
    <w:rsid w:val="043929F2"/>
    <w:rsid w:val="05A25F04"/>
    <w:rsid w:val="06B122BF"/>
    <w:rsid w:val="07554B90"/>
    <w:rsid w:val="07BF1379"/>
    <w:rsid w:val="08A31CBC"/>
    <w:rsid w:val="09D05DEC"/>
    <w:rsid w:val="09F63639"/>
    <w:rsid w:val="0C231896"/>
    <w:rsid w:val="0CCC4F6A"/>
    <w:rsid w:val="11820132"/>
    <w:rsid w:val="11951C6C"/>
    <w:rsid w:val="11D108B4"/>
    <w:rsid w:val="11DC15A3"/>
    <w:rsid w:val="120E4283"/>
    <w:rsid w:val="12FE547B"/>
    <w:rsid w:val="13105CBE"/>
    <w:rsid w:val="13D4113C"/>
    <w:rsid w:val="1437337D"/>
    <w:rsid w:val="14C15224"/>
    <w:rsid w:val="152B31F8"/>
    <w:rsid w:val="15D77075"/>
    <w:rsid w:val="162669D4"/>
    <w:rsid w:val="16C62AAA"/>
    <w:rsid w:val="16CE3A0D"/>
    <w:rsid w:val="17744A6A"/>
    <w:rsid w:val="17B369E0"/>
    <w:rsid w:val="180D4573"/>
    <w:rsid w:val="18AB5CBA"/>
    <w:rsid w:val="18DB1319"/>
    <w:rsid w:val="19174EF9"/>
    <w:rsid w:val="1AEA2059"/>
    <w:rsid w:val="1CD1367D"/>
    <w:rsid w:val="1D806D30"/>
    <w:rsid w:val="1DC1536C"/>
    <w:rsid w:val="1E58289A"/>
    <w:rsid w:val="1F191D04"/>
    <w:rsid w:val="226D27CD"/>
    <w:rsid w:val="235F1A86"/>
    <w:rsid w:val="2384659F"/>
    <w:rsid w:val="24263CBA"/>
    <w:rsid w:val="24CF7447"/>
    <w:rsid w:val="25D043BC"/>
    <w:rsid w:val="260B5C01"/>
    <w:rsid w:val="260F7586"/>
    <w:rsid w:val="261F4388"/>
    <w:rsid w:val="264045E2"/>
    <w:rsid w:val="27CC56CF"/>
    <w:rsid w:val="28435462"/>
    <w:rsid w:val="29302639"/>
    <w:rsid w:val="29541305"/>
    <w:rsid w:val="29B64C00"/>
    <w:rsid w:val="2AD55E55"/>
    <w:rsid w:val="2B752FD7"/>
    <w:rsid w:val="2D3C2D65"/>
    <w:rsid w:val="2E652751"/>
    <w:rsid w:val="2EBF09CC"/>
    <w:rsid w:val="2F8702E9"/>
    <w:rsid w:val="2F972F62"/>
    <w:rsid w:val="2FAF3271"/>
    <w:rsid w:val="2FB45DE0"/>
    <w:rsid w:val="2FE52C0C"/>
    <w:rsid w:val="3018437E"/>
    <w:rsid w:val="304D44B0"/>
    <w:rsid w:val="306A241D"/>
    <w:rsid w:val="31376F9A"/>
    <w:rsid w:val="329830F5"/>
    <w:rsid w:val="34667B96"/>
    <w:rsid w:val="3500432B"/>
    <w:rsid w:val="36003D4E"/>
    <w:rsid w:val="365A31BB"/>
    <w:rsid w:val="367F3BE8"/>
    <w:rsid w:val="37B74EB3"/>
    <w:rsid w:val="3A20171F"/>
    <w:rsid w:val="3B49488C"/>
    <w:rsid w:val="3C6C4FC1"/>
    <w:rsid w:val="3C914ACF"/>
    <w:rsid w:val="3DF329A0"/>
    <w:rsid w:val="3DF645B9"/>
    <w:rsid w:val="3EC15781"/>
    <w:rsid w:val="3EF609D0"/>
    <w:rsid w:val="407F1B73"/>
    <w:rsid w:val="417E1065"/>
    <w:rsid w:val="4264449E"/>
    <w:rsid w:val="436573A1"/>
    <w:rsid w:val="4475430E"/>
    <w:rsid w:val="45057032"/>
    <w:rsid w:val="45B545EF"/>
    <w:rsid w:val="45E7197B"/>
    <w:rsid w:val="47251314"/>
    <w:rsid w:val="48F153A5"/>
    <w:rsid w:val="4947221A"/>
    <w:rsid w:val="4A831809"/>
    <w:rsid w:val="4AB02478"/>
    <w:rsid w:val="4AE93077"/>
    <w:rsid w:val="4AFA5C20"/>
    <w:rsid w:val="4B782949"/>
    <w:rsid w:val="4BDD0A4C"/>
    <w:rsid w:val="4D2E0515"/>
    <w:rsid w:val="4DD565A0"/>
    <w:rsid w:val="4F3A239D"/>
    <w:rsid w:val="51172746"/>
    <w:rsid w:val="517F3852"/>
    <w:rsid w:val="5222222F"/>
    <w:rsid w:val="52960257"/>
    <w:rsid w:val="52E0574D"/>
    <w:rsid w:val="53211FCF"/>
    <w:rsid w:val="53E14797"/>
    <w:rsid w:val="559910C2"/>
    <w:rsid w:val="55BD7D96"/>
    <w:rsid w:val="55CF0BC5"/>
    <w:rsid w:val="55D6268C"/>
    <w:rsid w:val="56B009DD"/>
    <w:rsid w:val="58535A60"/>
    <w:rsid w:val="58741C5A"/>
    <w:rsid w:val="58B056E4"/>
    <w:rsid w:val="58DC26CE"/>
    <w:rsid w:val="594A6F4C"/>
    <w:rsid w:val="599853C3"/>
    <w:rsid w:val="59ED08E0"/>
    <w:rsid w:val="5B21158A"/>
    <w:rsid w:val="5B532983"/>
    <w:rsid w:val="5B897A39"/>
    <w:rsid w:val="5CCC5500"/>
    <w:rsid w:val="5D6F3C5B"/>
    <w:rsid w:val="5EDC6BF2"/>
    <w:rsid w:val="5F18231B"/>
    <w:rsid w:val="60714CAF"/>
    <w:rsid w:val="60723523"/>
    <w:rsid w:val="6185567A"/>
    <w:rsid w:val="61A85346"/>
    <w:rsid w:val="61C6632C"/>
    <w:rsid w:val="62DC368C"/>
    <w:rsid w:val="6310415D"/>
    <w:rsid w:val="658D2E98"/>
    <w:rsid w:val="666E2F65"/>
    <w:rsid w:val="66A963B5"/>
    <w:rsid w:val="66BB2BE0"/>
    <w:rsid w:val="673958B7"/>
    <w:rsid w:val="68DA2FED"/>
    <w:rsid w:val="69065FBE"/>
    <w:rsid w:val="6A2A571F"/>
    <w:rsid w:val="6A64728A"/>
    <w:rsid w:val="6BE425C0"/>
    <w:rsid w:val="6BF70848"/>
    <w:rsid w:val="6C5C6DD8"/>
    <w:rsid w:val="6D4D7092"/>
    <w:rsid w:val="6EFF046E"/>
    <w:rsid w:val="7075522F"/>
    <w:rsid w:val="70AA2CE6"/>
    <w:rsid w:val="71876026"/>
    <w:rsid w:val="71C85B07"/>
    <w:rsid w:val="7231215E"/>
    <w:rsid w:val="72D4487B"/>
    <w:rsid w:val="76241F35"/>
    <w:rsid w:val="76F24A51"/>
    <w:rsid w:val="77006B5D"/>
    <w:rsid w:val="777B53DA"/>
    <w:rsid w:val="77D4039C"/>
    <w:rsid w:val="77DD3AED"/>
    <w:rsid w:val="77E40508"/>
    <w:rsid w:val="780821CF"/>
    <w:rsid w:val="78263735"/>
    <w:rsid w:val="78397F16"/>
    <w:rsid w:val="78834766"/>
    <w:rsid w:val="794D01A0"/>
    <w:rsid w:val="79BE7B03"/>
    <w:rsid w:val="7AC775E1"/>
    <w:rsid w:val="7B055CE0"/>
    <w:rsid w:val="7B10569F"/>
    <w:rsid w:val="7BEB3EB3"/>
    <w:rsid w:val="7C777E67"/>
    <w:rsid w:val="7C8D5540"/>
    <w:rsid w:val="7E5107C6"/>
    <w:rsid w:val="7E88183C"/>
    <w:rsid w:val="7EC568B4"/>
    <w:rsid w:val="7EF13C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25pt" color="#739CC3"/>
    </o:shapedefaults>
    <o:shapelayout v:ext="edit">
      <o:idmap v:ext="edit" data="1"/>
      <o:rules v:ext="edit">
        <o:r id="V:Rule1" type="connector" idref="#Straight Connector 2"/>
        <o:r id="V:Rule2" type="connector" idref="#Straight Connector 4"/>
        <o:r id="V:Rule3" type="connector" idref="#Straight Connector 5"/>
        <o:r id="V:Rule4" type="connector" idref="#Straight Connector 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9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link w:val="24"/>
    <w:qFormat/>
    <w:uiPriority w:val="9"/>
    <w:pPr>
      <w:widowControl/>
      <w:spacing w:before="100" w:beforeAutospacing="1" w:after="100" w:afterAutospacing="1"/>
      <w:jc w:val="left"/>
      <w:outlineLvl w:val="1"/>
    </w:pPr>
    <w:rPr>
      <w:rFonts w:ascii="宋体" w:hAnsi="宋体" w:cs="宋体"/>
      <w:kern w:val="0"/>
      <w:sz w:val="36"/>
      <w:szCs w:val="36"/>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link w:val="25"/>
    <w:qFormat/>
    <w:uiPriority w:val="9"/>
    <w:pPr>
      <w:widowControl/>
      <w:spacing w:before="100" w:beforeAutospacing="1" w:after="100" w:afterAutospacing="1"/>
      <w:jc w:val="left"/>
      <w:outlineLvl w:val="3"/>
    </w:pPr>
    <w:rPr>
      <w:rFonts w:ascii="宋体" w:hAnsi="宋体" w:cs="宋体"/>
      <w:kern w:val="0"/>
      <w:sz w:val="24"/>
      <w:szCs w:val="2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5"/>
    <w:semiHidden/>
    <w:unhideWhenUsed/>
    <w:qFormat/>
    <w:uiPriority w:val="0"/>
    <w:pPr>
      <w:ind w:left="100" w:leftChars="2500"/>
    </w:pPr>
  </w:style>
  <w:style w:type="paragraph" w:styleId="7">
    <w:name w:val="Balloon Text"/>
    <w:basedOn w:val="1"/>
    <w:link w:val="17"/>
    <w:unhideWhenUsed/>
    <w:qFormat/>
    <w:uiPriority w:val="99"/>
    <w:rPr>
      <w:sz w:val="18"/>
      <w:szCs w:val="18"/>
    </w:rPr>
  </w:style>
  <w:style w:type="paragraph" w:styleId="8">
    <w:name w:val="footer"/>
    <w:basedOn w:val="1"/>
    <w:link w:val="19"/>
    <w:unhideWhenUsed/>
    <w:qFormat/>
    <w:uiPriority w:val="99"/>
    <w:pPr>
      <w:tabs>
        <w:tab w:val="center" w:pos="4153"/>
        <w:tab w:val="right" w:pos="8306"/>
      </w:tabs>
      <w:snapToGrid w:val="0"/>
      <w:jc w:val="left"/>
    </w:pPr>
    <w:rPr>
      <w:sz w:val="18"/>
      <w:szCs w:val="18"/>
    </w:rPr>
  </w:style>
  <w:style w:type="paragraph" w:styleId="9">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2">
    <w:name w:val="Table Grid"/>
    <w:basedOn w:val="11"/>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4">
    <w:name w:val="Strong"/>
    <w:basedOn w:val="13"/>
    <w:qFormat/>
    <w:uiPriority w:val="22"/>
    <w:rPr>
      <w:b/>
      <w:bCs/>
    </w:rPr>
  </w:style>
  <w:style w:type="character" w:styleId="15">
    <w:name w:val="Emphasis"/>
    <w:basedOn w:val="13"/>
    <w:qFormat/>
    <w:uiPriority w:val="20"/>
    <w:rPr>
      <w:i/>
      <w:iCs/>
    </w:rPr>
  </w:style>
  <w:style w:type="character" w:styleId="16">
    <w:name w:val="Hyperlink"/>
    <w:basedOn w:val="13"/>
    <w:unhideWhenUsed/>
    <w:qFormat/>
    <w:uiPriority w:val="99"/>
    <w:rPr>
      <w:color w:val="0000FF"/>
      <w:u w:val="single"/>
    </w:rPr>
  </w:style>
  <w:style w:type="character" w:customStyle="1" w:styleId="17">
    <w:name w:val="批注框文本 Char"/>
    <w:basedOn w:val="13"/>
    <w:link w:val="7"/>
    <w:semiHidden/>
    <w:qFormat/>
    <w:uiPriority w:val="99"/>
    <w:rPr>
      <w:sz w:val="18"/>
      <w:szCs w:val="18"/>
    </w:rPr>
  </w:style>
  <w:style w:type="character" w:customStyle="1" w:styleId="18">
    <w:name w:val="页眉 Char"/>
    <w:basedOn w:val="13"/>
    <w:link w:val="9"/>
    <w:semiHidden/>
    <w:qFormat/>
    <w:uiPriority w:val="99"/>
    <w:rPr>
      <w:sz w:val="18"/>
      <w:szCs w:val="18"/>
    </w:rPr>
  </w:style>
  <w:style w:type="character" w:customStyle="1" w:styleId="19">
    <w:name w:val="页脚 Char"/>
    <w:basedOn w:val="13"/>
    <w:link w:val="8"/>
    <w:qFormat/>
    <w:uiPriority w:val="99"/>
    <w:rPr>
      <w:sz w:val="18"/>
      <w:szCs w:val="18"/>
    </w:rPr>
  </w:style>
  <w:style w:type="paragraph" w:styleId="20">
    <w:name w:val="No Spacing"/>
    <w:link w:val="21"/>
    <w:qFormat/>
    <w:uiPriority w:val="1"/>
    <w:rPr>
      <w:rFonts w:asciiTheme="minorHAnsi" w:hAnsiTheme="minorHAnsi" w:eastAsiaTheme="minorEastAsia" w:cstheme="minorBidi"/>
      <w:sz w:val="22"/>
      <w:szCs w:val="22"/>
      <w:lang w:val="en-US" w:eastAsia="zh-CN" w:bidi="ar-SA"/>
    </w:rPr>
  </w:style>
  <w:style w:type="character" w:customStyle="1" w:styleId="21">
    <w:name w:val="无间隔 Char"/>
    <w:basedOn w:val="13"/>
    <w:link w:val="20"/>
    <w:qFormat/>
    <w:uiPriority w:val="1"/>
    <w:rPr>
      <w:rFonts w:asciiTheme="minorHAnsi" w:hAnsiTheme="minorHAnsi" w:eastAsiaTheme="minorEastAsia" w:cstheme="minorBidi"/>
      <w:sz w:val="22"/>
      <w:szCs w:val="22"/>
    </w:rPr>
  </w:style>
  <w:style w:type="paragraph" w:styleId="22">
    <w:name w:val="List Paragraph"/>
    <w:basedOn w:val="1"/>
    <w:unhideWhenUsed/>
    <w:qFormat/>
    <w:uiPriority w:val="34"/>
    <w:pPr>
      <w:ind w:firstLine="420" w:firstLineChars="200"/>
    </w:pPr>
  </w:style>
  <w:style w:type="paragraph" w:customStyle="1" w:styleId="23">
    <w:name w:val="cont-summary"/>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4">
    <w:name w:val="标题 2 Char"/>
    <w:basedOn w:val="13"/>
    <w:link w:val="3"/>
    <w:qFormat/>
    <w:uiPriority w:val="9"/>
    <w:rPr>
      <w:rFonts w:ascii="宋体" w:hAnsi="宋体" w:cs="宋体"/>
      <w:sz w:val="36"/>
      <w:szCs w:val="36"/>
    </w:rPr>
  </w:style>
  <w:style w:type="character" w:customStyle="1" w:styleId="25">
    <w:name w:val="标题 4 Char"/>
    <w:basedOn w:val="13"/>
    <w:link w:val="5"/>
    <w:qFormat/>
    <w:uiPriority w:val="9"/>
    <w:rPr>
      <w:rFonts w:ascii="宋体" w:hAnsi="宋体" w:cs="宋体"/>
      <w:sz w:val="24"/>
      <w:szCs w:val="24"/>
    </w:rPr>
  </w:style>
  <w:style w:type="paragraph" w:customStyle="1" w:styleId="26">
    <w:name w:val="summary"/>
    <w:basedOn w:val="1"/>
    <w:qFormat/>
    <w:uiPriority w:val="0"/>
    <w:pPr>
      <w:widowControl/>
      <w:spacing w:before="100" w:beforeAutospacing="1" w:after="480" w:line="375" w:lineRule="atLeast"/>
      <w:jc w:val="left"/>
    </w:pPr>
    <w:rPr>
      <w:rFonts w:ascii="宋体" w:hAnsi="宋体" w:cs="宋体"/>
      <w:kern w:val="0"/>
      <w:sz w:val="24"/>
      <w:szCs w:val="24"/>
    </w:rPr>
  </w:style>
  <w:style w:type="character" w:customStyle="1" w:styleId="27">
    <w:name w:val="articlel"/>
    <w:basedOn w:val="13"/>
    <w:qFormat/>
    <w:uiPriority w:val="0"/>
  </w:style>
  <w:style w:type="character" w:customStyle="1" w:styleId="28">
    <w:name w:val="articler"/>
    <w:basedOn w:val="13"/>
    <w:qFormat/>
    <w:uiPriority w:val="0"/>
  </w:style>
  <w:style w:type="paragraph" w:customStyle="1" w:styleId="29">
    <w:name w:val="profile_meta"/>
    <w:basedOn w:val="1"/>
    <w:qFormat/>
    <w:uiPriority w:val="0"/>
    <w:pPr>
      <w:widowControl/>
      <w:spacing w:before="75" w:after="100" w:afterAutospacing="1"/>
      <w:jc w:val="left"/>
    </w:pPr>
    <w:rPr>
      <w:rFonts w:ascii="宋体" w:hAnsi="宋体" w:cs="宋体"/>
      <w:kern w:val="0"/>
      <w:sz w:val="24"/>
      <w:szCs w:val="24"/>
    </w:rPr>
  </w:style>
  <w:style w:type="character" w:customStyle="1" w:styleId="30">
    <w:name w:val="rich_media_meta1"/>
    <w:basedOn w:val="13"/>
    <w:qFormat/>
    <w:uiPriority w:val="0"/>
    <w:rPr>
      <w:sz w:val="24"/>
      <w:szCs w:val="24"/>
    </w:rPr>
  </w:style>
  <w:style w:type="character" w:customStyle="1" w:styleId="31">
    <w:name w:val="profile_meta_value1"/>
    <w:basedOn w:val="13"/>
    <w:qFormat/>
    <w:uiPriority w:val="0"/>
    <w:rPr>
      <w:color w:val="ADADAD"/>
    </w:rPr>
  </w:style>
  <w:style w:type="character" w:customStyle="1" w:styleId="32">
    <w:name w:val="apple-converted-space"/>
    <w:basedOn w:val="13"/>
    <w:qFormat/>
    <w:uiPriority w:val="0"/>
  </w:style>
  <w:style w:type="character" w:customStyle="1" w:styleId="33">
    <w:name w:val="rich_media_meta"/>
    <w:basedOn w:val="13"/>
    <w:qFormat/>
    <w:uiPriority w:val="0"/>
  </w:style>
  <w:style w:type="character" w:customStyle="1" w:styleId="34">
    <w:name w:val="blue"/>
    <w:basedOn w:val="13"/>
    <w:qFormat/>
    <w:uiPriority w:val="0"/>
  </w:style>
  <w:style w:type="character" w:customStyle="1" w:styleId="35">
    <w:name w:val="日期 Char"/>
    <w:basedOn w:val="13"/>
    <w:link w:val="6"/>
    <w:semiHidden/>
    <w:qFormat/>
    <w:uiPriority w:val="0"/>
    <w:rPr>
      <w:rFonts w:ascii="Calibri" w:hAnsi="Calibr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jpe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3"/>
    <customShpInfo spid="_x0000_s1026"/>
    <customShpInfo spid="_x0000_s1032"/>
    <customShpInfo spid="_x0000_s1027"/>
    <customShpInfo spid="_x0000_s1031"/>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2A45B3-66E2-4338-8F19-4FCD87919FD5}">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52</Pages>
  <Words>14110</Words>
  <Characters>15525</Characters>
  <Lines>1</Lines>
  <Paragraphs>1</Paragraphs>
  <TotalTime>1</TotalTime>
  <ScaleCrop>false</ScaleCrop>
  <LinksUpToDate>false</LinksUpToDate>
  <CharactersWithSpaces>15791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2018-04-26T07:53:00Z</dcterms:created>
  <dc:creator>FtpDown</dc:creator>
  <cp:lastModifiedBy>王麒懿</cp:lastModifiedBy>
  <cp:lastPrinted>2018-09-29T05:55:00Z</cp:lastPrinted>
  <dcterms:modified xsi:type="dcterms:W3CDTF">2022-09-28T05:26:19Z</dcterms:modified>
  <dc:subject>2015年7月29日</dc:subject>
  <dc:title>2015年第一期</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7EB6DB202D15400ABD3B585EBF018C2B</vt:lpwstr>
  </property>
</Properties>
</file>