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921172"/>
      </w:sdtPr>
      <w:sdtContent>
        <w:p w14:paraId="0717C8B9" w14:textId="77777777" w:rsidR="00E75D8B" w:rsidRDefault="00000000">
          <w:r>
            <w:rPr>
              <w:noProof/>
            </w:rPr>
            <w:drawing>
              <wp:anchor distT="0" distB="0" distL="114300" distR="114300" simplePos="0" relativeHeight="251652096" behindDoc="1" locked="0" layoutInCell="1" allowOverlap="1" wp14:anchorId="68CE1077" wp14:editId="445A879D">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14:paraId="367C1608" w14:textId="77777777" w:rsidR="00E75D8B" w:rsidRDefault="00E75D8B"/>
        <w:tbl>
          <w:tblPr>
            <w:tblpPr w:leftFromText="187" w:rightFromText="187" w:horzAnchor="margin" w:tblpXSpec="center" w:tblpYSpec="bottom"/>
            <w:tblW w:w="4000" w:type="pct"/>
            <w:tblLook w:val="04A0" w:firstRow="1" w:lastRow="0" w:firstColumn="1" w:lastColumn="0" w:noHBand="0" w:noVBand="1"/>
          </w:tblPr>
          <w:tblGrid>
            <w:gridCol w:w="6645"/>
          </w:tblGrid>
          <w:tr w:rsidR="00E75D8B" w14:paraId="530A6F4F" w14:textId="77777777">
            <w:tc>
              <w:tcPr>
                <w:tcW w:w="7672" w:type="dxa"/>
                <w:tcMar>
                  <w:top w:w="216" w:type="dxa"/>
                  <w:left w:w="115" w:type="dxa"/>
                  <w:bottom w:w="216" w:type="dxa"/>
                  <w:right w:w="115" w:type="dxa"/>
                </w:tcMar>
              </w:tcPr>
              <w:p w14:paraId="51660CEB" w14:textId="77777777" w:rsidR="00E75D8B" w:rsidRDefault="00E75D8B">
                <w:pPr>
                  <w:pStyle w:val="af0"/>
                  <w:rPr>
                    <w:color w:val="4F81BD" w:themeColor="accent1"/>
                  </w:rPr>
                </w:pPr>
              </w:p>
            </w:tc>
          </w:tr>
        </w:tbl>
        <w:p w14:paraId="525CFEAB" w14:textId="77777777" w:rsidR="00E75D8B" w:rsidRDefault="00E75D8B"/>
        <w:p w14:paraId="54A2BF36" w14:textId="77777777" w:rsidR="00E75D8B" w:rsidRDefault="00E75D8B"/>
        <w:p w14:paraId="028E5356" w14:textId="77777777" w:rsidR="00E75D8B" w:rsidRDefault="00E75D8B"/>
        <w:p w14:paraId="291FC01E" w14:textId="77777777" w:rsidR="00E75D8B" w:rsidRDefault="00E75D8B"/>
        <w:p w14:paraId="421A0961" w14:textId="77777777" w:rsidR="00E75D8B" w:rsidRDefault="00000000">
          <w:r>
            <w:rPr>
              <w:rFonts w:hint="eastAsia"/>
            </w:rPr>
            <w:t xml:space="preserve">   </w:t>
          </w:r>
        </w:p>
        <w:p w14:paraId="7BE6ADD8" w14:textId="77777777" w:rsidR="00E75D8B" w:rsidRDefault="00E75D8B"/>
        <w:p w14:paraId="5BA82EFA" w14:textId="77777777" w:rsidR="00E75D8B" w:rsidRDefault="00E75D8B"/>
        <w:p w14:paraId="5E1F223B" w14:textId="77777777" w:rsidR="00E75D8B" w:rsidRDefault="00E75D8B"/>
        <w:p w14:paraId="6B712379" w14:textId="77777777" w:rsidR="00E75D8B" w:rsidRDefault="00E75D8B"/>
        <w:p w14:paraId="6E6AC454" w14:textId="77777777" w:rsidR="00E75D8B" w:rsidRDefault="00E75D8B"/>
        <w:p w14:paraId="10FAAF99" w14:textId="77777777" w:rsidR="00E75D8B" w:rsidRDefault="00E75D8B"/>
        <w:p w14:paraId="7C2F3567" w14:textId="77777777" w:rsidR="00E75D8B" w:rsidRDefault="00E75D8B"/>
        <w:p w14:paraId="3A20B2CB" w14:textId="77777777" w:rsidR="00E75D8B" w:rsidRDefault="00E75D8B"/>
        <w:p w14:paraId="1377F1B0" w14:textId="77777777" w:rsidR="00E75D8B" w:rsidRDefault="00000000">
          <w:pPr>
            <w:tabs>
              <w:tab w:val="left" w:pos="7050"/>
            </w:tabs>
          </w:pPr>
          <w:r>
            <w:tab/>
          </w:r>
        </w:p>
        <w:p w14:paraId="7B7F9B8A" w14:textId="77777777" w:rsidR="00E75D8B" w:rsidRDefault="00E75D8B"/>
        <w:p w14:paraId="697EFC95" w14:textId="77777777" w:rsidR="00E75D8B" w:rsidRDefault="00E75D8B"/>
        <w:p w14:paraId="47ACDF48" w14:textId="77777777" w:rsidR="00E75D8B" w:rsidRDefault="00E75D8B"/>
        <w:p w14:paraId="4DFEB05C" w14:textId="77777777" w:rsidR="00E75D8B" w:rsidRDefault="00E75D8B"/>
        <w:p w14:paraId="3EC0A625" w14:textId="77777777" w:rsidR="00E75D8B" w:rsidRDefault="00000000">
          <w:pPr>
            <w:jc w:val="center"/>
            <w:rPr>
              <w:rFonts w:ascii="Heiti SC Light" w:eastAsia="Heiti SC Light"/>
              <w:color w:val="FFFFFF"/>
              <w:sz w:val="32"/>
              <w:szCs w:val="32"/>
            </w:rPr>
          </w:pPr>
          <w:r>
            <w:rPr>
              <w:rFonts w:ascii="Heiti SC Light" w:eastAsia="Heiti SC Light" w:hint="eastAsia"/>
              <w:color w:val="FFFFFF"/>
              <w:sz w:val="32"/>
              <w:szCs w:val="32"/>
            </w:rPr>
            <w:t>（2022年第10期） 2022年10月27日</w:t>
          </w:r>
        </w:p>
        <w:p w14:paraId="7FB2A26B" w14:textId="77777777" w:rsidR="00E75D8B" w:rsidRDefault="00E75D8B"/>
        <w:p w14:paraId="030DDFEE" w14:textId="77777777" w:rsidR="00E75D8B" w:rsidRDefault="00E75D8B"/>
        <w:p w14:paraId="46546715" w14:textId="77777777" w:rsidR="00E75D8B" w:rsidRDefault="00E75D8B"/>
        <w:p w14:paraId="2F035E42" w14:textId="77777777" w:rsidR="00E75D8B" w:rsidRDefault="00E75D8B"/>
        <w:p w14:paraId="2F43DB5A" w14:textId="77777777" w:rsidR="00E75D8B" w:rsidRDefault="00E75D8B"/>
        <w:p w14:paraId="5942C936" w14:textId="77777777" w:rsidR="00E75D8B" w:rsidRDefault="00000000">
          <w:r>
            <w:rPr>
              <w:rFonts w:hint="eastAsia"/>
            </w:rPr>
            <w:t xml:space="preserve"> </w:t>
          </w:r>
        </w:p>
        <w:p w14:paraId="722DFB53" w14:textId="77777777" w:rsidR="00E75D8B" w:rsidRDefault="00E75D8B"/>
        <w:p w14:paraId="690F8FC4" w14:textId="77777777" w:rsidR="00E75D8B" w:rsidRDefault="00E75D8B"/>
        <w:p w14:paraId="150B52B5" w14:textId="77777777" w:rsidR="00E75D8B" w:rsidRDefault="00E75D8B"/>
        <w:p w14:paraId="6E70B0EF" w14:textId="77777777" w:rsidR="00E75D8B" w:rsidRDefault="00E75D8B"/>
        <w:p w14:paraId="7440B017" w14:textId="77777777" w:rsidR="00E75D8B" w:rsidRDefault="00E75D8B"/>
        <w:p w14:paraId="70B05884" w14:textId="77777777" w:rsidR="00E75D8B" w:rsidRDefault="00E75D8B"/>
        <w:p w14:paraId="3840AB07" w14:textId="77777777" w:rsidR="00E75D8B" w:rsidRDefault="00E75D8B"/>
        <w:p w14:paraId="23EDF4C0" w14:textId="77777777" w:rsidR="00E75D8B" w:rsidRDefault="00E75D8B"/>
        <w:p w14:paraId="7AD32EFB" w14:textId="77777777" w:rsidR="00E75D8B" w:rsidRDefault="00E75D8B"/>
        <w:p w14:paraId="12BE4D18" w14:textId="77777777" w:rsidR="00E75D8B" w:rsidRDefault="00E75D8B"/>
        <w:p w14:paraId="29A05994" w14:textId="77777777" w:rsidR="00E75D8B" w:rsidRDefault="00E75D8B"/>
        <w:p w14:paraId="07993DAA" w14:textId="77777777" w:rsidR="00E75D8B" w:rsidRDefault="00E75D8B"/>
        <w:p w14:paraId="1CDF4D65" w14:textId="77777777" w:rsidR="00E75D8B" w:rsidRDefault="00E75D8B">
          <w:pPr>
            <w:tabs>
              <w:tab w:val="left" w:pos="5245"/>
            </w:tabs>
          </w:pPr>
        </w:p>
        <w:p w14:paraId="3DA8DCBB" w14:textId="77777777" w:rsidR="00E75D8B" w:rsidRDefault="00E75D8B">
          <w:pPr>
            <w:tabs>
              <w:tab w:val="left" w:pos="5245"/>
            </w:tabs>
          </w:pPr>
        </w:p>
        <w:p w14:paraId="1228BEE3" w14:textId="77777777" w:rsidR="00E75D8B" w:rsidRDefault="00E75D8B">
          <w:pPr>
            <w:widowControl/>
            <w:tabs>
              <w:tab w:val="left" w:pos="5245"/>
            </w:tabs>
            <w:jc w:val="left"/>
          </w:pPr>
        </w:p>
        <w:p w14:paraId="402FD2D9" w14:textId="77777777" w:rsidR="00E75D8B" w:rsidRDefault="00E75D8B">
          <w:pPr>
            <w:widowControl/>
            <w:tabs>
              <w:tab w:val="left" w:pos="5245"/>
            </w:tabs>
            <w:jc w:val="left"/>
          </w:pPr>
        </w:p>
        <w:p w14:paraId="05B89425" w14:textId="77777777" w:rsidR="00E75D8B" w:rsidRDefault="00000000">
          <w:pPr>
            <w:widowControl/>
            <w:tabs>
              <w:tab w:val="left" w:pos="5245"/>
            </w:tabs>
            <w:jc w:val="left"/>
          </w:pPr>
        </w:p>
      </w:sdtContent>
    </w:sdt>
    <w:p w14:paraId="15180398" w14:textId="77777777" w:rsidR="00E75D8B" w:rsidRDefault="00000000">
      <w:pPr>
        <w:tabs>
          <w:tab w:val="left" w:pos="5245"/>
        </w:tabs>
      </w:pPr>
      <w:r>
        <w:rPr>
          <w:noProof/>
        </w:rPr>
        <mc:AlternateContent>
          <mc:Choice Requires="wps">
            <w:drawing>
              <wp:anchor distT="0" distB="0" distL="114300" distR="114300" simplePos="0" relativeHeight="251653120" behindDoc="0" locked="0" layoutInCell="1" allowOverlap="1" wp14:anchorId="60115877" wp14:editId="147BC38C">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type w14:anchorId="667ED7A9" id="_x0000_t32" coordsize="21600,21600" o:spt="32" o:oned="t" path="m,l21600,21600e" filled="f">
                <v:path arrowok="t" fillok="f" o:connecttype="none"/>
                <o:lock v:ext="edit" shapetype="t"/>
              </v:shapetype>
              <v:shape id="Straight Connector 2" o:spid="_x0000_s1026" type="#_x0000_t32" style="position:absolute;left:0;text-align:left;margin-left:-67.5pt;margin-top:.75pt;width:539.25pt;height:.0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ZXuQEAAG8DAAAOAAAAZHJzL2Uyb0RvYy54bWysU8uu0zAQ3SPxD5b3NOm9bYmipnfRcNkg&#10;uBLwAVPbSSz5JY9p2r9n7JaWxwYhNs54HsczZ062Tydr2FFF1N51fLmoOVNOeKnd2PGvX57fNJxh&#10;AifBeKc6flbIn3avX23n0KoHP3kjVWQE4rCdQ8enlEJbVSgmZQEXPihHwcFHC4mucaxkhJnQrake&#10;6npTzT7KEL1QiOTtL0G+K/jDoET6NAyoEjMdp95SOWM5D/msdltoxwhh0uLaBvxDFxa0o0dvUD0k&#10;YN+i/gPKahE9+iEthLeVHwYtVJmBplnWv03zeYKgyixEDoYbTfj/YMXH4969RKJhDthieIl5itMQ&#10;bf5Sf+xUyDrfyFKnxAQ5N82qWb1dcyYotnlcZyqre2mImN4rb1k2Oo4pgh6ntPfO0VJ8XBa64PgB&#10;06XwR0F+1zg2d/yxWda0MwGki8FAItMGSVhuLMXojZbP2phcgnE87E1kR6BNr1dN36+uHf2Sll/p&#10;AadLXgldNDApkO+cZOkcSKaOxMpzD1ZJzowibWerqCWBNn+TSWQYR5zcic3Wwctz4bv4aauFtasC&#10;s2x+vpfq+3+y+w4AAP//AwBQSwMEFAAGAAgAAAAhAEkfIuXdAAAACAEAAA8AAABkcnMvZG93bnJl&#10;di54bWxMj8FOwzAQRO9I/IO1SNxap5RUbRqnAiSuSDQgcXSSbWwar0PsNoGvZzmV245mNPsm302u&#10;E2ccgvWkYDFPQCDVvrHUKngrn2drECFqanTnCRV8Y4BdcX2V66zxI73ieR9bwSUUMq3AxNhnUoba&#10;oNNh7nsk9g5+cDqyHFrZDHrkctfJuyRZSact8Qeje3wyWB/3J6egtSaVn+Xm6/D4Pr5UqS3tx/FH&#10;qdub6WELIuIUL2H4w2d0KJip8idqgugUzBbLlMdEdlIQHNjcL/moWK9AFrn8P6D4BQAA//8DAFBL&#10;AQItABQABgAIAAAAIQC2gziS/gAAAOEBAAATAAAAAAAAAAAAAAAAAAAAAABbQ29udGVudF9UeXBl&#10;c10ueG1sUEsBAi0AFAAGAAgAAAAhADj9If/WAAAAlAEAAAsAAAAAAAAAAAAAAAAALwEAAF9yZWxz&#10;Ly5yZWxzUEsBAi0AFAAGAAgAAAAhAI9J1le5AQAAbwMAAA4AAAAAAAAAAAAAAAAALgIAAGRycy9l&#10;Mm9Eb2MueG1sUEsBAi0AFAAGAAgAAAAhAEkfIuXdAAAACAEAAA8AAAAAAAAAAAAAAAAAEwQAAGRy&#10;cy9kb3ducmV2LnhtbFBLBQYAAAAABAAEAPMAAAAdBQAAAAA=&#10;" strokecolor="#548dd4" strokeweight="3pt"/>
            </w:pict>
          </mc:Fallback>
        </mc:AlternateContent>
      </w:r>
      <w:r>
        <w:rPr>
          <w:noProof/>
        </w:rPr>
        <mc:AlternateContent>
          <mc:Choice Requires="wps">
            <w:drawing>
              <wp:anchor distT="0" distB="0" distL="114300" distR="114300" simplePos="0" relativeHeight="251654144" behindDoc="0" locked="0" layoutInCell="1" allowOverlap="1" wp14:anchorId="6B097E11" wp14:editId="66363275">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w14:anchorId="3EFD8B53" id="Straight Connector 3" o:spid="_x0000_s1026" type="#_x0000_t32" style="position:absolute;left:0;text-align:left;margin-left:102pt;margin-top:.8pt;width:.05pt;height:692.9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FWuQEAAG8DAAAOAAAAZHJzL2Uyb0RvYy54bWysU8mOEzEQvSPxD5bvpDszSYha6cwhYbgg&#10;GAn4gIqXbkve5DLp5O8pOyFhuSDExV2u5bnq1evN08lZdlQJTfA9n89azpQXQRo/9Pzrl+c3a84w&#10;g5dgg1c9PyvkT9vXrzZT7NRDGIOVKjEC8dhNsedjzrFrGhSjcoCzEJWnoA7JQaZrGhqZYCJ0Z5uH&#10;tl01U0gypiAUInn3lyDfVnytlciftEaVme059Zbrmep5KGez3UA3JIijEdc24B+6cGA8PXqD2kMG&#10;9i2ZP6CcESlg0HkmgmuC1kaoOgNNM29/m+bzCFHVWYgcjDea8P/Bio/HnX9JRMMUscP4ksoUJ51c&#10;+VJ/7FTJOt/IUqfMBDlXj0vOBPnX67ZdrJaFyuZeGhPm9yo4VoyeY05ghjHvgve0lJDmlS44fsB8&#10;KfxRUN61nk09f5y/XdLOBJAutIVMpouSsPxQizFYI5+NtaUE03DY2cSOQJteLtb7/eLa0S9p5ZU9&#10;4HjJq6GLBkYF8p2XLJ8jydSTWHnpwSnJmVWk7WJVtWQw9m8yiQzriZM7scU6BHmufFc/bbWydlVg&#10;kc3P91p9/0+23wEAAP//AwBQSwMEFAAGAAgAAAAhABoXm7zfAAAACgEAAA8AAABkcnMvZG93bnJl&#10;di54bWxMj0FLw0AQhe+C/2EZwYvYTau2IWZTpFARBMUqgrdtdkyC2dmQnaaJv97xpMePN7z5Xr4e&#10;fasG7GMTyMB8loBCKoNrqDLw9rq9TEFFtuRsGwgNTBhhXZye5DZz4UgvOOy4UlJCMbMGauYu0zqW&#10;NXobZ6FDkuwz9N6yYF9p19ujlPtWL5Jkqb1tSD7UtsNNjeXX7uAN8PekL7bV0/NHOriHxxVN4/v9&#10;xpjzs/HuFhTjyH/H8Ksv6lCI0z4cyEXVGlgk17KFJViCklx4DmovfJWubkAXuf4/ofgBAAD//wMA&#10;UEsBAi0AFAAGAAgAAAAhALaDOJL+AAAA4QEAABMAAAAAAAAAAAAAAAAAAAAAAFtDb250ZW50X1R5&#10;cGVzXS54bWxQSwECLQAUAAYACAAAACEAOP0h/9YAAACUAQAACwAAAAAAAAAAAAAAAAAvAQAAX3Jl&#10;bHMvLnJlbHNQSwECLQAUAAYACAAAACEAzqCxVrkBAABvAwAADgAAAAAAAAAAAAAAAAAuAgAAZHJz&#10;L2Uyb0RvYy54bWxQSwECLQAUAAYACAAAACEAGhebvN8AAAAKAQAADwAAAAAAAAAAAAAAAAATBAAA&#10;ZHJzL2Rvd25yZXYueG1sUEsFBgAAAAAEAAQA8wAAAB8FAAAAAA==&#10;" strokecolor="#548dd4" strokeweight="2.5pt"/>
            </w:pict>
          </mc:Fallback>
        </mc:AlternateContent>
      </w:r>
      <w:r>
        <w:rPr>
          <w:rFonts w:hint="eastAsia"/>
        </w:rPr>
        <w:t xml:space="preserve"> </w:t>
      </w:r>
    </w:p>
    <w:p w14:paraId="554EA1E1" w14:textId="77777777" w:rsidR="00E75D8B" w:rsidRDefault="00000000">
      <w:pPr>
        <w:tabs>
          <w:tab w:val="center" w:pos="4156"/>
        </w:tabs>
      </w:pPr>
      <w:r>
        <w:rPr>
          <w:noProof/>
        </w:rPr>
        <mc:AlternateContent>
          <mc:Choice Requires="wps">
            <w:drawing>
              <wp:anchor distT="0" distB="0" distL="114300" distR="114300" simplePos="0" relativeHeight="251661312" behindDoc="0" locked="0" layoutInCell="1" allowOverlap="1" wp14:anchorId="483A9C14" wp14:editId="0B82827C">
                <wp:simplePos x="0" y="0"/>
                <wp:positionH relativeFrom="column">
                  <wp:posOffset>1554480</wp:posOffset>
                </wp:positionH>
                <wp:positionV relativeFrom="paragraph">
                  <wp:posOffset>41910</wp:posOffset>
                </wp:positionV>
                <wp:extent cx="4210050" cy="8143875"/>
                <wp:effectExtent l="0" t="0" r="0" b="0"/>
                <wp:wrapNone/>
                <wp:docPr id="3"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14:paraId="1D0EB34C"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Pr>
                                <w:rFonts w:hint="eastAsia"/>
                              </w:rPr>
                              <w:t xml:space="preserve"> </w:t>
                            </w:r>
                            <w:r>
                              <w:rPr>
                                <w:rFonts w:asciiTheme="minorEastAsia" w:eastAsiaTheme="minorEastAsia" w:hAnsiTheme="minorEastAsia" w:hint="eastAsia"/>
                                <w:b/>
                                <w:sz w:val="36"/>
                                <w:szCs w:val="36"/>
                              </w:rPr>
                              <w:t>二十大报告（医药健康）| 解读合集</w:t>
                            </w:r>
                          </w:p>
                          <w:p w14:paraId="580122BB" w14:textId="77777777" w:rsidR="00E75D8B" w:rsidRDefault="00E75D8B">
                            <w:pPr>
                              <w:widowControl/>
                              <w:shd w:val="clear" w:color="auto" w:fill="FFFFFF"/>
                              <w:spacing w:after="190" w:line="720" w:lineRule="auto"/>
                              <w:jc w:val="left"/>
                              <w:outlineLvl w:val="1"/>
                              <w:rPr>
                                <w:rFonts w:asciiTheme="minorEastAsia" w:eastAsiaTheme="minorEastAsia" w:hAnsiTheme="minorEastAsia"/>
                                <w:b/>
                                <w:szCs w:val="21"/>
                              </w:rPr>
                            </w:pPr>
                          </w:p>
                          <w:p w14:paraId="3E9E3BA5"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Pr>
                                <w:rFonts w:hint="eastAsia"/>
                              </w:rPr>
                              <w:t xml:space="preserve"> </w:t>
                            </w:r>
                            <w:r>
                              <w:rPr>
                                <w:rFonts w:asciiTheme="minorEastAsia" w:eastAsiaTheme="minorEastAsia" w:hAnsiTheme="minorEastAsia" w:hint="eastAsia"/>
                                <w:b/>
                                <w:sz w:val="36"/>
                                <w:szCs w:val="36"/>
                              </w:rPr>
                              <w:t>重磅发布 | 中国医药冷链物流行业研究报告（2022）+哈尔滨入选！2022年国家骨干冷链物流基地发布</w:t>
                            </w:r>
                          </w:p>
                          <w:p w14:paraId="57630F5E" w14:textId="77777777" w:rsidR="00E75D8B" w:rsidRDefault="00E75D8B">
                            <w:pPr>
                              <w:widowControl/>
                              <w:shd w:val="clear" w:color="auto" w:fill="FFFFFF"/>
                              <w:spacing w:after="190" w:line="720" w:lineRule="auto"/>
                              <w:jc w:val="left"/>
                              <w:outlineLvl w:val="1"/>
                              <w:rPr>
                                <w:rFonts w:asciiTheme="minorEastAsia" w:eastAsiaTheme="minorEastAsia" w:hAnsiTheme="minorEastAsia"/>
                                <w:b/>
                                <w:szCs w:val="21"/>
                              </w:rPr>
                            </w:pPr>
                          </w:p>
                          <w:p w14:paraId="0E516E9B"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 第八批集采会否纳入生物类似药？一文梳理齐鲁、信达、正大天晴等180家企业竞逐百亿市场！</w:t>
                            </w:r>
                          </w:p>
                          <w:p w14:paraId="650CE189" w14:textId="77777777" w:rsidR="00E75D8B" w:rsidRDefault="00E75D8B">
                            <w:pPr>
                              <w:widowControl/>
                              <w:shd w:val="clear" w:color="auto" w:fill="FFFFFF"/>
                              <w:spacing w:after="210" w:line="720" w:lineRule="auto"/>
                              <w:jc w:val="left"/>
                              <w:outlineLvl w:val="1"/>
                              <w:rPr>
                                <w:rFonts w:asciiTheme="minorEastAsia" w:eastAsiaTheme="minorEastAsia" w:hAnsiTheme="minorEastAsia"/>
                                <w:b/>
                                <w:szCs w:val="21"/>
                              </w:rPr>
                            </w:pPr>
                          </w:p>
                          <w:p w14:paraId="3A352B9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Pr>
                                <w:rFonts w:hint="eastAsia"/>
                              </w:rPr>
                              <w:t xml:space="preserve"> </w:t>
                            </w:r>
                            <w:r>
                              <w:rPr>
                                <w:rFonts w:asciiTheme="minorEastAsia" w:eastAsiaTheme="minorEastAsia" w:hAnsiTheme="minorEastAsia" w:hint="eastAsia"/>
                                <w:b/>
                                <w:sz w:val="36"/>
                                <w:szCs w:val="36"/>
                              </w:rPr>
                              <w:t>益丰药房市值超阿里健康，模式单一拷问线上售药!</w:t>
                            </w:r>
                          </w:p>
                          <w:p w14:paraId="24D561F9" w14:textId="77777777" w:rsidR="00E75D8B" w:rsidRDefault="00E75D8B">
                            <w:pPr>
                              <w:widowControl/>
                              <w:shd w:val="clear" w:color="auto" w:fill="FFFFFF"/>
                              <w:spacing w:after="190" w:line="720" w:lineRule="auto"/>
                              <w:jc w:val="left"/>
                              <w:outlineLvl w:val="1"/>
                              <w:rPr>
                                <w:rFonts w:asciiTheme="minorEastAsia" w:eastAsiaTheme="minorEastAsia" w:hAnsiTheme="minorEastAsia"/>
                                <w:b/>
                                <w:szCs w:val="21"/>
                              </w:rPr>
                            </w:pPr>
                          </w:p>
                          <w:p w14:paraId="291C507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hint="eastAsia"/>
                                <w:b/>
                                <w:sz w:val="36"/>
                                <w:szCs w:val="36"/>
                              </w:rPr>
                              <w:t>5.</w:t>
                            </w:r>
                            <w:r>
                              <w:rPr>
                                <w:rFonts w:asciiTheme="minorEastAsia" w:eastAsiaTheme="minorEastAsia" w:hAnsiTheme="minorEastAsia" w:hint="eastAsia"/>
                                <w:b/>
                                <w:sz w:val="36"/>
                                <w:szCs w:val="36"/>
                              </w:rPr>
                              <w:t xml:space="preserve"> 双通道药店，重点品种分析</w:t>
                            </w:r>
                          </w:p>
                        </w:txbxContent>
                      </wps:txbx>
                      <wps:bodyPr upright="1"/>
                    </wps:wsp>
                  </a:graphicData>
                </a:graphic>
              </wp:anchor>
            </w:drawing>
          </mc:Choice>
          <mc:Fallback>
            <w:pict>
              <v:shapetype w14:anchorId="483A9C14" id="_x0000_t202" coordsize="21600,21600" o:spt="202" path="m,l,21600r21600,l21600,xe">
                <v:stroke joinstyle="miter"/>
                <v:path gradientshapeok="t" o:connecttype="rect"/>
              </v:shapetype>
              <v:shape id="文本框 14" o:spid="_x0000_s1026" type="#_x0000_t202" style="position:absolute;left:0;text-align:left;margin-left:122.4pt;margin-top:3.3pt;width:331.5pt;height:64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H6dwEAAOUCAAAOAAAAZHJzL2Uyb0RvYy54bWysUk1PAjEQvZv4H5reZRcEJRsWEkPwYtQE&#10;/QGl27JN2k7TFnb5904Lgh8342W2nZm+ee/Nzha90WQvfFBgazoclJQIy6FRdlvT97fVzZSSEJlt&#10;mAYranoQgS7m11ezzlViBC3oRniCIDZUnatpG6OriiLwVhgWBuCExaIEb1jEq98WjWcdohtdjMry&#10;rujAN84DFyFgdnks0nnGl1Lw+CJlEJHomiK3mKPPcZNiMZ+xauuZaxU/0WB/YGGYsjj0DLVkkZGd&#10;V7+gjOIeAsg44GAKkFJxkTWgmmH5Q826ZU5kLWhOcGebwv/B8uf92r16EvsH6HGByZDOhSpgMunp&#10;pTfpi0wJ1tHCw9k20UfCMTkeDctygiWOtelwfDu9nySc4vLc+RAfBRiSDjX1uJdsF9s/hXhs/WxJ&#10;0yyslNZ5N9qSDnlNEua3EqJri0MubNMp9pv+JGEDzQGV7ZxX2xaHZm25Hb3M7E57T8v6es+gl79z&#10;/gEAAP//AwBQSwMEFAAGAAgAAAAhADg65yTiAAAACgEAAA8AAABkcnMvZG93bnJldi54bWxMj09L&#10;xDAUxO+C3yE8wYu4yZZSu7XpIi57EBVxd1GP2ebZFpukNOmf9dP7POlxmGHmN/l6Ni0bsfeNsxKW&#10;CwEMbel0YysJh/32OgXmg7Jatc6ihBN6WBfnZ7nKtJvsK467UDEqsT5TEuoQuoxzX9ZolF+4Di15&#10;n643KpDsK657NVG5aXkkRMKNaiwt1KrD+xrLr91gJIzPIn57Kt9Pw9V28/GQvmz84/Qt5eXFfHcL&#10;LOAc/sLwi0/oUBDT0Q1We9ZKiOKY0IOEJAFG/krckD5SMEpXS+BFzv9fKH4AAAD//wMAUEsBAi0A&#10;FAAGAAgAAAAhALaDOJL+AAAA4QEAABMAAAAAAAAAAAAAAAAAAAAAAFtDb250ZW50X1R5cGVzXS54&#10;bWxQSwECLQAUAAYACAAAACEAOP0h/9YAAACUAQAACwAAAAAAAAAAAAAAAAAvAQAAX3JlbHMvLnJl&#10;bHNQSwECLQAUAAYACAAAACEA9cZx+ncBAADlAgAADgAAAAAAAAAAAAAAAAAuAgAAZHJzL2Uyb0Rv&#10;Yy54bWxQSwECLQAUAAYACAAAACEAODrnJOIAAAAKAQAADwAAAAAAAAAAAAAAAADRAwAAZHJzL2Rv&#10;d25yZXYueG1sUEsFBgAAAAAEAAQA8wAAAOAEAAAAAA==&#10;" filled="f" stroked="f" strokeweight="1.25pt">
                <v:textbox>
                  <w:txbxContent>
                    <w:p w14:paraId="1D0EB34C"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Pr>
                          <w:rFonts w:hint="eastAsia"/>
                        </w:rPr>
                        <w:t xml:space="preserve"> </w:t>
                      </w:r>
                      <w:r>
                        <w:rPr>
                          <w:rFonts w:asciiTheme="minorEastAsia" w:eastAsiaTheme="minorEastAsia" w:hAnsiTheme="minorEastAsia" w:hint="eastAsia"/>
                          <w:b/>
                          <w:sz w:val="36"/>
                          <w:szCs w:val="36"/>
                        </w:rPr>
                        <w:t>二十大报告（医药健康）| 解读合集</w:t>
                      </w:r>
                    </w:p>
                    <w:p w14:paraId="580122BB" w14:textId="77777777" w:rsidR="00E75D8B" w:rsidRDefault="00E75D8B">
                      <w:pPr>
                        <w:widowControl/>
                        <w:shd w:val="clear" w:color="auto" w:fill="FFFFFF"/>
                        <w:spacing w:after="190" w:line="720" w:lineRule="auto"/>
                        <w:jc w:val="left"/>
                        <w:outlineLvl w:val="1"/>
                        <w:rPr>
                          <w:rFonts w:asciiTheme="minorEastAsia" w:eastAsiaTheme="minorEastAsia" w:hAnsiTheme="minorEastAsia"/>
                          <w:b/>
                          <w:szCs w:val="21"/>
                        </w:rPr>
                      </w:pPr>
                    </w:p>
                    <w:p w14:paraId="3E9E3BA5"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Pr>
                          <w:rFonts w:hint="eastAsia"/>
                        </w:rPr>
                        <w:t xml:space="preserve"> </w:t>
                      </w:r>
                      <w:r>
                        <w:rPr>
                          <w:rFonts w:asciiTheme="minorEastAsia" w:eastAsiaTheme="minorEastAsia" w:hAnsiTheme="minorEastAsia" w:hint="eastAsia"/>
                          <w:b/>
                          <w:sz w:val="36"/>
                          <w:szCs w:val="36"/>
                        </w:rPr>
                        <w:t>重磅发布 | 中国医药冷链物流行业研究报告（2022）+哈尔滨入选！2022年国家骨干冷链物流基地发布</w:t>
                      </w:r>
                    </w:p>
                    <w:p w14:paraId="57630F5E" w14:textId="77777777" w:rsidR="00E75D8B" w:rsidRDefault="00E75D8B">
                      <w:pPr>
                        <w:widowControl/>
                        <w:shd w:val="clear" w:color="auto" w:fill="FFFFFF"/>
                        <w:spacing w:after="190" w:line="720" w:lineRule="auto"/>
                        <w:jc w:val="left"/>
                        <w:outlineLvl w:val="1"/>
                        <w:rPr>
                          <w:rFonts w:asciiTheme="minorEastAsia" w:eastAsiaTheme="minorEastAsia" w:hAnsiTheme="minorEastAsia"/>
                          <w:b/>
                          <w:szCs w:val="21"/>
                        </w:rPr>
                      </w:pPr>
                    </w:p>
                    <w:p w14:paraId="0E516E9B"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 第八批集采会否纳入生物类似药？一文梳理齐鲁、信达、正大天晴等180家企业竞逐百亿市场！</w:t>
                      </w:r>
                    </w:p>
                    <w:p w14:paraId="650CE189" w14:textId="77777777" w:rsidR="00E75D8B" w:rsidRDefault="00E75D8B">
                      <w:pPr>
                        <w:widowControl/>
                        <w:shd w:val="clear" w:color="auto" w:fill="FFFFFF"/>
                        <w:spacing w:after="210" w:line="720" w:lineRule="auto"/>
                        <w:jc w:val="left"/>
                        <w:outlineLvl w:val="1"/>
                        <w:rPr>
                          <w:rFonts w:asciiTheme="minorEastAsia" w:eastAsiaTheme="minorEastAsia" w:hAnsiTheme="minorEastAsia"/>
                          <w:b/>
                          <w:szCs w:val="21"/>
                        </w:rPr>
                      </w:pPr>
                    </w:p>
                    <w:p w14:paraId="3A352B9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Pr>
                          <w:rFonts w:hint="eastAsia"/>
                        </w:rPr>
                        <w:t xml:space="preserve"> </w:t>
                      </w:r>
                      <w:r>
                        <w:rPr>
                          <w:rFonts w:asciiTheme="minorEastAsia" w:eastAsiaTheme="minorEastAsia" w:hAnsiTheme="minorEastAsia" w:hint="eastAsia"/>
                          <w:b/>
                          <w:sz w:val="36"/>
                          <w:szCs w:val="36"/>
                        </w:rPr>
                        <w:t>益丰药房市值超阿里健康，模式单一拷问线上售药!</w:t>
                      </w:r>
                    </w:p>
                    <w:p w14:paraId="24D561F9" w14:textId="77777777" w:rsidR="00E75D8B" w:rsidRDefault="00E75D8B">
                      <w:pPr>
                        <w:widowControl/>
                        <w:shd w:val="clear" w:color="auto" w:fill="FFFFFF"/>
                        <w:spacing w:after="190" w:line="720" w:lineRule="auto"/>
                        <w:jc w:val="left"/>
                        <w:outlineLvl w:val="1"/>
                        <w:rPr>
                          <w:rFonts w:asciiTheme="minorEastAsia" w:eastAsiaTheme="minorEastAsia" w:hAnsiTheme="minorEastAsia"/>
                          <w:b/>
                          <w:szCs w:val="21"/>
                        </w:rPr>
                      </w:pPr>
                    </w:p>
                    <w:p w14:paraId="291C507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hint="eastAsia"/>
                          <w:b/>
                          <w:sz w:val="36"/>
                          <w:szCs w:val="36"/>
                        </w:rPr>
                        <w:t>5.</w:t>
                      </w:r>
                      <w:r>
                        <w:rPr>
                          <w:rFonts w:asciiTheme="minorEastAsia" w:eastAsiaTheme="minorEastAsia" w:hAnsiTheme="minorEastAsia" w:hint="eastAsia"/>
                          <w:b/>
                          <w:sz w:val="36"/>
                          <w:szCs w:val="36"/>
                        </w:rPr>
                        <w:t xml:space="preserve"> 双通道药店，重点品种分析</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8D49302" wp14:editId="7E1883E5">
                <wp:simplePos x="0" y="0"/>
                <wp:positionH relativeFrom="column">
                  <wp:posOffset>1554480</wp:posOffset>
                </wp:positionH>
                <wp:positionV relativeFrom="paragraph">
                  <wp:posOffset>2540</wp:posOffset>
                </wp:positionV>
                <wp:extent cx="4210050" cy="8143875"/>
                <wp:effectExtent l="0" t="0" r="0" b="0"/>
                <wp:wrapNone/>
                <wp:docPr id="50"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14:paraId="41349AE5"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1重磅！国务院：允许网络销售除特殊管理药品以外的处方药</w:t>
                            </w:r>
                          </w:p>
                          <w:p w14:paraId="1A27123E" w14:textId="77777777" w:rsidR="00E75D8B" w:rsidRDefault="00E75D8B">
                            <w:pPr>
                              <w:widowControl/>
                              <w:shd w:val="clear" w:color="auto" w:fill="FFFFFF"/>
                              <w:spacing w:after="210" w:line="200" w:lineRule="exact"/>
                              <w:jc w:val="left"/>
                              <w:outlineLvl w:val="1"/>
                              <w:rPr>
                                <w:rFonts w:asciiTheme="minorEastAsia" w:eastAsiaTheme="minorEastAsia" w:hAnsiTheme="minorEastAsia"/>
                                <w:b/>
                                <w:szCs w:val="21"/>
                              </w:rPr>
                            </w:pPr>
                          </w:p>
                          <w:p w14:paraId="67F3A033"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0855AFE7"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2.进度更新！贵州、黑龙江第四批集采落地时间明确</w:t>
                            </w:r>
                          </w:p>
                          <w:p w14:paraId="5A49EF8F" w14:textId="77777777" w:rsidR="00E75D8B" w:rsidRDefault="00E75D8B">
                            <w:pPr>
                              <w:widowControl/>
                              <w:shd w:val="clear" w:color="auto" w:fill="FFFFFF"/>
                              <w:spacing w:after="190" w:line="200" w:lineRule="exact"/>
                              <w:jc w:val="left"/>
                              <w:outlineLvl w:val="1"/>
                              <w:rPr>
                                <w:rFonts w:asciiTheme="minorEastAsia" w:eastAsiaTheme="minorEastAsia" w:hAnsiTheme="minorEastAsia"/>
                                <w:b/>
                                <w:szCs w:val="21"/>
                              </w:rPr>
                            </w:pPr>
                          </w:p>
                          <w:p w14:paraId="61781518"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56CE12E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3.【重磅】受疫情影响，2020我国三大终端六大市场药品销售额16437亿，同比负增长8.5%</w:t>
                            </w:r>
                          </w:p>
                          <w:p w14:paraId="3AB747C9" w14:textId="77777777" w:rsidR="00E75D8B" w:rsidRDefault="00E75D8B">
                            <w:pPr>
                              <w:widowControl/>
                              <w:shd w:val="clear" w:color="auto" w:fill="FFFFFF"/>
                              <w:spacing w:after="210" w:line="200" w:lineRule="exact"/>
                              <w:jc w:val="left"/>
                              <w:outlineLvl w:val="1"/>
                              <w:rPr>
                                <w:rFonts w:asciiTheme="minorEastAsia" w:eastAsiaTheme="minorEastAsia" w:hAnsiTheme="minorEastAsia"/>
                                <w:b/>
                                <w:szCs w:val="21"/>
                              </w:rPr>
                            </w:pPr>
                          </w:p>
                          <w:p w14:paraId="2449C223"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3CA9839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4.健之佳上市以来首推股权激励，三年千店扩张提速</w:t>
                            </w:r>
                          </w:p>
                          <w:p w14:paraId="4E293D1F" w14:textId="77777777" w:rsidR="00E75D8B" w:rsidRDefault="00E75D8B">
                            <w:pPr>
                              <w:widowControl/>
                              <w:shd w:val="clear" w:color="auto" w:fill="FFFFFF"/>
                              <w:spacing w:after="190" w:line="200" w:lineRule="exact"/>
                              <w:jc w:val="left"/>
                              <w:outlineLvl w:val="1"/>
                              <w:rPr>
                                <w:rFonts w:asciiTheme="minorEastAsia" w:eastAsiaTheme="minorEastAsia" w:hAnsiTheme="minorEastAsia"/>
                                <w:b/>
                                <w:szCs w:val="21"/>
                              </w:rPr>
                            </w:pPr>
                          </w:p>
                          <w:p w14:paraId="1F1ABA3C"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5F675FD2" w14:textId="77777777" w:rsidR="00E75D8B" w:rsidRDefault="00000000">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2021一季度19款新药获批，多款产品创下“中国首个”纪录</w:t>
                            </w:r>
                          </w:p>
                          <w:p w14:paraId="1BD3D4D5" w14:textId="77777777" w:rsidR="00E75D8B" w:rsidRDefault="00E75D8B">
                            <w:pPr>
                              <w:widowControl/>
                              <w:shd w:val="clear" w:color="auto" w:fill="FFFFFF"/>
                              <w:spacing w:after="210"/>
                              <w:jc w:val="left"/>
                              <w:outlineLvl w:val="1"/>
                              <w:rPr>
                                <w:rFonts w:asciiTheme="minorEastAsia" w:eastAsiaTheme="minorEastAsia" w:hAnsiTheme="minorEastAsia"/>
                                <w:b/>
                                <w:sz w:val="36"/>
                                <w:szCs w:val="36"/>
                              </w:rPr>
                            </w:pPr>
                          </w:p>
                          <w:p w14:paraId="2898A52E" w14:textId="77777777" w:rsidR="00E75D8B" w:rsidRDefault="00E75D8B">
                            <w:pPr>
                              <w:widowControl/>
                              <w:spacing w:before="100" w:beforeAutospacing="1" w:after="100" w:afterAutospacing="1"/>
                              <w:outlineLvl w:val="1"/>
                              <w:rPr>
                                <w:rFonts w:ascii="微软雅黑" w:eastAsia="微软雅黑" w:hAnsi="微软雅黑" w:cs="宋体"/>
                                <w:color w:val="333333"/>
                                <w:spacing w:val="8"/>
                                <w:kern w:val="0"/>
                                <w:sz w:val="33"/>
                                <w:szCs w:val="33"/>
                              </w:rPr>
                            </w:pPr>
                          </w:p>
                          <w:p w14:paraId="0305993A" w14:textId="77777777" w:rsidR="00E75D8B" w:rsidRDefault="00E75D8B">
                            <w:pPr>
                              <w:rPr>
                                <w:b/>
                                <w:sz w:val="44"/>
                                <w:szCs w:val="44"/>
                              </w:rPr>
                            </w:pPr>
                          </w:p>
                        </w:txbxContent>
                      </wps:txbx>
                      <wps:bodyPr upright="1"/>
                    </wps:wsp>
                  </a:graphicData>
                </a:graphic>
              </wp:anchor>
            </w:drawing>
          </mc:Choice>
          <mc:Fallback>
            <w:pict>
              <v:shape w14:anchorId="28D49302" id="_x0000_s1027" type="#_x0000_t202" style="position:absolute;left:0;text-align:left;margin-left:122.4pt;margin-top:.2pt;width:331.5pt;height:64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lSeQEAAOwCAAAOAAAAZHJzL2Uyb0RvYy54bWysUk1vAiEUvDfpfyDc665WW7NxNWmMvTRt&#10;E9sfgCy4JMAjgO767/tAq/24Nb28BQbmzczb2aI3muyFDwpsTYeDkhJhOTTKbmv6/ra6mVISIrMN&#10;02BFTQ8i0MX8+mrWuUqMoAXdCE+QxIaqczVtY3RVUQTeCsPCAJywCErwhkXc+m3ReNYhu9HFqCzv&#10;ig584zxwEQKeLo8gnWd+KQWPL1IGEYmuKWqLufpcN6kW8xmrtp65VvGTDPYHFYYpi03PVEsWGdl5&#10;9YvKKO4hgIwDDqYAKRUX2QO6GZY/3Kxb5kT2guEEd44p/B8tf96v3asnsX+AHgeYAulcqAIeJj+9&#10;9CZ9USlBHCM8nGMTfSQcD8ejYVlOEOKITYfj2+n9JPEUl+fOh/gowJC0qKnHueS42P4pxOPVzyup&#10;m4WV0jrPRlvSoa5J4vwGIbu22OSiNq1iv+mJar442UBzQIM759W2xd7ZYn6FkWaRp/GnmX3dZ+7L&#10;Tzr/AAAA//8DAFBLAwQUAAYACAAAACEAW4zb3uEAAAAJAQAADwAAAGRycy9kb3ducmV2LnhtbEyP&#10;T0vDQBTE74LfYXmCF7EbQ9A0ZlPE0oOoiG1Rj9vsMwlm34bs5k/99D5PehxmmPlNvpptK0bsfeNI&#10;wdUiAoFUOtNQpWC/21ymIHzQZHTrCBUc0cOqOD3JdWbcRK84bkMluIR8phXUIXSZlL6s0Wq/cB0S&#10;e5+utzqw7Ctpej1xuW1lHEXX0uqGeKHWHd7XWH5tB6tgfI6St6fy/ThcbNYfD+nL2j9O30qdn813&#10;tyACzuEvDL/4jA4FMx3cQMaLVkGcJIweFCQg2F5GNywPnIvTeAmyyOX/B8UPAAAA//8DAFBLAQIt&#10;ABQABgAIAAAAIQC2gziS/gAAAOEBAAATAAAAAAAAAAAAAAAAAAAAAABbQ29udGVudF9UeXBlc10u&#10;eG1sUEsBAi0AFAAGAAgAAAAhADj9If/WAAAAlAEAAAsAAAAAAAAAAAAAAAAALwEAAF9yZWxzLy5y&#10;ZWxzUEsBAi0AFAAGAAgAAAAhAJqLCVJ5AQAA7AIAAA4AAAAAAAAAAAAAAAAALgIAAGRycy9lMm9E&#10;b2MueG1sUEsBAi0AFAAGAAgAAAAhAFuM297hAAAACQEAAA8AAAAAAAAAAAAAAAAA0wMAAGRycy9k&#10;b3ducmV2LnhtbFBLBQYAAAAABAAEAPMAAADhBAAAAAA=&#10;" filled="f" stroked="f" strokeweight="1.25pt">
                <v:textbox>
                  <w:txbxContent>
                    <w:p w14:paraId="41349AE5"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1重磅！国务院：允许网络销售除特殊管理药品以外的处方药</w:t>
                      </w:r>
                    </w:p>
                    <w:p w14:paraId="1A27123E" w14:textId="77777777" w:rsidR="00E75D8B" w:rsidRDefault="00E75D8B">
                      <w:pPr>
                        <w:widowControl/>
                        <w:shd w:val="clear" w:color="auto" w:fill="FFFFFF"/>
                        <w:spacing w:after="210" w:line="200" w:lineRule="exact"/>
                        <w:jc w:val="left"/>
                        <w:outlineLvl w:val="1"/>
                        <w:rPr>
                          <w:rFonts w:asciiTheme="minorEastAsia" w:eastAsiaTheme="minorEastAsia" w:hAnsiTheme="minorEastAsia"/>
                          <w:b/>
                          <w:szCs w:val="21"/>
                        </w:rPr>
                      </w:pPr>
                    </w:p>
                    <w:p w14:paraId="67F3A033"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0855AFE7"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2.进度更新！贵州、黑龙江第四批集采落地时间明确</w:t>
                      </w:r>
                    </w:p>
                    <w:p w14:paraId="5A49EF8F" w14:textId="77777777" w:rsidR="00E75D8B" w:rsidRDefault="00E75D8B">
                      <w:pPr>
                        <w:widowControl/>
                        <w:shd w:val="clear" w:color="auto" w:fill="FFFFFF"/>
                        <w:spacing w:after="190" w:line="200" w:lineRule="exact"/>
                        <w:jc w:val="left"/>
                        <w:outlineLvl w:val="1"/>
                        <w:rPr>
                          <w:rFonts w:asciiTheme="minorEastAsia" w:eastAsiaTheme="minorEastAsia" w:hAnsiTheme="minorEastAsia"/>
                          <w:b/>
                          <w:szCs w:val="21"/>
                        </w:rPr>
                      </w:pPr>
                    </w:p>
                    <w:p w14:paraId="61781518"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56CE12E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3.【重磅】受疫情影响，2020我国三大终端六大市场药品销售额16437亿，同比负增长8.5%</w:t>
                      </w:r>
                    </w:p>
                    <w:p w14:paraId="3AB747C9" w14:textId="77777777" w:rsidR="00E75D8B" w:rsidRDefault="00E75D8B">
                      <w:pPr>
                        <w:widowControl/>
                        <w:shd w:val="clear" w:color="auto" w:fill="FFFFFF"/>
                        <w:spacing w:after="210" w:line="200" w:lineRule="exact"/>
                        <w:jc w:val="left"/>
                        <w:outlineLvl w:val="1"/>
                        <w:rPr>
                          <w:rFonts w:asciiTheme="minorEastAsia" w:eastAsiaTheme="minorEastAsia" w:hAnsiTheme="minorEastAsia"/>
                          <w:b/>
                          <w:szCs w:val="21"/>
                        </w:rPr>
                      </w:pPr>
                    </w:p>
                    <w:p w14:paraId="2449C223"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3CA98392" w14:textId="77777777" w:rsidR="00E75D8B"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4.健之佳上市以来首推股权激励，三年千店扩张提速</w:t>
                      </w:r>
                    </w:p>
                    <w:p w14:paraId="4E293D1F" w14:textId="77777777" w:rsidR="00E75D8B" w:rsidRDefault="00E75D8B">
                      <w:pPr>
                        <w:widowControl/>
                        <w:shd w:val="clear" w:color="auto" w:fill="FFFFFF"/>
                        <w:spacing w:after="190" w:line="200" w:lineRule="exact"/>
                        <w:jc w:val="left"/>
                        <w:outlineLvl w:val="1"/>
                        <w:rPr>
                          <w:rFonts w:asciiTheme="minorEastAsia" w:eastAsiaTheme="minorEastAsia" w:hAnsiTheme="minorEastAsia"/>
                          <w:b/>
                          <w:szCs w:val="21"/>
                        </w:rPr>
                      </w:pPr>
                    </w:p>
                    <w:p w14:paraId="1F1ABA3C" w14:textId="77777777" w:rsidR="00E75D8B" w:rsidRDefault="00E75D8B">
                      <w:pPr>
                        <w:widowControl/>
                        <w:shd w:val="clear" w:color="auto" w:fill="FFFFFF"/>
                        <w:spacing w:after="190" w:line="500" w:lineRule="exact"/>
                        <w:jc w:val="left"/>
                        <w:outlineLvl w:val="1"/>
                        <w:rPr>
                          <w:rFonts w:asciiTheme="minorEastAsia" w:eastAsiaTheme="minorEastAsia" w:hAnsiTheme="minorEastAsia"/>
                          <w:b/>
                          <w:szCs w:val="21"/>
                        </w:rPr>
                      </w:pPr>
                    </w:p>
                    <w:p w14:paraId="5F675FD2" w14:textId="77777777" w:rsidR="00E75D8B" w:rsidRDefault="00000000">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2021一季度19款新药获批，多款产品创下“中国首个”纪录</w:t>
                      </w:r>
                    </w:p>
                    <w:p w14:paraId="1BD3D4D5" w14:textId="77777777" w:rsidR="00E75D8B" w:rsidRDefault="00E75D8B">
                      <w:pPr>
                        <w:widowControl/>
                        <w:shd w:val="clear" w:color="auto" w:fill="FFFFFF"/>
                        <w:spacing w:after="210"/>
                        <w:jc w:val="left"/>
                        <w:outlineLvl w:val="1"/>
                        <w:rPr>
                          <w:rFonts w:asciiTheme="minorEastAsia" w:eastAsiaTheme="minorEastAsia" w:hAnsiTheme="minorEastAsia"/>
                          <w:b/>
                          <w:sz w:val="36"/>
                          <w:szCs w:val="36"/>
                        </w:rPr>
                      </w:pPr>
                    </w:p>
                    <w:p w14:paraId="2898A52E" w14:textId="77777777" w:rsidR="00E75D8B" w:rsidRDefault="00E75D8B">
                      <w:pPr>
                        <w:widowControl/>
                        <w:spacing w:before="100" w:beforeAutospacing="1" w:after="100" w:afterAutospacing="1"/>
                        <w:outlineLvl w:val="1"/>
                        <w:rPr>
                          <w:rFonts w:ascii="微软雅黑" w:eastAsia="微软雅黑" w:hAnsi="微软雅黑" w:cs="宋体"/>
                          <w:color w:val="333333"/>
                          <w:spacing w:val="8"/>
                          <w:kern w:val="0"/>
                          <w:sz w:val="33"/>
                          <w:szCs w:val="33"/>
                        </w:rPr>
                      </w:pPr>
                    </w:p>
                    <w:p w14:paraId="0305993A" w14:textId="77777777" w:rsidR="00E75D8B" w:rsidRDefault="00E75D8B">
                      <w:pPr>
                        <w:rPr>
                          <w:b/>
                          <w:sz w:val="44"/>
                          <w:szCs w:val="44"/>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D88F609" wp14:editId="5A5364E6">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14:paraId="4522382A" w14:textId="77777777" w:rsidR="00E75D8B" w:rsidRDefault="00E75D8B"/>
                          <w:p w14:paraId="4CD18BEC" w14:textId="77777777" w:rsidR="00E75D8B" w:rsidRDefault="00E75D8B"/>
                          <w:p w14:paraId="1DF1C423" w14:textId="77777777" w:rsidR="00E75D8B" w:rsidRDefault="00E75D8B"/>
                          <w:p w14:paraId="5EFE3FAA" w14:textId="77777777" w:rsidR="00E75D8B" w:rsidRDefault="00000000">
                            <w:pPr>
                              <w:jc w:val="center"/>
                              <w:rPr>
                                <w:b/>
                                <w:sz w:val="44"/>
                                <w:szCs w:val="44"/>
                              </w:rPr>
                            </w:pPr>
                            <w:r>
                              <w:rPr>
                                <w:rFonts w:hint="eastAsia"/>
                                <w:b/>
                                <w:sz w:val="44"/>
                                <w:szCs w:val="44"/>
                              </w:rPr>
                              <w:t>目录</w:t>
                            </w:r>
                          </w:p>
                          <w:p w14:paraId="5ADD4B80" w14:textId="77777777" w:rsidR="00E75D8B" w:rsidRDefault="00E75D8B">
                            <w:pPr>
                              <w:jc w:val="center"/>
                              <w:rPr>
                                <w:b/>
                                <w:sz w:val="44"/>
                                <w:szCs w:val="44"/>
                              </w:rPr>
                            </w:pPr>
                          </w:p>
                          <w:p w14:paraId="76A6592B" w14:textId="77777777" w:rsidR="00E75D8B" w:rsidRDefault="00E75D8B">
                            <w:pPr>
                              <w:jc w:val="center"/>
                              <w:rPr>
                                <w:b/>
                                <w:sz w:val="44"/>
                                <w:szCs w:val="44"/>
                              </w:rPr>
                            </w:pPr>
                          </w:p>
                          <w:p w14:paraId="66B7C77F" w14:textId="77777777" w:rsidR="00E75D8B" w:rsidRDefault="00E75D8B">
                            <w:pPr>
                              <w:jc w:val="center"/>
                              <w:rPr>
                                <w:b/>
                                <w:sz w:val="44"/>
                                <w:szCs w:val="44"/>
                              </w:rPr>
                            </w:pPr>
                          </w:p>
                          <w:p w14:paraId="336D3D29" w14:textId="77777777" w:rsidR="00E75D8B" w:rsidRDefault="00000000">
                            <w:pPr>
                              <w:jc w:val="center"/>
                              <w:rPr>
                                <w:b/>
                                <w:sz w:val="36"/>
                                <w:szCs w:val="36"/>
                              </w:rPr>
                            </w:pPr>
                            <w:r>
                              <w:rPr>
                                <w:rFonts w:hint="eastAsia"/>
                                <w:b/>
                                <w:sz w:val="36"/>
                                <w:szCs w:val="36"/>
                              </w:rPr>
                              <w:t>（</w:t>
                            </w:r>
                            <w:r>
                              <w:rPr>
                                <w:rFonts w:hint="eastAsia"/>
                                <w:b/>
                                <w:sz w:val="36"/>
                                <w:szCs w:val="36"/>
                              </w:rPr>
                              <w:t>10</w:t>
                            </w:r>
                            <w:r>
                              <w:rPr>
                                <w:rFonts w:hint="eastAsia"/>
                                <w:b/>
                                <w:sz w:val="36"/>
                                <w:szCs w:val="36"/>
                              </w:rPr>
                              <w:t>月第</w:t>
                            </w:r>
                            <w:r>
                              <w:rPr>
                                <w:rFonts w:hint="eastAsia"/>
                                <w:b/>
                                <w:sz w:val="36"/>
                                <w:szCs w:val="36"/>
                              </w:rPr>
                              <w:t>10</w:t>
                            </w:r>
                            <w:r>
                              <w:rPr>
                                <w:rFonts w:hint="eastAsia"/>
                                <w:b/>
                                <w:sz w:val="36"/>
                                <w:szCs w:val="36"/>
                              </w:rPr>
                              <w:t>期）</w:t>
                            </w:r>
                          </w:p>
                        </w:txbxContent>
                      </wps:txbx>
                      <wps:bodyPr upright="1"/>
                    </wps:wsp>
                  </a:graphicData>
                </a:graphic>
              </wp:anchor>
            </w:drawing>
          </mc:Choice>
          <mc:Fallback>
            <w:pict>
              <v:shape w14:anchorId="0D88F609" id="文本框 11" o:spid="_x0000_s1028" type="#_x0000_t202" style="position:absolute;left:0;text-align:left;margin-left:-62.1pt;margin-top:3.15pt;width:156.1pt;height:251.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GaewEAAOwCAAAOAAAAZHJzL2Uyb0RvYy54bWysUstuwyAQvFfqPyDujZ30kdSKU6mK2kvV&#10;Vkr7AQSDjQQsAhI7f9+F5tHHreoFA8POzsx6fjcYTbbCBwW2puNRSYmwHBpl25q+vz1czCgJkdmG&#10;abCipjsR6N3i/Gzeu0pMoAPdCE+QxIaqdzXtYnRVUQTeCcPCCJywCErwhkU8+rZoPOuR3ehiUpY3&#10;RQ++cR64CAFvl58gXWR+KQWPL1IGEYmuKWqLefV5Xae1WMxZ1XrmOsX3MtgfVBimLDY9Ui1ZZGTj&#10;1S8qo7iHADKOOJgCpFRcZA/oZlz+cLPqmBPZC4YT3DGm8H+0/Hm7cq+exOEeBhxgCqR3oQp4mfwM&#10;0pv0RaUEcYxwd4xNDJHwVHQ7m1xNEeKIXY5vy9n0OvEUp3LnQ3wUYEja1NTjXHJcbPsU4ufTw5PU&#10;zcKD0jrPRlvSY4vrxPkNQnZtsclJbdrFYT0Q1dR0cnCyhmaHBjfOq7bD3tlirsJIs8j9+NPMvp4z&#10;9+knXXwAAAD//wMAUEsDBBQABgAIAAAAIQCMNaY24wAAAAoBAAAPAAAAZHJzL2Rvd25yZXYueG1s&#10;TI/LTsMwEEX3SPyDNUhsUGs3lMoKcSpE1QWCClEQsHTjIYmIx1HsPMrX465gOZqje8/N1pNt2ICd&#10;rx0pWMwFMKTCmZpKBW+v25kE5oMmoxtHqOCIHtb5+VmmU+NGesFhH0oWQ8inWkEVQpty7osKrfZz&#10;1yLF35frrA7x7EpuOj3GcNvwRIgVt7qm2FDpFu8rLL73vVUw7MTy/an4OPZX283ng3ze+MfxR6nL&#10;i+nuFljAKfzBcNKP6pBHp4PryXjWKJgtkmUSWQWra2AnQMo47qDgRkgJPM/4/wn5LwAAAP//AwBQ&#10;SwECLQAUAAYACAAAACEAtoM4kv4AAADhAQAAEwAAAAAAAAAAAAAAAAAAAAAAW0NvbnRlbnRfVHlw&#10;ZXNdLnhtbFBLAQItABQABgAIAAAAIQA4/SH/1gAAAJQBAAALAAAAAAAAAAAAAAAAAC8BAABfcmVs&#10;cy8ucmVsc1BLAQItABQABgAIAAAAIQCL9LGaewEAAOwCAAAOAAAAAAAAAAAAAAAAAC4CAABkcnMv&#10;ZTJvRG9jLnhtbFBLAQItABQABgAIAAAAIQCMNaY24wAAAAoBAAAPAAAAAAAAAAAAAAAAANUDAABk&#10;cnMvZG93bnJldi54bWxQSwUGAAAAAAQABADzAAAA5QQAAAAA&#10;" filled="f" stroked="f" strokeweight="1.25pt">
                <v:textbox>
                  <w:txbxContent>
                    <w:p w14:paraId="4522382A" w14:textId="77777777" w:rsidR="00E75D8B" w:rsidRDefault="00E75D8B"/>
                    <w:p w14:paraId="4CD18BEC" w14:textId="77777777" w:rsidR="00E75D8B" w:rsidRDefault="00E75D8B"/>
                    <w:p w14:paraId="1DF1C423" w14:textId="77777777" w:rsidR="00E75D8B" w:rsidRDefault="00E75D8B"/>
                    <w:p w14:paraId="5EFE3FAA" w14:textId="77777777" w:rsidR="00E75D8B" w:rsidRDefault="00000000">
                      <w:pPr>
                        <w:jc w:val="center"/>
                        <w:rPr>
                          <w:b/>
                          <w:sz w:val="44"/>
                          <w:szCs w:val="44"/>
                        </w:rPr>
                      </w:pPr>
                      <w:r>
                        <w:rPr>
                          <w:rFonts w:hint="eastAsia"/>
                          <w:b/>
                          <w:sz w:val="44"/>
                          <w:szCs w:val="44"/>
                        </w:rPr>
                        <w:t>目录</w:t>
                      </w:r>
                    </w:p>
                    <w:p w14:paraId="5ADD4B80" w14:textId="77777777" w:rsidR="00E75D8B" w:rsidRDefault="00E75D8B">
                      <w:pPr>
                        <w:jc w:val="center"/>
                        <w:rPr>
                          <w:b/>
                          <w:sz w:val="44"/>
                          <w:szCs w:val="44"/>
                        </w:rPr>
                      </w:pPr>
                    </w:p>
                    <w:p w14:paraId="76A6592B" w14:textId="77777777" w:rsidR="00E75D8B" w:rsidRDefault="00E75D8B">
                      <w:pPr>
                        <w:jc w:val="center"/>
                        <w:rPr>
                          <w:b/>
                          <w:sz w:val="44"/>
                          <w:szCs w:val="44"/>
                        </w:rPr>
                      </w:pPr>
                    </w:p>
                    <w:p w14:paraId="66B7C77F" w14:textId="77777777" w:rsidR="00E75D8B" w:rsidRDefault="00E75D8B">
                      <w:pPr>
                        <w:jc w:val="center"/>
                        <w:rPr>
                          <w:b/>
                          <w:sz w:val="44"/>
                          <w:szCs w:val="44"/>
                        </w:rPr>
                      </w:pPr>
                    </w:p>
                    <w:p w14:paraId="336D3D29" w14:textId="77777777" w:rsidR="00E75D8B" w:rsidRDefault="00000000">
                      <w:pPr>
                        <w:jc w:val="center"/>
                        <w:rPr>
                          <w:b/>
                          <w:sz w:val="36"/>
                          <w:szCs w:val="36"/>
                        </w:rPr>
                      </w:pPr>
                      <w:r>
                        <w:rPr>
                          <w:rFonts w:hint="eastAsia"/>
                          <w:b/>
                          <w:sz w:val="36"/>
                          <w:szCs w:val="36"/>
                        </w:rPr>
                        <w:t>（</w:t>
                      </w:r>
                      <w:r>
                        <w:rPr>
                          <w:rFonts w:hint="eastAsia"/>
                          <w:b/>
                          <w:sz w:val="36"/>
                          <w:szCs w:val="36"/>
                        </w:rPr>
                        <w:t>10</w:t>
                      </w:r>
                      <w:r>
                        <w:rPr>
                          <w:rFonts w:hint="eastAsia"/>
                          <w:b/>
                          <w:sz w:val="36"/>
                          <w:szCs w:val="36"/>
                        </w:rPr>
                        <w:t>月第</w:t>
                      </w:r>
                      <w:r>
                        <w:rPr>
                          <w:rFonts w:hint="eastAsia"/>
                          <w:b/>
                          <w:sz w:val="36"/>
                          <w:szCs w:val="36"/>
                        </w:rPr>
                        <w:t>10</w:t>
                      </w:r>
                      <w:r>
                        <w:rPr>
                          <w:rFonts w:hint="eastAsia"/>
                          <w:b/>
                          <w:sz w:val="36"/>
                          <w:szCs w:val="36"/>
                        </w:rPr>
                        <w:t>期）</w:t>
                      </w:r>
                    </w:p>
                  </w:txbxContent>
                </v:textbox>
              </v:shape>
            </w:pict>
          </mc:Fallback>
        </mc:AlternateContent>
      </w:r>
    </w:p>
    <w:p w14:paraId="44A50F67" w14:textId="77777777" w:rsidR="00E75D8B" w:rsidRDefault="00000000">
      <w:pPr>
        <w:tabs>
          <w:tab w:val="left" w:pos="5245"/>
        </w:tabs>
      </w:pPr>
      <w:r>
        <w:rPr>
          <w:rFonts w:hint="eastAsia"/>
        </w:rPr>
        <w:t xml:space="preserve">    </w:t>
      </w:r>
    </w:p>
    <w:p w14:paraId="0B4CB405" w14:textId="77777777" w:rsidR="00E75D8B" w:rsidRDefault="00000000">
      <w:pPr>
        <w:tabs>
          <w:tab w:val="left" w:pos="5245"/>
        </w:tabs>
      </w:pPr>
      <w:r>
        <w:rPr>
          <w:rFonts w:hint="eastAsia"/>
        </w:rPr>
        <w:t xml:space="preserve"> </w:t>
      </w:r>
    </w:p>
    <w:p w14:paraId="18A2CFE1" w14:textId="77777777" w:rsidR="00E75D8B" w:rsidRDefault="00E75D8B">
      <w:pPr>
        <w:tabs>
          <w:tab w:val="left" w:pos="5245"/>
        </w:tabs>
      </w:pPr>
    </w:p>
    <w:p w14:paraId="390D96B9" w14:textId="77777777" w:rsidR="00E75D8B" w:rsidRDefault="00E75D8B">
      <w:pPr>
        <w:tabs>
          <w:tab w:val="left" w:pos="5245"/>
        </w:tabs>
      </w:pPr>
    </w:p>
    <w:p w14:paraId="595C0295" w14:textId="77777777" w:rsidR="00E75D8B" w:rsidRDefault="00E75D8B">
      <w:pPr>
        <w:tabs>
          <w:tab w:val="left" w:pos="5245"/>
        </w:tabs>
      </w:pPr>
    </w:p>
    <w:p w14:paraId="39DC03FE" w14:textId="77777777" w:rsidR="00E75D8B" w:rsidRDefault="00E75D8B">
      <w:pPr>
        <w:tabs>
          <w:tab w:val="left" w:pos="5245"/>
        </w:tabs>
      </w:pPr>
    </w:p>
    <w:p w14:paraId="4891F666" w14:textId="77777777" w:rsidR="00E75D8B" w:rsidRDefault="00E75D8B">
      <w:pPr>
        <w:tabs>
          <w:tab w:val="left" w:pos="5245"/>
        </w:tabs>
      </w:pPr>
    </w:p>
    <w:p w14:paraId="22A679B4" w14:textId="77777777" w:rsidR="00E75D8B" w:rsidRDefault="00E75D8B">
      <w:pPr>
        <w:tabs>
          <w:tab w:val="left" w:pos="5245"/>
        </w:tabs>
      </w:pPr>
    </w:p>
    <w:p w14:paraId="6797AF47" w14:textId="77777777" w:rsidR="00E75D8B" w:rsidRDefault="00E75D8B">
      <w:pPr>
        <w:tabs>
          <w:tab w:val="left" w:pos="5245"/>
        </w:tabs>
      </w:pPr>
    </w:p>
    <w:p w14:paraId="412C1C2C" w14:textId="77777777" w:rsidR="00E75D8B" w:rsidRDefault="00E75D8B">
      <w:pPr>
        <w:tabs>
          <w:tab w:val="left" w:pos="5245"/>
        </w:tabs>
      </w:pPr>
    </w:p>
    <w:p w14:paraId="5441949B" w14:textId="77777777" w:rsidR="00E75D8B" w:rsidRDefault="00E75D8B">
      <w:pPr>
        <w:tabs>
          <w:tab w:val="left" w:pos="5245"/>
        </w:tabs>
      </w:pPr>
    </w:p>
    <w:p w14:paraId="72EEE93A" w14:textId="77777777" w:rsidR="00E75D8B" w:rsidRDefault="00E75D8B">
      <w:pPr>
        <w:tabs>
          <w:tab w:val="left" w:pos="5245"/>
        </w:tabs>
      </w:pPr>
    </w:p>
    <w:p w14:paraId="52765DFD" w14:textId="77777777" w:rsidR="00E75D8B" w:rsidRDefault="00E75D8B">
      <w:pPr>
        <w:tabs>
          <w:tab w:val="left" w:pos="5245"/>
        </w:tabs>
      </w:pPr>
    </w:p>
    <w:p w14:paraId="22009FEF" w14:textId="77777777" w:rsidR="00E75D8B" w:rsidRDefault="00E75D8B">
      <w:pPr>
        <w:tabs>
          <w:tab w:val="left" w:pos="5245"/>
        </w:tabs>
      </w:pPr>
    </w:p>
    <w:p w14:paraId="0D045251" w14:textId="77777777" w:rsidR="00E75D8B" w:rsidRDefault="00E75D8B">
      <w:pPr>
        <w:tabs>
          <w:tab w:val="left" w:pos="5245"/>
        </w:tabs>
      </w:pPr>
    </w:p>
    <w:p w14:paraId="79D6B3A1" w14:textId="77777777" w:rsidR="00E75D8B" w:rsidRDefault="00E75D8B">
      <w:pPr>
        <w:tabs>
          <w:tab w:val="left" w:pos="5245"/>
        </w:tabs>
      </w:pPr>
    </w:p>
    <w:p w14:paraId="3CB62F42" w14:textId="77777777" w:rsidR="00E75D8B" w:rsidRDefault="00000000">
      <w:pPr>
        <w:tabs>
          <w:tab w:val="left" w:pos="5245"/>
        </w:tabs>
      </w:pPr>
      <w:r>
        <w:rPr>
          <w:noProof/>
        </w:rPr>
        <mc:AlternateContent>
          <mc:Choice Requires="wps">
            <w:drawing>
              <wp:anchor distT="0" distB="0" distL="114300" distR="114300" simplePos="0" relativeHeight="251657216" behindDoc="0" locked="0" layoutInCell="1" allowOverlap="1" wp14:anchorId="4C52BD25" wp14:editId="1D2F1C5F">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w14:anchorId="36661B69" id="Straight Connector 5" o:spid="_x0000_s1026" type="#_x0000_t32" style="position:absolute;left:0;text-align:left;margin-left:-67.5pt;margin-top:9.45pt;width:168.75pt;height:.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ycuAEAAG8DAAAOAAAAZHJzL2Uyb0RvYy54bWysU8uuEzEM3SPxD1H2dDp9XF2qTu+iw2WD&#10;4ErAB7h5zETKS3HotH+Pk5aWxwYhNp7Ejo/t4zPbp5Oz7KgSmuA73s7mnCkvgjR+6PjXL89vHjnD&#10;DF6CDV51/KyQP+1ev9pOcaMWYQxWqsQIxONmih0fc46bpkExKgc4C1F5CuqQHGS6pqGRCSZCd7ZZ&#10;zOcPzRSSjCkIhUje/hLku4qvtRL5k9aoMrMdp95ytanaQ7HNbgubIUEcjbi2Af/QhQPjqegNqocM&#10;7Fsyf0A5I1LAoPNMBNcErY1QdQaapp3/Ns3nEaKqsxA5GG804f+DFR+Pe/+SiIYp4gbjSypTnHRy&#10;5Uv9sVMl63wjS50yE+RctKtlu1hzJij2sFwXKpt7akyY36vgWDl0HHMCM4x5H7ynpYTUVrrg+AHz&#10;JfFHQqlrPZs6vly9rfhAutAWMpVyURKWH2oyBmvks7G2pGAaDnub2BFo0+vVY9+vrh398qxU6QHH&#10;y7saumhgVCDfecnyOZJMPYmVlx6ckpxZRdoup6qWDMb+zUsiw3ri5E5sOR2CPFe+q5+2Wlm7KrDI&#10;5ud7zb7/J7vvAAAA//8DAFBLAwQUAAYACAAAACEA55/snt8AAAAKAQAADwAAAGRycy9kb3ducmV2&#10;LnhtbEyPzU7DMBCE70i8g7VI3Fq7QanaEKcCJE4Vh6Q5wM2NlyTCP1HsNubtWU5w3J3RzDflIVnD&#10;rjiH0TsJm7UAhq7zenS9hPb0utoBC1E5rYx3KOEbAxyq25tSFdovrsZrE3tGIS4USsIQ41RwHroB&#10;rQprP6Ej7dPPVkU6557rWS0Ubg3PhNhyq0ZHDYOa8GXA7qu5WOpNH+b4trzrJkv6edtmdZsfaynv&#10;79LTI7CIKf6Z4Ref0KEiprO/OB2YkbDaPOQ0JpKy2wMjRyayHNiZHnsBvCr5/wnVDwAAAP//AwBQ&#10;SwECLQAUAAYACAAAACEAtoM4kv4AAADhAQAAEwAAAAAAAAAAAAAAAAAAAAAAW0NvbnRlbnRfVHlw&#10;ZXNdLnhtbFBLAQItABQABgAIAAAAIQA4/SH/1gAAAJQBAAALAAAAAAAAAAAAAAAAAC8BAABfcmVs&#10;cy8ucmVsc1BLAQItABQABgAIAAAAIQBE0OycuAEAAG8DAAAOAAAAAAAAAAAAAAAAAC4CAABkcnMv&#10;ZTJvRG9jLnhtbFBLAQItABQABgAIAAAAIQDnn+ye3wAAAAoBAAAPAAAAAAAAAAAAAAAAABIEAABk&#10;cnMvZG93bnJldi54bWxQSwUGAAAAAAQABADzAAAAHgUAAAAA&#10;" strokecolor="#548dd4" strokeweight="2.75pt"/>
            </w:pict>
          </mc:Fallback>
        </mc:AlternateContent>
      </w:r>
    </w:p>
    <w:p w14:paraId="343FD5E9" w14:textId="77777777" w:rsidR="00E75D8B" w:rsidRDefault="00E75D8B">
      <w:pPr>
        <w:tabs>
          <w:tab w:val="left" w:pos="5245"/>
        </w:tabs>
      </w:pPr>
    </w:p>
    <w:p w14:paraId="0FFE2ACF" w14:textId="77777777" w:rsidR="00E75D8B" w:rsidRDefault="00E75D8B">
      <w:pPr>
        <w:tabs>
          <w:tab w:val="left" w:pos="5245"/>
        </w:tabs>
      </w:pPr>
    </w:p>
    <w:p w14:paraId="24BCEE8A" w14:textId="77777777" w:rsidR="00E75D8B" w:rsidRDefault="00E75D8B">
      <w:pPr>
        <w:tabs>
          <w:tab w:val="left" w:pos="5245"/>
        </w:tabs>
      </w:pPr>
    </w:p>
    <w:p w14:paraId="7F17E577" w14:textId="77777777" w:rsidR="00E75D8B" w:rsidRDefault="00000000">
      <w:pPr>
        <w:tabs>
          <w:tab w:val="left" w:pos="5245"/>
        </w:tabs>
      </w:pPr>
      <w:r>
        <w:rPr>
          <w:noProof/>
        </w:rPr>
        <mc:AlternateContent>
          <mc:Choice Requires="wps">
            <w:drawing>
              <wp:anchor distT="0" distB="0" distL="114300" distR="114300" simplePos="0" relativeHeight="251658240" behindDoc="0" locked="0" layoutInCell="1" allowOverlap="1" wp14:anchorId="33601984" wp14:editId="08BFAEDA">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14:paraId="4CB0C78C" w14:textId="77777777" w:rsidR="00E75D8B" w:rsidRDefault="00000000">
                            <w:pPr>
                              <w:jc w:val="center"/>
                              <w:rPr>
                                <w:sz w:val="44"/>
                                <w:szCs w:val="44"/>
                              </w:rPr>
                            </w:pPr>
                            <w:r>
                              <w:rPr>
                                <w:rFonts w:hint="eastAsia"/>
                                <w:sz w:val="44"/>
                                <w:szCs w:val="44"/>
                              </w:rPr>
                              <w:t>2022.10.27</w:t>
                            </w:r>
                          </w:p>
                        </w:txbxContent>
                      </wps:txbx>
                      <wps:bodyPr upright="1"/>
                    </wps:wsp>
                  </a:graphicData>
                </a:graphic>
              </wp:anchor>
            </w:drawing>
          </mc:Choice>
          <mc:Fallback>
            <w:pict>
              <v:shape w14:anchorId="33601984" id="文本框 12" o:spid="_x0000_s1029" type="#_x0000_t202" style="position:absolute;left:0;text-align:left;margin-left:-53.1pt;margin-top:10.65pt;width:140.25pt;height:6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eHewEAAOsCAAAOAAAAZHJzL2Uyb0RvYy54bWysUstuwyAQvFfqPyDujZ1UeciKE6mK0kvV&#10;Vkr7AQRDjAQsAhI7f9+F5tHHreoFA8vO7Mx4vuyNJgfhgwJb0+GgpERYDo2yu5q+v63vZpSEyGzD&#10;NFhR06MIdLm4vZl3rhIjaEE3whMEsaHqXE3bGF1VFIG3wrAwACcsFiV4wyIe/a5oPOsQ3ehiVJaT&#10;ogPfOA9chIC3q88iXWR8KQWPL1IGEYmuKc4W8+rzuk1rsZizaueZaxU/jcH+MIVhyiLpBWrFIiN7&#10;r35BGcU9BJBxwMEUIKXiImtANcPyh5pNy5zIWtCc4C42hf+D5c+HjXv1JPYP0GOAyZDOhSrgZdLT&#10;S2/SFyclWEcLjxfbRB8JT03T2XA4HVPCsTadYCzZ1+La7XyIjwIMSZuaeowlu8UOTyEiIz49P0lk&#10;FtZK6xyNtqRDhvEM8b+VsEVb7LwOm3ax3/ZENTW9PwvZQnNEfXvn1a5F7qwwd6GjmfmUfors6zlj&#10;X//RxQcAAAD//wMAUEsDBBQABgAIAAAAIQBpT1xf4wAAAAsBAAAPAAAAZHJzL2Rvd25yZXYueG1s&#10;TI/NTsMwEITvSLyDtUhcUGsnRKUKcSpE1QOCCtFWwNGNlyQitqPY+SlPz/YEt9md0ey32WoyDRuw&#10;87WzEqK5AIa2cLq2pYTDfjNbAvNBWa0aZ1HCCT2s8suLTKXajfYNh10oGZVYnyoJVQhtyrkvKjTK&#10;z12Llrwv1xkVaOxKrjs1UrlpeCzEghtVW7pQqRYfKyy+d72RMGxF8v5SfJz6m83682n5uvbP44+U&#10;11fTwz2wgFP4C8MZn9AhJ6aj6632rJEwi8QipqyEOLoFdk7cJSSOJBLa8Dzj/3/IfwEAAP//AwBQ&#10;SwECLQAUAAYACAAAACEAtoM4kv4AAADhAQAAEwAAAAAAAAAAAAAAAAAAAAAAW0NvbnRlbnRfVHlw&#10;ZXNdLnhtbFBLAQItABQABgAIAAAAIQA4/SH/1gAAAJQBAAALAAAAAAAAAAAAAAAAAC8BAABfcmVs&#10;cy8ucmVsc1BLAQItABQABgAIAAAAIQBrXBeHewEAAOsCAAAOAAAAAAAAAAAAAAAAAC4CAABkcnMv&#10;ZTJvRG9jLnhtbFBLAQItABQABgAIAAAAIQBpT1xf4wAAAAsBAAAPAAAAAAAAAAAAAAAAANUDAABk&#10;cnMvZG93bnJldi54bWxQSwUGAAAAAAQABADzAAAA5QQAAAAA&#10;" filled="f" stroked="f" strokeweight="1.25pt">
                <v:textbox>
                  <w:txbxContent>
                    <w:p w14:paraId="4CB0C78C" w14:textId="77777777" w:rsidR="00E75D8B" w:rsidRDefault="00000000">
                      <w:pPr>
                        <w:jc w:val="center"/>
                        <w:rPr>
                          <w:sz w:val="44"/>
                          <w:szCs w:val="44"/>
                        </w:rPr>
                      </w:pPr>
                      <w:r>
                        <w:rPr>
                          <w:rFonts w:hint="eastAsia"/>
                          <w:sz w:val="44"/>
                          <w:szCs w:val="44"/>
                        </w:rPr>
                        <w:t>2022.10.27</w:t>
                      </w:r>
                    </w:p>
                  </w:txbxContent>
                </v:textbox>
              </v:shape>
            </w:pict>
          </mc:Fallback>
        </mc:AlternateContent>
      </w:r>
    </w:p>
    <w:p w14:paraId="52CB156B" w14:textId="77777777" w:rsidR="00E75D8B" w:rsidRDefault="00E75D8B">
      <w:pPr>
        <w:tabs>
          <w:tab w:val="left" w:pos="5245"/>
        </w:tabs>
      </w:pPr>
    </w:p>
    <w:p w14:paraId="54018834" w14:textId="77777777" w:rsidR="00E75D8B" w:rsidRDefault="00E75D8B">
      <w:pPr>
        <w:tabs>
          <w:tab w:val="left" w:pos="5245"/>
        </w:tabs>
      </w:pPr>
    </w:p>
    <w:p w14:paraId="59D32707" w14:textId="77777777" w:rsidR="00E75D8B" w:rsidRDefault="00E75D8B">
      <w:pPr>
        <w:tabs>
          <w:tab w:val="left" w:pos="5245"/>
        </w:tabs>
      </w:pPr>
    </w:p>
    <w:p w14:paraId="148D2637" w14:textId="77777777" w:rsidR="00E75D8B" w:rsidRDefault="00E75D8B">
      <w:pPr>
        <w:tabs>
          <w:tab w:val="left" w:pos="5245"/>
        </w:tabs>
      </w:pPr>
    </w:p>
    <w:p w14:paraId="05FFCA53" w14:textId="77777777" w:rsidR="00E75D8B" w:rsidRDefault="00E75D8B">
      <w:pPr>
        <w:tabs>
          <w:tab w:val="left" w:pos="5245"/>
        </w:tabs>
      </w:pPr>
    </w:p>
    <w:p w14:paraId="41018A6C" w14:textId="77777777" w:rsidR="00E75D8B" w:rsidRDefault="00E75D8B">
      <w:pPr>
        <w:tabs>
          <w:tab w:val="left" w:pos="5245"/>
        </w:tabs>
      </w:pPr>
    </w:p>
    <w:p w14:paraId="73283AE1" w14:textId="77777777" w:rsidR="00E75D8B" w:rsidRDefault="00E75D8B">
      <w:pPr>
        <w:tabs>
          <w:tab w:val="left" w:pos="5245"/>
        </w:tabs>
      </w:pPr>
    </w:p>
    <w:p w14:paraId="6967CE49" w14:textId="77777777" w:rsidR="00E75D8B" w:rsidRDefault="00000000">
      <w:pPr>
        <w:tabs>
          <w:tab w:val="left" w:pos="5245"/>
        </w:tabs>
      </w:pPr>
      <w:r>
        <w:rPr>
          <w:noProof/>
        </w:rPr>
        <mc:AlternateContent>
          <mc:Choice Requires="wps">
            <w:drawing>
              <wp:anchor distT="0" distB="0" distL="114300" distR="114300" simplePos="0" relativeHeight="251659264" behindDoc="0" locked="0" layoutInCell="1" allowOverlap="1" wp14:anchorId="3CA3A921" wp14:editId="6D9C18D9">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14:paraId="2D845FF8" w14:textId="77777777" w:rsidR="00E75D8B" w:rsidRDefault="00E75D8B"/>
                          <w:p w14:paraId="4A627074" w14:textId="77777777" w:rsidR="00E75D8B" w:rsidRDefault="00E75D8B"/>
                          <w:p w14:paraId="3D80F74B" w14:textId="77777777" w:rsidR="00E75D8B" w:rsidRDefault="00E75D8B"/>
                          <w:p w14:paraId="179BDA54" w14:textId="77777777" w:rsidR="00E75D8B" w:rsidRDefault="00000000">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r>
                              <w:rPr>
                                <w:rFonts w:hint="eastAsia"/>
                                <w:b/>
                                <w:sz w:val="32"/>
                                <w:szCs w:val="32"/>
                              </w:rPr>
                              <w:t>杨亚南</w:t>
                            </w:r>
                            <w:r>
                              <w:rPr>
                                <w:rFonts w:hint="eastAsia"/>
                                <w:b/>
                                <w:sz w:val="32"/>
                                <w:szCs w:val="32"/>
                              </w:rPr>
                              <w:t xml:space="preserve">  </w:t>
                            </w:r>
                            <w:r>
                              <w:rPr>
                                <w:rFonts w:hint="eastAsia"/>
                                <w:b/>
                                <w:sz w:val="32"/>
                                <w:szCs w:val="32"/>
                              </w:rPr>
                              <w:t>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w14:anchorId="3CA3A921" id="文本框 13" o:spid="_x0000_s1030" type="#_x0000_t202" style="position:absolute;left:0;text-align:left;margin-left:-46.2pt;margin-top:12pt;width:133.5pt;height:20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v9fAEAAOwCAAAOAAAAZHJzL2Uyb0RvYy54bWysUtFOwyAUfTfxHwjvrrVZpzbrTMwyX4ya&#10;qB/AKLQkwCXA1u7vvaBuRt+MLxQ43HPPObfL28loshc+KLAtvZyVlAjLoVO2b+nb6+bimpIQme2Y&#10;BitaehCB3q7Oz5aja0QFA+hOeIIkNjSja+kQo2uKIvBBGBZm4IRFUII3LOLR90Xn2YjsRhdVWS6K&#10;EXznPHARAt6uP0C6yvxSCh6fpAwiEt1S1Bbz6vO6TWuxWrKm98wNin/KYH9QYZiy2PRItWaRkZ1X&#10;v6iM4h4CyDjjYAqQUnGRPaCby/KHm5eBOZG9YDjBHWMK/0fLH/cv7tmTON3BhANMgYwuNAEvk59J&#10;epO+qJQgjhEejrGJKRKeihY39bxGiCNW1YuqqurEU5zKnQ/xXoAhadNSj3PJcbH9Q4gfT7+epG4W&#10;NkrrPBttyYgt6uurOlccIWTXFpuc1KZdnLYTUV1L519OttAd0ODOedUP2DtbzFUYaRb5Of40s+/n&#10;zH36SVfvAAAA//8DAFBLAwQUAAYACAAAACEAELvnXeMAAAAKAQAADwAAAGRycy9kb3ducmV2Lnht&#10;bEyPTUvDQBCG74L/YRnBi7QbQ2xrzKSIpQdREauox212TILZ2ZDdfNRf7/akx2Ee3vd5s/VkGjFQ&#10;52rLCJfzCARxYXXNJcLb63a2AuG8Yq0ay4RwIAfr/PQkU6m2I7/QsPOlCCHsUoVQed+mUrqiIqPc&#10;3LbE4fdlO6N8OLtS6k6NIdw0Mo6ihTSq5tBQqZbuKiq+d71BGJ6i5P2x+Dj0F9vN5/3qeeMexh/E&#10;87Pp9gaEp8n/wXDUD+qQB6e97Vk70SDMruMkoAhxEjYdgWWyALFHSOLlFcg8k/8n5L8AAAD//wMA&#10;UEsBAi0AFAAGAAgAAAAhALaDOJL+AAAA4QEAABMAAAAAAAAAAAAAAAAAAAAAAFtDb250ZW50X1R5&#10;cGVzXS54bWxQSwECLQAUAAYACAAAACEAOP0h/9YAAACUAQAACwAAAAAAAAAAAAAAAAAvAQAAX3Jl&#10;bHMvLnJlbHNQSwECLQAUAAYACAAAACEA6Sb7/XwBAADsAgAADgAAAAAAAAAAAAAAAAAuAgAAZHJz&#10;L2Uyb0RvYy54bWxQSwECLQAUAAYACAAAACEAELvnXeMAAAAKAQAADwAAAAAAAAAAAAAAAADWAwAA&#10;ZHJzL2Rvd25yZXYueG1sUEsFBgAAAAAEAAQA8wAAAOYEAAAAAA==&#10;" filled="f" stroked="f" strokeweight="1.25pt">
                <v:textbox>
                  <w:txbxContent>
                    <w:p w14:paraId="2D845FF8" w14:textId="77777777" w:rsidR="00E75D8B" w:rsidRDefault="00E75D8B"/>
                    <w:p w14:paraId="4A627074" w14:textId="77777777" w:rsidR="00E75D8B" w:rsidRDefault="00E75D8B"/>
                    <w:p w14:paraId="3D80F74B" w14:textId="77777777" w:rsidR="00E75D8B" w:rsidRDefault="00E75D8B"/>
                    <w:p w14:paraId="179BDA54" w14:textId="77777777" w:rsidR="00E75D8B" w:rsidRDefault="00000000">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r>
                        <w:rPr>
                          <w:rFonts w:hint="eastAsia"/>
                          <w:b/>
                          <w:sz w:val="32"/>
                          <w:szCs w:val="32"/>
                        </w:rPr>
                        <w:t>杨亚南</w:t>
                      </w:r>
                      <w:r>
                        <w:rPr>
                          <w:rFonts w:hint="eastAsia"/>
                          <w:b/>
                          <w:sz w:val="32"/>
                          <w:szCs w:val="32"/>
                        </w:rPr>
                        <w:t xml:space="preserve">  </w:t>
                      </w:r>
                      <w:r>
                        <w:rPr>
                          <w:rFonts w:hint="eastAsia"/>
                          <w:b/>
                          <w:sz w:val="32"/>
                          <w:szCs w:val="32"/>
                        </w:rPr>
                        <w:t>责任编</w:t>
                      </w:r>
                      <w:r>
                        <w:rPr>
                          <w:rFonts w:hint="eastAsia"/>
                          <w:b/>
                          <w:spacing w:val="22"/>
                          <w:sz w:val="32"/>
                          <w:szCs w:val="32"/>
                        </w:rPr>
                        <w:t>辑彭</w:t>
                      </w:r>
                      <w:r>
                        <w:rPr>
                          <w:rFonts w:hint="eastAsia"/>
                          <w:b/>
                          <w:sz w:val="32"/>
                          <w:szCs w:val="32"/>
                        </w:rPr>
                        <w:t>宇飞</w:t>
                      </w:r>
                    </w:p>
                  </w:txbxContent>
                </v:textbox>
              </v:shape>
            </w:pict>
          </mc:Fallback>
        </mc:AlternateContent>
      </w:r>
    </w:p>
    <w:p w14:paraId="4E61ACCC" w14:textId="77777777" w:rsidR="00E75D8B" w:rsidRDefault="00E75D8B">
      <w:pPr>
        <w:tabs>
          <w:tab w:val="left" w:pos="5245"/>
        </w:tabs>
      </w:pPr>
    </w:p>
    <w:p w14:paraId="142EE5A1" w14:textId="77777777" w:rsidR="00E75D8B" w:rsidRDefault="00E75D8B">
      <w:pPr>
        <w:tabs>
          <w:tab w:val="left" w:pos="5245"/>
        </w:tabs>
      </w:pPr>
    </w:p>
    <w:p w14:paraId="662C0AF5" w14:textId="77777777" w:rsidR="00E75D8B" w:rsidRDefault="00E75D8B">
      <w:pPr>
        <w:tabs>
          <w:tab w:val="left" w:pos="5245"/>
        </w:tabs>
      </w:pPr>
    </w:p>
    <w:p w14:paraId="42AD3F0E" w14:textId="77777777" w:rsidR="00E75D8B" w:rsidRDefault="00E75D8B">
      <w:pPr>
        <w:tabs>
          <w:tab w:val="left" w:pos="5245"/>
        </w:tabs>
      </w:pPr>
    </w:p>
    <w:p w14:paraId="0B58E510" w14:textId="77777777" w:rsidR="00E75D8B" w:rsidRDefault="00E75D8B">
      <w:pPr>
        <w:tabs>
          <w:tab w:val="left" w:pos="5245"/>
        </w:tabs>
      </w:pPr>
    </w:p>
    <w:p w14:paraId="6C585CA5" w14:textId="77777777" w:rsidR="00E75D8B" w:rsidRDefault="00E75D8B">
      <w:pPr>
        <w:tabs>
          <w:tab w:val="left" w:pos="5245"/>
        </w:tabs>
      </w:pPr>
    </w:p>
    <w:p w14:paraId="14E70ADF" w14:textId="77777777" w:rsidR="00E75D8B" w:rsidRDefault="00E75D8B">
      <w:pPr>
        <w:tabs>
          <w:tab w:val="left" w:pos="5245"/>
        </w:tabs>
      </w:pPr>
    </w:p>
    <w:p w14:paraId="7E98DA42" w14:textId="77777777" w:rsidR="00E75D8B" w:rsidRDefault="00E75D8B">
      <w:pPr>
        <w:tabs>
          <w:tab w:val="left" w:pos="5245"/>
        </w:tabs>
      </w:pPr>
    </w:p>
    <w:p w14:paraId="48FA2098" w14:textId="77777777" w:rsidR="00E75D8B" w:rsidRDefault="00E75D8B">
      <w:pPr>
        <w:tabs>
          <w:tab w:val="left" w:pos="5245"/>
        </w:tabs>
      </w:pPr>
    </w:p>
    <w:p w14:paraId="3EC1428F" w14:textId="77777777" w:rsidR="00E75D8B" w:rsidRDefault="00E75D8B">
      <w:pPr>
        <w:tabs>
          <w:tab w:val="left" w:pos="5245"/>
        </w:tabs>
      </w:pPr>
    </w:p>
    <w:p w14:paraId="17232B8A" w14:textId="77777777" w:rsidR="00E75D8B" w:rsidRDefault="00E75D8B">
      <w:pPr>
        <w:tabs>
          <w:tab w:val="left" w:pos="5245"/>
        </w:tabs>
      </w:pPr>
    </w:p>
    <w:p w14:paraId="3B49FA77" w14:textId="77777777" w:rsidR="00E75D8B" w:rsidRDefault="00000000">
      <w:pPr>
        <w:tabs>
          <w:tab w:val="left" w:pos="5245"/>
        </w:tabs>
      </w:pPr>
      <w:r>
        <w:rPr>
          <w:noProof/>
        </w:rPr>
        <mc:AlternateContent>
          <mc:Choice Requires="wps">
            <w:drawing>
              <wp:anchor distT="0" distB="0" distL="114300" distR="114300" simplePos="0" relativeHeight="251655168" behindDoc="0" locked="0" layoutInCell="1" allowOverlap="1" wp14:anchorId="18723013" wp14:editId="6FAB0A76">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w14:anchorId="6D909989" id="Straight Connector 4" o:spid="_x0000_s1026" type="#_x0000_t32" style="position:absolute;left:0;text-align:left;margin-left:-67.5pt;margin-top:38.5pt;width:534pt;height:.0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qIuAEAAG8DAAAOAAAAZHJzL2Uyb0RvYy54bWysU8uu0zAQ3SPxD5b3NMl9lChqehcNlw2C&#10;KwEfMLWdxJJf8pim/XvGbml5bBBiM7FnPGdmzpxsno7WsIOKqL3rebOqOVNOeKnd1POvX57ftJxh&#10;AifBeKd6flLIn7avX22W0Kk7P3sjVWQE4rBbQs/nlEJXVShmZQFXPihHwdFHC4mucapkhIXQranu&#10;6npdLT7KEL1QiOQdzkG+LfjjqET6NI6oEjM9p95SsbHYfbbVdgPdFCHMWlzagH/owoJ2VPQKNUAC&#10;9i3qP6CsFtGjH9NKeFv5cdRClRlomqb+bZrPMwRVZiFyMFxpwv8HKz4edu4lEg1LwA7DS8xTHMdo&#10;85f6Y8dC1ulKljomJsi5fts2bU2cCoqt7x8zldUtNURM75W3LB96jimCnua0887RUnxsCl1w+IDp&#10;nPgjIdc1ji09v2+bgg+ki9FAolI2SMJyU0lGb7R81sbkFIzTfmciOwBt+vGhHYaHS0e/PMtVBsD5&#10;/K6EzhqYFch3TrJ0CiRTR2LluQerJGdGkbbzqaglgTZ/85LIMI44uRGbT3svT4Xv4qetFtYuCsyy&#10;+flesm//yfY7AAAA//8DAFBLAwQUAAYACAAAACEA0AzVEN4AAAAKAQAADwAAAGRycy9kb3ducmV2&#10;LnhtbEyPzU7DMBCE70i8g7VI3FonRKE0xKkAiStSG5A4OrEbm8brELtN4Om7PcFp/0az35Sb2fXs&#10;pMdgPQpIlwkwja1XFjsB7/Xr4gFYiBKV7D1qAT86wKa6viplofyEW33axY6RCYZCCjAxDgXnoTXa&#10;ybD0g0a67f3oZKRx7Lga5UTmrud3SXLPnbRIH4wc9IvR7WF3dAI6a3L+Va+/988f01uT29p+Hn6F&#10;uL2Znx6BRT3HPzFc8AkdKmJq/BFVYL2ARZrlFCYKWK2okmKdZdQ0l0UKvCr5/wjVGQAA//8DAFBL&#10;AQItABQABgAIAAAAIQC2gziS/gAAAOEBAAATAAAAAAAAAAAAAAAAAAAAAABbQ29udGVudF9UeXBl&#10;c10ueG1sUEsBAi0AFAAGAAgAAAAhADj9If/WAAAAlAEAAAsAAAAAAAAAAAAAAAAALwEAAF9yZWxz&#10;Ly5yZWxzUEsBAi0AFAAGAAgAAAAhAOhDuoi4AQAAbwMAAA4AAAAAAAAAAAAAAAAALgIAAGRycy9l&#10;Mm9Eb2MueG1sUEsBAi0AFAAGAAgAAAAhANAM1RDeAAAACgEAAA8AAAAAAAAAAAAAAAAAEgQAAGRy&#10;cy9kb3ducmV2LnhtbFBLBQYAAAAABAAEAPMAAAAdBQAAAAA=&#10;" strokecolor="#548dd4" strokeweight="3pt"/>
            </w:pict>
          </mc:Fallback>
        </mc:AlternateContent>
      </w:r>
      <w:r>
        <w:rPr>
          <w:rFonts w:hint="eastAsia"/>
        </w:rPr>
        <w:t xml:space="preserve">                               </w:t>
      </w:r>
    </w:p>
    <w:tbl>
      <w:tblPr>
        <w:tblStyle w:val="ac"/>
        <w:tblW w:w="9073" w:type="dxa"/>
        <w:tblInd w:w="-176" w:type="dxa"/>
        <w:tblLayout w:type="fixed"/>
        <w:tblLook w:val="04A0" w:firstRow="1" w:lastRow="0" w:firstColumn="1" w:lastColumn="0" w:noHBand="0" w:noVBand="1"/>
      </w:tblPr>
      <w:tblGrid>
        <w:gridCol w:w="2127"/>
        <w:gridCol w:w="69"/>
        <w:gridCol w:w="2199"/>
        <w:gridCol w:w="142"/>
        <w:gridCol w:w="1417"/>
        <w:gridCol w:w="426"/>
        <w:gridCol w:w="206"/>
        <w:gridCol w:w="2487"/>
      </w:tblGrid>
      <w:tr w:rsidR="00E75D8B" w14:paraId="113B6E06" w14:textId="77777777">
        <w:trPr>
          <w:trHeight w:val="1124"/>
        </w:trPr>
        <w:tc>
          <w:tcPr>
            <w:tcW w:w="2196" w:type="dxa"/>
            <w:gridSpan w:val="2"/>
            <w:vAlign w:val="center"/>
          </w:tcPr>
          <w:p w14:paraId="201A7CF3" w14:textId="77777777" w:rsidR="00E75D8B"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01</w:t>
            </w:r>
          </w:p>
        </w:tc>
        <w:tc>
          <w:tcPr>
            <w:tcW w:w="6877" w:type="dxa"/>
            <w:gridSpan w:val="6"/>
            <w:vAlign w:val="center"/>
          </w:tcPr>
          <w:p w14:paraId="33384853" w14:textId="77777777" w:rsidR="00E75D8B" w:rsidRDefault="00000000">
            <w:pPr>
              <w:rPr>
                <w:b/>
                <w:sz w:val="32"/>
                <w:szCs w:val="32"/>
              </w:rPr>
            </w:pPr>
            <w:r>
              <w:rPr>
                <w:rFonts w:hint="eastAsia"/>
                <w:b/>
                <w:sz w:val="32"/>
                <w:szCs w:val="32"/>
              </w:rPr>
              <w:t>二十大报告（医药健康）</w:t>
            </w:r>
            <w:r>
              <w:rPr>
                <w:rFonts w:hint="eastAsia"/>
                <w:b/>
                <w:sz w:val="32"/>
                <w:szCs w:val="32"/>
              </w:rPr>
              <w:t xml:space="preserve">| </w:t>
            </w:r>
            <w:r>
              <w:rPr>
                <w:rFonts w:hint="eastAsia"/>
                <w:b/>
                <w:sz w:val="32"/>
                <w:szCs w:val="32"/>
              </w:rPr>
              <w:t>解读合集</w:t>
            </w:r>
          </w:p>
        </w:tc>
      </w:tr>
      <w:tr w:rsidR="00E75D8B" w14:paraId="74960AFB" w14:textId="77777777">
        <w:trPr>
          <w:trHeight w:val="717"/>
        </w:trPr>
        <w:tc>
          <w:tcPr>
            <w:tcW w:w="2196" w:type="dxa"/>
            <w:gridSpan w:val="2"/>
            <w:vAlign w:val="center"/>
          </w:tcPr>
          <w:p w14:paraId="2FF895CD" w14:textId="77777777" w:rsidR="00E75D8B" w:rsidRDefault="00000000">
            <w:pPr>
              <w:tabs>
                <w:tab w:val="left" w:pos="7088"/>
              </w:tabs>
              <w:jc w:val="center"/>
            </w:pPr>
            <w:r>
              <w:rPr>
                <w:rFonts w:hint="eastAsia"/>
                <w:b/>
                <w:sz w:val="30"/>
                <w:szCs w:val="30"/>
              </w:rPr>
              <w:t>发布</w:t>
            </w:r>
            <w:r>
              <w:rPr>
                <w:b/>
                <w:sz w:val="30"/>
                <w:szCs w:val="30"/>
              </w:rPr>
              <w:t>时间</w:t>
            </w:r>
          </w:p>
        </w:tc>
        <w:tc>
          <w:tcPr>
            <w:tcW w:w="2341" w:type="dxa"/>
            <w:gridSpan w:val="2"/>
            <w:vAlign w:val="center"/>
          </w:tcPr>
          <w:p w14:paraId="6E97A719" w14:textId="77777777" w:rsidR="00E75D8B" w:rsidRDefault="00000000">
            <w:pPr>
              <w:tabs>
                <w:tab w:val="left" w:pos="7088"/>
              </w:tabs>
              <w:jc w:val="center"/>
              <w:rPr>
                <w:rFonts w:asciiTheme="minorEastAsia" w:eastAsiaTheme="minorEastAsia" w:hAnsiTheme="minorEastAsia"/>
                <w:sz w:val="28"/>
                <w:szCs w:val="28"/>
              </w:rPr>
            </w:pPr>
            <w:r>
              <w:rPr>
                <w:rFonts w:asciiTheme="minorEastAsia" w:eastAsiaTheme="minorEastAsia" w:hAnsiTheme="minorEastAsia"/>
                <w:sz w:val="28"/>
                <w:szCs w:val="28"/>
              </w:rPr>
              <w:t>202</w:t>
            </w:r>
            <w:r>
              <w:rPr>
                <w:rFonts w:asciiTheme="minorEastAsia" w:eastAsiaTheme="minorEastAsia" w:hAnsiTheme="minorEastAsia" w:hint="eastAsia"/>
                <w:sz w:val="28"/>
                <w:szCs w:val="28"/>
              </w:rPr>
              <w:t>2</w:t>
            </w:r>
            <w:r>
              <w:rPr>
                <w:rFonts w:asciiTheme="minorEastAsia" w:eastAsiaTheme="minorEastAsia" w:hAnsiTheme="minorEastAsia"/>
                <w:sz w:val="28"/>
                <w:szCs w:val="28"/>
              </w:rPr>
              <w:t>-</w:t>
            </w:r>
            <w:r>
              <w:rPr>
                <w:rFonts w:asciiTheme="minorEastAsia" w:eastAsiaTheme="minorEastAsia" w:hAnsiTheme="minorEastAsia" w:hint="eastAsia"/>
                <w:sz w:val="28"/>
                <w:szCs w:val="28"/>
              </w:rPr>
              <w:t>10</w:t>
            </w:r>
            <w:r>
              <w:rPr>
                <w:rFonts w:asciiTheme="minorEastAsia" w:eastAsiaTheme="minorEastAsia" w:hAnsiTheme="minorEastAsia"/>
                <w:sz w:val="28"/>
                <w:szCs w:val="28"/>
              </w:rPr>
              <w:t>-</w:t>
            </w:r>
            <w:r>
              <w:rPr>
                <w:rFonts w:asciiTheme="minorEastAsia" w:eastAsiaTheme="minorEastAsia" w:hAnsiTheme="minorEastAsia" w:hint="eastAsia"/>
                <w:sz w:val="28"/>
                <w:szCs w:val="28"/>
              </w:rPr>
              <w:t>25</w:t>
            </w:r>
          </w:p>
        </w:tc>
        <w:tc>
          <w:tcPr>
            <w:tcW w:w="2049" w:type="dxa"/>
            <w:gridSpan w:val="3"/>
            <w:vAlign w:val="center"/>
          </w:tcPr>
          <w:p w14:paraId="4AF24AD0" w14:textId="77777777" w:rsidR="00E75D8B" w:rsidRDefault="00000000">
            <w:pPr>
              <w:tabs>
                <w:tab w:val="left" w:pos="7088"/>
              </w:tabs>
              <w:jc w:val="center"/>
              <w:rPr>
                <w:b/>
                <w:sz w:val="28"/>
                <w:szCs w:val="28"/>
              </w:rPr>
            </w:pPr>
            <w:r>
              <w:rPr>
                <w:rFonts w:hint="eastAsia"/>
                <w:b/>
                <w:sz w:val="30"/>
                <w:szCs w:val="30"/>
              </w:rPr>
              <w:t>信息来源</w:t>
            </w:r>
          </w:p>
        </w:tc>
        <w:tc>
          <w:tcPr>
            <w:tcW w:w="2487" w:type="dxa"/>
            <w:vAlign w:val="center"/>
          </w:tcPr>
          <w:p w14:paraId="4C2CFA95" w14:textId="77777777" w:rsidR="00E75D8B" w:rsidRDefault="00000000">
            <w:pPr>
              <w:tabs>
                <w:tab w:val="left" w:pos="7088"/>
              </w:tabs>
              <w:jc w:val="center"/>
              <w:rPr>
                <w:sz w:val="28"/>
                <w:szCs w:val="28"/>
              </w:rPr>
            </w:pPr>
            <w:r>
              <w:rPr>
                <w:rFonts w:hint="eastAsia"/>
                <w:sz w:val="28"/>
                <w:szCs w:val="28"/>
              </w:rPr>
              <w:t>赛柏蓝</w:t>
            </w:r>
          </w:p>
        </w:tc>
      </w:tr>
      <w:tr w:rsidR="00E75D8B" w14:paraId="7CC8C90B" w14:textId="77777777">
        <w:trPr>
          <w:trHeight w:val="820"/>
        </w:trPr>
        <w:tc>
          <w:tcPr>
            <w:tcW w:w="2196" w:type="dxa"/>
            <w:gridSpan w:val="2"/>
            <w:vAlign w:val="center"/>
          </w:tcPr>
          <w:p w14:paraId="3B302BC1" w14:textId="77777777" w:rsidR="00E75D8B"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gridSpan w:val="2"/>
            <w:vAlign w:val="center"/>
          </w:tcPr>
          <w:p w14:paraId="420B6C98" w14:textId="77777777" w:rsidR="00E75D8B" w:rsidRDefault="00000000">
            <w:pPr>
              <w:tabs>
                <w:tab w:val="left" w:pos="7088"/>
              </w:tabs>
              <w:jc w:val="center"/>
              <w:rPr>
                <w:sz w:val="28"/>
                <w:szCs w:val="28"/>
              </w:rPr>
            </w:pPr>
            <w:r>
              <w:rPr>
                <w:rFonts w:hint="eastAsia"/>
                <w:sz w:val="28"/>
                <w:szCs w:val="28"/>
              </w:rPr>
              <w:t>运营管理部</w:t>
            </w:r>
          </w:p>
        </w:tc>
        <w:tc>
          <w:tcPr>
            <w:tcW w:w="2049" w:type="dxa"/>
            <w:gridSpan w:val="3"/>
            <w:vAlign w:val="center"/>
          </w:tcPr>
          <w:p w14:paraId="4B51E91F" w14:textId="77777777" w:rsidR="00E75D8B" w:rsidRDefault="00000000">
            <w:pPr>
              <w:tabs>
                <w:tab w:val="left" w:pos="7088"/>
              </w:tabs>
              <w:jc w:val="center"/>
              <w:rPr>
                <w:b/>
                <w:sz w:val="28"/>
                <w:szCs w:val="28"/>
              </w:rPr>
            </w:pPr>
            <w:r>
              <w:rPr>
                <w:rFonts w:hint="eastAsia"/>
                <w:b/>
                <w:sz w:val="30"/>
                <w:szCs w:val="30"/>
              </w:rPr>
              <w:t>信息确认</w:t>
            </w:r>
          </w:p>
        </w:tc>
        <w:tc>
          <w:tcPr>
            <w:tcW w:w="2487" w:type="dxa"/>
            <w:vAlign w:val="center"/>
          </w:tcPr>
          <w:p w14:paraId="2069254D" w14:textId="77777777" w:rsidR="00E75D8B" w:rsidRDefault="00000000">
            <w:pPr>
              <w:tabs>
                <w:tab w:val="left" w:pos="7088"/>
              </w:tabs>
              <w:jc w:val="center"/>
              <w:rPr>
                <w:sz w:val="28"/>
                <w:szCs w:val="28"/>
              </w:rPr>
            </w:pPr>
            <w:r>
              <w:rPr>
                <w:rFonts w:hint="eastAsia"/>
                <w:sz w:val="28"/>
                <w:szCs w:val="28"/>
              </w:rPr>
              <w:t>彭宇飞</w:t>
            </w:r>
          </w:p>
        </w:tc>
      </w:tr>
      <w:tr w:rsidR="00E75D8B" w14:paraId="4E0193B3" w14:textId="77777777">
        <w:trPr>
          <w:trHeight w:val="930"/>
        </w:trPr>
        <w:tc>
          <w:tcPr>
            <w:tcW w:w="2196" w:type="dxa"/>
            <w:gridSpan w:val="2"/>
            <w:tcBorders>
              <w:bottom w:val="single" w:sz="4" w:space="0" w:color="auto"/>
            </w:tcBorders>
            <w:vAlign w:val="center"/>
          </w:tcPr>
          <w:p w14:paraId="3DD5B58A" w14:textId="77777777" w:rsidR="00E75D8B" w:rsidRDefault="00000000">
            <w:pPr>
              <w:tabs>
                <w:tab w:val="left" w:pos="7088"/>
              </w:tabs>
              <w:ind w:firstLineChars="100" w:firstLine="301"/>
              <w:rPr>
                <w:b/>
                <w:sz w:val="30"/>
                <w:szCs w:val="30"/>
              </w:rPr>
            </w:pPr>
            <w:r>
              <w:rPr>
                <w:rFonts w:hint="eastAsia"/>
                <w:b/>
                <w:sz w:val="30"/>
                <w:szCs w:val="30"/>
              </w:rPr>
              <w:t>确认</w:t>
            </w:r>
            <w:r>
              <w:rPr>
                <w:b/>
                <w:sz w:val="30"/>
                <w:szCs w:val="30"/>
              </w:rPr>
              <w:t>结果</w:t>
            </w:r>
          </w:p>
        </w:tc>
        <w:tc>
          <w:tcPr>
            <w:tcW w:w="6877" w:type="dxa"/>
            <w:gridSpan w:val="6"/>
            <w:tcBorders>
              <w:bottom w:val="single" w:sz="4" w:space="0" w:color="auto"/>
            </w:tcBorders>
            <w:vAlign w:val="center"/>
          </w:tcPr>
          <w:p w14:paraId="4AA2436D" w14:textId="77777777" w:rsidR="00E75D8B" w:rsidRDefault="00000000">
            <w:pPr>
              <w:tabs>
                <w:tab w:val="left" w:pos="7088"/>
              </w:tabs>
              <w:jc w:val="left"/>
              <w:rPr>
                <w:sz w:val="28"/>
                <w:szCs w:val="28"/>
              </w:rPr>
            </w:pPr>
            <w:r>
              <w:rPr>
                <w:rFonts w:asciiTheme="minorEastAsia" w:eastAsiaTheme="minorEastAsia" w:hAnsiTheme="minorEastAsia" w:hint="eastAsia"/>
                <w:sz w:val="28"/>
                <w:szCs w:val="28"/>
              </w:rPr>
              <w:t>来源：赛柏蓝</w:t>
            </w:r>
          </w:p>
        </w:tc>
      </w:tr>
      <w:tr w:rsidR="00E75D8B" w14:paraId="634FCFAD" w14:textId="77777777">
        <w:trPr>
          <w:trHeight w:val="927"/>
        </w:trPr>
        <w:tc>
          <w:tcPr>
            <w:tcW w:w="2196" w:type="dxa"/>
            <w:gridSpan w:val="2"/>
            <w:tcBorders>
              <w:top w:val="single" w:sz="4" w:space="0" w:color="auto"/>
            </w:tcBorders>
            <w:vAlign w:val="center"/>
          </w:tcPr>
          <w:p w14:paraId="2D8C1178" w14:textId="77777777" w:rsidR="00E75D8B" w:rsidRDefault="00000000">
            <w:pPr>
              <w:tabs>
                <w:tab w:val="left" w:pos="7088"/>
              </w:tabs>
              <w:jc w:val="center"/>
              <w:rPr>
                <w:b/>
                <w:sz w:val="30"/>
                <w:szCs w:val="30"/>
              </w:rPr>
            </w:pPr>
            <w:r>
              <w:rPr>
                <w:rFonts w:hint="eastAsia"/>
                <w:b/>
                <w:sz w:val="30"/>
                <w:szCs w:val="30"/>
              </w:rPr>
              <w:t>关键词</w:t>
            </w:r>
          </w:p>
        </w:tc>
        <w:tc>
          <w:tcPr>
            <w:tcW w:w="6877" w:type="dxa"/>
            <w:gridSpan w:val="6"/>
            <w:tcBorders>
              <w:top w:val="single" w:sz="4" w:space="0" w:color="auto"/>
            </w:tcBorders>
            <w:vAlign w:val="center"/>
          </w:tcPr>
          <w:p w14:paraId="71870175" w14:textId="77777777" w:rsidR="00E75D8B" w:rsidRDefault="00000000">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医药  健康  协同  发展  </w:t>
            </w:r>
          </w:p>
        </w:tc>
      </w:tr>
      <w:tr w:rsidR="00E75D8B" w14:paraId="5DF188E3" w14:textId="77777777">
        <w:trPr>
          <w:trHeight w:val="3076"/>
        </w:trPr>
        <w:tc>
          <w:tcPr>
            <w:tcW w:w="2196" w:type="dxa"/>
            <w:gridSpan w:val="2"/>
            <w:vAlign w:val="center"/>
          </w:tcPr>
          <w:p w14:paraId="07DF0887" w14:textId="77777777" w:rsidR="00E75D8B" w:rsidRDefault="00000000">
            <w:pPr>
              <w:tabs>
                <w:tab w:val="left" w:pos="7088"/>
              </w:tabs>
              <w:jc w:val="center"/>
              <w:rPr>
                <w:b/>
                <w:sz w:val="30"/>
                <w:szCs w:val="30"/>
              </w:rPr>
            </w:pPr>
            <w:r>
              <w:rPr>
                <w:b/>
                <w:sz w:val="30"/>
                <w:szCs w:val="30"/>
              </w:rPr>
              <w:t>内容概要</w:t>
            </w:r>
          </w:p>
        </w:tc>
        <w:tc>
          <w:tcPr>
            <w:tcW w:w="6877" w:type="dxa"/>
            <w:gridSpan w:val="6"/>
          </w:tcPr>
          <w:p w14:paraId="1256CD02" w14:textId="77777777" w:rsidR="00E75D8B" w:rsidRDefault="00E75D8B">
            <w:pPr>
              <w:jc w:val="left"/>
              <w:rPr>
                <w:rFonts w:asciiTheme="minorEastAsia" w:hAnsiTheme="minorEastAsia"/>
                <w:sz w:val="28"/>
                <w:szCs w:val="28"/>
                <w:shd w:val="clear" w:color="auto" w:fill="FFFFFF"/>
              </w:rPr>
            </w:pPr>
          </w:p>
          <w:p w14:paraId="27036E6A" w14:textId="77777777" w:rsidR="00E75D8B" w:rsidRDefault="00E75D8B">
            <w:pPr>
              <w:jc w:val="left"/>
              <w:rPr>
                <w:rFonts w:asciiTheme="minorEastAsia" w:hAnsiTheme="minorEastAsia"/>
                <w:sz w:val="28"/>
                <w:szCs w:val="28"/>
                <w:shd w:val="clear" w:color="auto" w:fill="FFFFFF"/>
              </w:rPr>
            </w:pPr>
          </w:p>
          <w:p w14:paraId="49AFA42F" w14:textId="77777777" w:rsidR="00E75D8B" w:rsidRDefault="00000000">
            <w:pPr>
              <w:ind w:firstLineChars="200" w:firstLine="56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二十大报告（医药健康）解读：</w:t>
            </w:r>
          </w:p>
          <w:p w14:paraId="723A8A72" w14:textId="77777777" w:rsidR="00E75D8B" w:rsidRDefault="00000000">
            <w:pPr>
              <w:pStyle w:val="af2"/>
              <w:numPr>
                <w:ilvl w:val="0"/>
                <w:numId w:val="1"/>
              </w:numPr>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三医协同</w:t>
            </w:r>
          </w:p>
          <w:p w14:paraId="4ADE1C6B" w14:textId="77777777" w:rsidR="00E75D8B" w:rsidRDefault="00000000">
            <w:pPr>
              <w:pStyle w:val="af2"/>
              <w:numPr>
                <w:ilvl w:val="0"/>
                <w:numId w:val="1"/>
              </w:numPr>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儿童医药</w:t>
            </w:r>
          </w:p>
          <w:p w14:paraId="45F50904" w14:textId="77777777" w:rsidR="00E75D8B" w:rsidRDefault="00000000">
            <w:pPr>
              <w:pStyle w:val="af2"/>
              <w:numPr>
                <w:ilvl w:val="0"/>
                <w:numId w:val="1"/>
              </w:numPr>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老年医药</w:t>
            </w:r>
          </w:p>
          <w:p w14:paraId="6467B79E" w14:textId="77777777" w:rsidR="00E75D8B" w:rsidRDefault="00000000">
            <w:pPr>
              <w:pStyle w:val="af2"/>
              <w:numPr>
                <w:ilvl w:val="0"/>
                <w:numId w:val="1"/>
              </w:numPr>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商业健康保险</w:t>
            </w:r>
          </w:p>
          <w:p w14:paraId="79FC0814" w14:textId="77777777" w:rsidR="00E75D8B" w:rsidRDefault="00000000">
            <w:pPr>
              <w:pStyle w:val="af2"/>
              <w:numPr>
                <w:ilvl w:val="0"/>
                <w:numId w:val="1"/>
              </w:numPr>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中医药</w:t>
            </w:r>
          </w:p>
          <w:p w14:paraId="54CEE5BE" w14:textId="77777777" w:rsidR="00E75D8B" w:rsidRDefault="00E75D8B">
            <w:pPr>
              <w:ind w:left="560"/>
              <w:rPr>
                <w:rFonts w:asciiTheme="minorEastAsia" w:hAnsiTheme="minorEastAsia"/>
                <w:sz w:val="28"/>
                <w:szCs w:val="28"/>
                <w:shd w:val="clear" w:color="auto" w:fill="FFFFFF"/>
              </w:rPr>
            </w:pPr>
          </w:p>
          <w:p w14:paraId="20509B3E" w14:textId="77777777" w:rsidR="00E75D8B" w:rsidRDefault="00E75D8B">
            <w:pPr>
              <w:ind w:left="560"/>
              <w:rPr>
                <w:rFonts w:asciiTheme="minorEastAsia" w:hAnsiTheme="minorEastAsia"/>
                <w:sz w:val="28"/>
                <w:szCs w:val="28"/>
                <w:shd w:val="clear" w:color="auto" w:fill="FFFFFF"/>
              </w:rPr>
            </w:pPr>
          </w:p>
          <w:p w14:paraId="4F605E9B" w14:textId="77777777" w:rsidR="00E75D8B" w:rsidRDefault="00E75D8B">
            <w:pPr>
              <w:ind w:left="560"/>
              <w:rPr>
                <w:rFonts w:asciiTheme="minorEastAsia" w:hAnsiTheme="minorEastAsia"/>
                <w:sz w:val="28"/>
                <w:szCs w:val="28"/>
                <w:shd w:val="clear" w:color="auto" w:fill="FFFFFF"/>
              </w:rPr>
            </w:pPr>
          </w:p>
          <w:p w14:paraId="3F1A4C48" w14:textId="77777777" w:rsidR="00E75D8B" w:rsidRDefault="00E75D8B">
            <w:pPr>
              <w:ind w:left="560"/>
              <w:rPr>
                <w:rFonts w:asciiTheme="minorEastAsia" w:hAnsiTheme="minorEastAsia"/>
                <w:sz w:val="28"/>
                <w:szCs w:val="28"/>
                <w:shd w:val="clear" w:color="auto" w:fill="FFFFFF"/>
              </w:rPr>
            </w:pPr>
          </w:p>
          <w:p w14:paraId="6EED362D" w14:textId="77777777" w:rsidR="00E75D8B" w:rsidRDefault="00E75D8B">
            <w:pPr>
              <w:ind w:left="560"/>
              <w:rPr>
                <w:rFonts w:asciiTheme="minorEastAsia" w:hAnsiTheme="minorEastAsia"/>
                <w:sz w:val="28"/>
                <w:szCs w:val="28"/>
                <w:shd w:val="clear" w:color="auto" w:fill="FFFFFF"/>
              </w:rPr>
            </w:pPr>
          </w:p>
          <w:p w14:paraId="1D445C41" w14:textId="77777777" w:rsidR="00E75D8B" w:rsidRDefault="00E75D8B">
            <w:pPr>
              <w:ind w:left="560"/>
              <w:rPr>
                <w:rFonts w:asciiTheme="minorEastAsia" w:hAnsiTheme="minorEastAsia"/>
                <w:sz w:val="28"/>
                <w:szCs w:val="28"/>
                <w:shd w:val="clear" w:color="auto" w:fill="FFFFFF"/>
              </w:rPr>
            </w:pPr>
          </w:p>
          <w:p w14:paraId="6293DF7C" w14:textId="77777777" w:rsidR="00E75D8B"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 xml:space="preserve">1: </w:t>
            </w:r>
            <w:r>
              <w:rPr>
                <w:rFonts w:hint="eastAsia"/>
              </w:rPr>
              <w:t>二十大报告（医药健康）</w:t>
            </w:r>
            <w:r>
              <w:rPr>
                <w:rFonts w:hint="eastAsia"/>
              </w:rPr>
              <w:t xml:space="preserve">| </w:t>
            </w:r>
            <w:r>
              <w:rPr>
                <w:rFonts w:hint="eastAsia"/>
              </w:rPr>
              <w:t>解读合集</w:t>
            </w:r>
          </w:p>
        </w:tc>
      </w:tr>
      <w:tr w:rsidR="00E75D8B" w14:paraId="6006E461" w14:textId="77777777">
        <w:trPr>
          <w:trHeight w:val="838"/>
        </w:trPr>
        <w:tc>
          <w:tcPr>
            <w:tcW w:w="2127" w:type="dxa"/>
            <w:vAlign w:val="center"/>
          </w:tcPr>
          <w:p w14:paraId="161D5B70" w14:textId="77777777" w:rsidR="00E75D8B" w:rsidRDefault="00000000">
            <w:pPr>
              <w:tabs>
                <w:tab w:val="left" w:pos="5245"/>
              </w:tabs>
              <w:jc w:val="center"/>
              <w:rPr>
                <w:b/>
                <w:sz w:val="30"/>
                <w:szCs w:val="30"/>
              </w:rPr>
            </w:pPr>
            <w:r>
              <w:rPr>
                <w:rFonts w:hint="eastAsia"/>
                <w:b/>
                <w:sz w:val="30"/>
                <w:szCs w:val="30"/>
              </w:rPr>
              <w:lastRenderedPageBreak/>
              <w:t>信息</w:t>
            </w:r>
            <w:r>
              <w:rPr>
                <w:rFonts w:hint="eastAsia"/>
                <w:b/>
                <w:sz w:val="30"/>
                <w:szCs w:val="30"/>
              </w:rPr>
              <w:t>02</w:t>
            </w:r>
          </w:p>
        </w:tc>
        <w:tc>
          <w:tcPr>
            <w:tcW w:w="6946" w:type="dxa"/>
            <w:gridSpan w:val="7"/>
            <w:vAlign w:val="center"/>
          </w:tcPr>
          <w:p w14:paraId="7F498B89" w14:textId="77777777" w:rsidR="00E75D8B" w:rsidRDefault="00000000">
            <w:pPr>
              <w:pStyle w:val="af2"/>
              <w:numPr>
                <w:ilvl w:val="0"/>
                <w:numId w:val="2"/>
              </w:numPr>
              <w:ind w:firstLineChars="0"/>
              <w:rPr>
                <w:b/>
                <w:sz w:val="32"/>
                <w:szCs w:val="32"/>
              </w:rPr>
            </w:pPr>
            <w:r>
              <w:rPr>
                <w:rFonts w:hint="eastAsia"/>
                <w:b/>
                <w:sz w:val="32"/>
                <w:szCs w:val="32"/>
              </w:rPr>
              <w:t>重磅发布</w:t>
            </w:r>
            <w:r>
              <w:rPr>
                <w:rFonts w:hint="eastAsia"/>
                <w:b/>
                <w:sz w:val="32"/>
                <w:szCs w:val="32"/>
              </w:rPr>
              <w:t xml:space="preserve"> | </w:t>
            </w:r>
            <w:r>
              <w:rPr>
                <w:rFonts w:hint="eastAsia"/>
                <w:b/>
                <w:sz w:val="32"/>
                <w:szCs w:val="32"/>
              </w:rPr>
              <w:t>中国医药冷链物流行业研究报告（</w:t>
            </w:r>
            <w:r>
              <w:rPr>
                <w:rFonts w:hint="eastAsia"/>
                <w:b/>
                <w:sz w:val="32"/>
                <w:szCs w:val="32"/>
              </w:rPr>
              <w:t>2022</w:t>
            </w:r>
            <w:r>
              <w:rPr>
                <w:rFonts w:hint="eastAsia"/>
                <w:b/>
                <w:sz w:val="32"/>
                <w:szCs w:val="32"/>
              </w:rPr>
              <w:t>）</w:t>
            </w:r>
          </w:p>
          <w:p w14:paraId="437AFB48" w14:textId="77777777" w:rsidR="00E75D8B" w:rsidRDefault="00000000">
            <w:pPr>
              <w:pStyle w:val="af2"/>
              <w:numPr>
                <w:ilvl w:val="0"/>
                <w:numId w:val="2"/>
              </w:numPr>
              <w:ind w:firstLineChars="0"/>
              <w:rPr>
                <w:rFonts w:asciiTheme="minorEastAsia" w:eastAsiaTheme="minorEastAsia" w:hAnsiTheme="minorEastAsia"/>
                <w:b/>
                <w:sz w:val="32"/>
                <w:szCs w:val="32"/>
              </w:rPr>
            </w:pPr>
            <w:r>
              <w:rPr>
                <w:rFonts w:asciiTheme="minorEastAsia" w:eastAsiaTheme="minorEastAsia" w:hAnsiTheme="minorEastAsia" w:hint="eastAsia"/>
                <w:b/>
                <w:sz w:val="32"/>
                <w:szCs w:val="32"/>
              </w:rPr>
              <w:t>哈尔滨入选！2022年国家骨干冷链物流基地发布</w:t>
            </w:r>
          </w:p>
        </w:tc>
      </w:tr>
      <w:tr w:rsidR="00E75D8B" w14:paraId="3250E37C" w14:textId="77777777">
        <w:trPr>
          <w:trHeight w:val="838"/>
        </w:trPr>
        <w:tc>
          <w:tcPr>
            <w:tcW w:w="2127" w:type="dxa"/>
            <w:vAlign w:val="center"/>
          </w:tcPr>
          <w:p w14:paraId="0374344F" w14:textId="77777777" w:rsidR="00E75D8B" w:rsidRDefault="00000000">
            <w:pPr>
              <w:tabs>
                <w:tab w:val="left" w:pos="5245"/>
              </w:tabs>
              <w:jc w:val="center"/>
            </w:pPr>
            <w:r>
              <w:rPr>
                <w:rFonts w:hint="eastAsia"/>
                <w:b/>
                <w:sz w:val="30"/>
                <w:szCs w:val="30"/>
              </w:rPr>
              <w:t>发布</w:t>
            </w:r>
            <w:r>
              <w:rPr>
                <w:b/>
                <w:sz w:val="30"/>
                <w:szCs w:val="30"/>
              </w:rPr>
              <w:t>时间</w:t>
            </w:r>
          </w:p>
        </w:tc>
        <w:tc>
          <w:tcPr>
            <w:tcW w:w="2268" w:type="dxa"/>
            <w:gridSpan w:val="2"/>
            <w:vAlign w:val="center"/>
          </w:tcPr>
          <w:p w14:paraId="1C0770BA" w14:textId="77777777" w:rsidR="00E75D8B" w:rsidRDefault="00000000">
            <w:pPr>
              <w:widowControl/>
              <w:spacing w:line="300" w:lineRule="atLeast"/>
              <w:jc w:val="center"/>
              <w:rPr>
                <w:rFonts w:asciiTheme="minorEastAsia" w:eastAsiaTheme="minorEastAsia" w:hAnsiTheme="minorEastAsia" w:cs="Helvetica"/>
                <w:kern w:val="0"/>
                <w:sz w:val="28"/>
                <w:szCs w:val="28"/>
              </w:rPr>
            </w:pPr>
            <w:r>
              <w:rPr>
                <w:rFonts w:asciiTheme="minorEastAsia" w:eastAsiaTheme="minorEastAsia" w:hAnsiTheme="minorEastAsia" w:cs="Helvetica"/>
                <w:kern w:val="0"/>
                <w:sz w:val="28"/>
                <w:szCs w:val="28"/>
              </w:rPr>
              <w:t>202</w:t>
            </w:r>
            <w:r>
              <w:rPr>
                <w:rFonts w:asciiTheme="minorEastAsia" w:eastAsiaTheme="minorEastAsia" w:hAnsiTheme="minorEastAsia" w:cs="Helvetica" w:hint="eastAsia"/>
                <w:kern w:val="0"/>
                <w:sz w:val="28"/>
                <w:szCs w:val="28"/>
              </w:rPr>
              <w:t>2</w:t>
            </w:r>
            <w:r>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10</w:t>
            </w:r>
            <w:r>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18</w:t>
            </w:r>
          </w:p>
          <w:p w14:paraId="647C419F" w14:textId="77777777" w:rsidR="00E75D8B" w:rsidRDefault="00000000">
            <w:pPr>
              <w:widowControl/>
              <w:spacing w:line="300" w:lineRule="atLeast"/>
              <w:jc w:val="center"/>
              <w:rPr>
                <w:rFonts w:asciiTheme="minorEastAsia" w:eastAsiaTheme="minorEastAsia" w:hAnsiTheme="minorEastAsia"/>
                <w:sz w:val="28"/>
                <w:szCs w:val="28"/>
              </w:rPr>
            </w:pPr>
            <w:r>
              <w:rPr>
                <w:rFonts w:asciiTheme="minorEastAsia" w:eastAsiaTheme="minorEastAsia" w:hAnsiTheme="minorEastAsia" w:cs="Helvetica"/>
                <w:kern w:val="0"/>
                <w:sz w:val="28"/>
                <w:szCs w:val="28"/>
              </w:rPr>
              <w:t>202</w:t>
            </w:r>
            <w:r>
              <w:rPr>
                <w:rFonts w:asciiTheme="minorEastAsia" w:eastAsiaTheme="minorEastAsia" w:hAnsiTheme="minorEastAsia" w:cs="Helvetica" w:hint="eastAsia"/>
                <w:kern w:val="0"/>
                <w:sz w:val="28"/>
                <w:szCs w:val="28"/>
              </w:rPr>
              <w:t>2</w:t>
            </w:r>
            <w:r>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10</w:t>
            </w:r>
            <w:r>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19</w:t>
            </w:r>
          </w:p>
        </w:tc>
        <w:tc>
          <w:tcPr>
            <w:tcW w:w="1559" w:type="dxa"/>
            <w:gridSpan w:val="2"/>
            <w:vAlign w:val="center"/>
          </w:tcPr>
          <w:p w14:paraId="0DEE577E" w14:textId="77777777" w:rsidR="00E75D8B" w:rsidRDefault="00000000">
            <w:pPr>
              <w:jc w:val="center"/>
              <w:rPr>
                <w:b/>
                <w:sz w:val="30"/>
                <w:szCs w:val="30"/>
              </w:rPr>
            </w:pPr>
            <w:r>
              <w:rPr>
                <w:rFonts w:hint="eastAsia"/>
                <w:b/>
                <w:sz w:val="30"/>
                <w:szCs w:val="30"/>
              </w:rPr>
              <w:t>信息来源</w:t>
            </w:r>
          </w:p>
        </w:tc>
        <w:tc>
          <w:tcPr>
            <w:tcW w:w="3119" w:type="dxa"/>
            <w:gridSpan w:val="3"/>
            <w:vAlign w:val="center"/>
          </w:tcPr>
          <w:p w14:paraId="0B9F3160" w14:textId="77777777" w:rsidR="00E75D8B" w:rsidRDefault="00000000">
            <w:pPr>
              <w:jc w:val="center"/>
              <w:rPr>
                <w:sz w:val="28"/>
                <w:szCs w:val="28"/>
              </w:rPr>
            </w:pPr>
            <w:r>
              <w:rPr>
                <w:rFonts w:hint="eastAsia"/>
                <w:sz w:val="28"/>
                <w:szCs w:val="28"/>
              </w:rPr>
              <w:t>中物联医药物流分会</w:t>
            </w:r>
          </w:p>
          <w:p w14:paraId="7535F6FB" w14:textId="77777777" w:rsidR="00E75D8B" w:rsidRDefault="00000000">
            <w:pPr>
              <w:jc w:val="center"/>
              <w:rPr>
                <w:rFonts w:ascii="Helvetica" w:hAnsi="Helvetica" w:cs="Helvetica"/>
                <w:kern w:val="0"/>
                <w:sz w:val="28"/>
                <w:szCs w:val="28"/>
              </w:rPr>
            </w:pPr>
            <w:r>
              <w:rPr>
                <w:rFonts w:ascii="Helvetica" w:hAnsi="Helvetica" w:cs="Helvetica" w:hint="eastAsia"/>
                <w:kern w:val="0"/>
                <w:sz w:val="28"/>
                <w:szCs w:val="28"/>
              </w:rPr>
              <w:t>澎湃新闻</w:t>
            </w:r>
          </w:p>
        </w:tc>
      </w:tr>
      <w:tr w:rsidR="00E75D8B" w14:paraId="33CE0481" w14:textId="77777777">
        <w:trPr>
          <w:trHeight w:val="850"/>
        </w:trPr>
        <w:tc>
          <w:tcPr>
            <w:tcW w:w="2127" w:type="dxa"/>
            <w:vAlign w:val="center"/>
          </w:tcPr>
          <w:p w14:paraId="6433DFE4" w14:textId="77777777" w:rsidR="00E75D8B" w:rsidRDefault="00000000">
            <w:pPr>
              <w:tabs>
                <w:tab w:val="left" w:pos="5245"/>
              </w:tabs>
              <w:jc w:val="center"/>
              <w:rPr>
                <w:b/>
                <w:sz w:val="30"/>
                <w:szCs w:val="30"/>
              </w:rPr>
            </w:pPr>
            <w:r>
              <w:rPr>
                <w:rFonts w:hint="eastAsia"/>
                <w:b/>
                <w:sz w:val="30"/>
                <w:szCs w:val="30"/>
              </w:rPr>
              <w:t>信息</w:t>
            </w:r>
            <w:r>
              <w:rPr>
                <w:b/>
                <w:sz w:val="30"/>
                <w:szCs w:val="30"/>
              </w:rPr>
              <w:t>提供</w:t>
            </w:r>
          </w:p>
        </w:tc>
        <w:tc>
          <w:tcPr>
            <w:tcW w:w="2268" w:type="dxa"/>
            <w:gridSpan w:val="2"/>
            <w:vAlign w:val="center"/>
          </w:tcPr>
          <w:p w14:paraId="3521117C" w14:textId="77777777" w:rsidR="00E75D8B" w:rsidRDefault="00000000">
            <w:pPr>
              <w:jc w:val="center"/>
              <w:rPr>
                <w:sz w:val="28"/>
                <w:szCs w:val="28"/>
              </w:rPr>
            </w:pPr>
            <w:r>
              <w:rPr>
                <w:rFonts w:hint="eastAsia"/>
                <w:sz w:val="28"/>
                <w:szCs w:val="28"/>
              </w:rPr>
              <w:t>运营管理部</w:t>
            </w:r>
          </w:p>
        </w:tc>
        <w:tc>
          <w:tcPr>
            <w:tcW w:w="1559" w:type="dxa"/>
            <w:gridSpan w:val="2"/>
            <w:vAlign w:val="center"/>
          </w:tcPr>
          <w:p w14:paraId="50A88BDA" w14:textId="77777777" w:rsidR="00E75D8B" w:rsidRDefault="00000000">
            <w:pPr>
              <w:jc w:val="center"/>
              <w:rPr>
                <w:b/>
                <w:sz w:val="28"/>
                <w:szCs w:val="28"/>
              </w:rPr>
            </w:pPr>
            <w:r>
              <w:rPr>
                <w:rFonts w:hint="eastAsia"/>
                <w:b/>
                <w:sz w:val="30"/>
                <w:szCs w:val="30"/>
              </w:rPr>
              <w:t>信息确认</w:t>
            </w:r>
          </w:p>
        </w:tc>
        <w:tc>
          <w:tcPr>
            <w:tcW w:w="3119" w:type="dxa"/>
            <w:gridSpan w:val="3"/>
            <w:vAlign w:val="center"/>
          </w:tcPr>
          <w:p w14:paraId="6D0A00CF" w14:textId="77777777" w:rsidR="00E75D8B" w:rsidRDefault="00000000">
            <w:pPr>
              <w:jc w:val="center"/>
              <w:rPr>
                <w:sz w:val="28"/>
                <w:szCs w:val="28"/>
              </w:rPr>
            </w:pPr>
            <w:r>
              <w:rPr>
                <w:rFonts w:hint="eastAsia"/>
                <w:sz w:val="28"/>
                <w:szCs w:val="28"/>
              </w:rPr>
              <w:t>彭宇飞</w:t>
            </w:r>
          </w:p>
        </w:tc>
      </w:tr>
      <w:tr w:rsidR="00E75D8B" w14:paraId="5C037612" w14:textId="77777777">
        <w:trPr>
          <w:trHeight w:val="989"/>
        </w:trPr>
        <w:tc>
          <w:tcPr>
            <w:tcW w:w="2127" w:type="dxa"/>
            <w:vAlign w:val="center"/>
          </w:tcPr>
          <w:p w14:paraId="018F93B9" w14:textId="77777777" w:rsidR="00E75D8B" w:rsidRDefault="00000000">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7"/>
            <w:vAlign w:val="center"/>
          </w:tcPr>
          <w:p w14:paraId="7C22BEED" w14:textId="77777777" w:rsidR="00E75D8B" w:rsidRDefault="00000000">
            <w:pPr>
              <w:rPr>
                <w:rFonts w:asciiTheme="minorEastAsia" w:eastAsiaTheme="minorEastAsia" w:hAnsiTheme="minorEastAsia" w:cs="Helvetica"/>
                <w:kern w:val="0"/>
                <w:sz w:val="32"/>
                <w:szCs w:val="32"/>
              </w:rPr>
            </w:pPr>
            <w:r>
              <w:rPr>
                <w:rFonts w:asciiTheme="minorEastAsia" w:eastAsiaTheme="minorEastAsia" w:hAnsiTheme="minorEastAsia"/>
                <w:sz w:val="28"/>
                <w:szCs w:val="28"/>
              </w:rPr>
              <w:t>来源：</w:t>
            </w:r>
            <w:r>
              <w:rPr>
                <w:rFonts w:hint="eastAsia"/>
                <w:sz w:val="28"/>
                <w:szCs w:val="28"/>
              </w:rPr>
              <w:t>中物联医药物流分会、</w:t>
            </w:r>
            <w:r>
              <w:rPr>
                <w:rFonts w:ascii="Helvetica" w:hAnsi="Helvetica" w:cs="Helvetica" w:hint="eastAsia"/>
                <w:kern w:val="0"/>
                <w:sz w:val="28"/>
                <w:szCs w:val="28"/>
              </w:rPr>
              <w:t>澎湃新闻</w:t>
            </w:r>
          </w:p>
        </w:tc>
      </w:tr>
      <w:tr w:rsidR="00E75D8B" w14:paraId="49E79D69" w14:textId="77777777">
        <w:trPr>
          <w:trHeight w:val="908"/>
        </w:trPr>
        <w:tc>
          <w:tcPr>
            <w:tcW w:w="2127" w:type="dxa"/>
            <w:vAlign w:val="center"/>
          </w:tcPr>
          <w:p w14:paraId="0BD56C2E" w14:textId="77777777" w:rsidR="00E75D8B" w:rsidRDefault="00000000">
            <w:pPr>
              <w:tabs>
                <w:tab w:val="left" w:pos="5245"/>
              </w:tabs>
              <w:jc w:val="center"/>
              <w:rPr>
                <w:b/>
                <w:sz w:val="30"/>
                <w:szCs w:val="30"/>
              </w:rPr>
            </w:pPr>
            <w:r>
              <w:rPr>
                <w:rFonts w:hint="eastAsia"/>
                <w:b/>
                <w:sz w:val="30"/>
                <w:szCs w:val="30"/>
              </w:rPr>
              <w:t>关键词</w:t>
            </w:r>
          </w:p>
        </w:tc>
        <w:tc>
          <w:tcPr>
            <w:tcW w:w="6946" w:type="dxa"/>
            <w:gridSpan w:val="7"/>
            <w:vAlign w:val="center"/>
          </w:tcPr>
          <w:p w14:paraId="15A3D9CF" w14:textId="77777777" w:rsidR="00E75D8B" w:rsidRDefault="00000000">
            <w:pPr>
              <w:jc w:val="left"/>
              <w:rPr>
                <w:sz w:val="28"/>
                <w:szCs w:val="28"/>
              </w:rPr>
            </w:pPr>
            <w:r>
              <w:rPr>
                <w:rFonts w:asciiTheme="minorEastAsia" w:hAnsiTheme="minorEastAsia" w:hint="eastAsia"/>
                <w:sz w:val="28"/>
                <w:szCs w:val="28"/>
              </w:rPr>
              <w:t>医药</w:t>
            </w:r>
            <w:r>
              <w:rPr>
                <w:rFonts w:asciiTheme="minorEastAsia" w:hAnsiTheme="minorEastAsia" w:hint="eastAsia"/>
                <w:sz w:val="28"/>
                <w:szCs w:val="28"/>
                <w:shd w:val="clear" w:color="auto" w:fill="FFFFFF"/>
              </w:rPr>
              <w:t xml:space="preserve">  冷链</w:t>
            </w:r>
            <w:r>
              <w:rPr>
                <w:rFonts w:asciiTheme="minorEastAsia" w:hAnsiTheme="minorEastAsia" w:hint="eastAsia"/>
                <w:sz w:val="28"/>
                <w:szCs w:val="28"/>
              </w:rPr>
              <w:t xml:space="preserve">  物流  基地</w:t>
            </w:r>
          </w:p>
        </w:tc>
      </w:tr>
      <w:tr w:rsidR="00E75D8B" w14:paraId="7ADCFA63" w14:textId="77777777">
        <w:trPr>
          <w:trHeight w:val="7071"/>
        </w:trPr>
        <w:tc>
          <w:tcPr>
            <w:tcW w:w="2127" w:type="dxa"/>
            <w:vAlign w:val="center"/>
          </w:tcPr>
          <w:p w14:paraId="558E9C5C" w14:textId="77777777" w:rsidR="00E75D8B" w:rsidRDefault="00000000">
            <w:pPr>
              <w:tabs>
                <w:tab w:val="left" w:pos="5245"/>
              </w:tabs>
              <w:jc w:val="center"/>
              <w:rPr>
                <w:b/>
                <w:sz w:val="30"/>
                <w:szCs w:val="30"/>
              </w:rPr>
            </w:pPr>
            <w:r>
              <w:rPr>
                <w:rFonts w:hint="eastAsia"/>
                <w:b/>
                <w:sz w:val="30"/>
                <w:szCs w:val="30"/>
              </w:rPr>
              <w:t>内容概要</w:t>
            </w:r>
          </w:p>
        </w:tc>
        <w:tc>
          <w:tcPr>
            <w:tcW w:w="6946" w:type="dxa"/>
            <w:gridSpan w:val="7"/>
          </w:tcPr>
          <w:p w14:paraId="5B115FBE" w14:textId="77777777" w:rsidR="00E75D8B" w:rsidRDefault="00000000">
            <w:pPr>
              <w:pStyle w:val="af2"/>
              <w:widowControl/>
              <w:numPr>
                <w:ilvl w:val="0"/>
                <w:numId w:val="3"/>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中国医药冷链物流行业研究报告（2022）</w:t>
            </w:r>
          </w:p>
          <w:p w14:paraId="4492F28F" w14:textId="77777777" w:rsidR="00E75D8B" w:rsidRDefault="00000000">
            <w:pPr>
              <w:pStyle w:val="af2"/>
              <w:widowControl/>
              <w:numPr>
                <w:ilvl w:val="0"/>
                <w:numId w:val="4"/>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行业整体政策环境梳理分析</w:t>
            </w:r>
          </w:p>
          <w:p w14:paraId="54703F6D" w14:textId="77777777" w:rsidR="00E75D8B" w:rsidRDefault="00000000">
            <w:pPr>
              <w:pStyle w:val="af2"/>
              <w:widowControl/>
              <w:numPr>
                <w:ilvl w:val="0"/>
                <w:numId w:val="4"/>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医药冷链物流行业发展现状</w:t>
            </w:r>
          </w:p>
          <w:p w14:paraId="713E0C84" w14:textId="77777777" w:rsidR="00E75D8B" w:rsidRDefault="00000000">
            <w:pPr>
              <w:pStyle w:val="af2"/>
              <w:widowControl/>
              <w:numPr>
                <w:ilvl w:val="0"/>
                <w:numId w:val="4"/>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医药冷链设施设备总体情况</w:t>
            </w:r>
          </w:p>
          <w:p w14:paraId="74730E93" w14:textId="77777777" w:rsidR="00E75D8B" w:rsidRDefault="00000000">
            <w:pPr>
              <w:pStyle w:val="af2"/>
              <w:widowControl/>
              <w:numPr>
                <w:ilvl w:val="0"/>
                <w:numId w:val="4"/>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疫情之下生物制品市场现状</w:t>
            </w:r>
          </w:p>
          <w:p w14:paraId="7D030985" w14:textId="77777777" w:rsidR="00E75D8B" w:rsidRDefault="00000000">
            <w:pPr>
              <w:pStyle w:val="af2"/>
              <w:widowControl/>
              <w:numPr>
                <w:ilvl w:val="0"/>
                <w:numId w:val="4"/>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国际视野看医药冷链新态势</w:t>
            </w:r>
          </w:p>
          <w:p w14:paraId="789137B6" w14:textId="77777777" w:rsidR="00E75D8B" w:rsidRDefault="00000000">
            <w:pPr>
              <w:pStyle w:val="af2"/>
              <w:widowControl/>
              <w:numPr>
                <w:ilvl w:val="0"/>
                <w:numId w:val="4"/>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行业痛难点与未来发展方向</w:t>
            </w:r>
          </w:p>
          <w:p w14:paraId="76133FD1" w14:textId="77777777" w:rsidR="00E75D8B" w:rsidRDefault="00000000">
            <w:pPr>
              <w:pStyle w:val="af2"/>
              <w:widowControl/>
              <w:numPr>
                <w:ilvl w:val="0"/>
                <w:numId w:val="3"/>
              </w:numPr>
              <w:spacing w:line="420" w:lineRule="atLeast"/>
              <w:ind w:firstLineChars="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哈尔滨入选2022年国家骨干冷链物流基地发布，我国现有国家骨干冷链物流基地达41个，覆盖全国27个省（区、市）</w:t>
            </w:r>
          </w:p>
          <w:p w14:paraId="5B843B1F" w14:textId="77777777" w:rsidR="00E75D8B"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2</w:t>
            </w:r>
            <w:r>
              <w:rPr>
                <w:rFonts w:hint="eastAsia"/>
              </w:rPr>
              <w:t>：重磅发布</w:t>
            </w:r>
            <w:r>
              <w:rPr>
                <w:rFonts w:hint="eastAsia"/>
              </w:rPr>
              <w:t xml:space="preserve"> | </w:t>
            </w:r>
            <w:r>
              <w:rPr>
                <w:rFonts w:hint="eastAsia"/>
              </w:rPr>
              <w:t>中国医药冷链物流行业研究报告（</w:t>
            </w:r>
            <w:r>
              <w:rPr>
                <w:rFonts w:hint="eastAsia"/>
              </w:rPr>
              <w:t>2022</w:t>
            </w:r>
            <w:r>
              <w:rPr>
                <w:rFonts w:hint="eastAsia"/>
              </w:rPr>
              <w:t>）</w:t>
            </w:r>
            <w:r>
              <w:rPr>
                <w:rFonts w:hint="eastAsia"/>
              </w:rPr>
              <w:t>+</w:t>
            </w:r>
            <w:r>
              <w:rPr>
                <w:rFonts w:hint="eastAsia"/>
              </w:rPr>
              <w:t>哈尔滨入选！</w:t>
            </w:r>
            <w:r>
              <w:rPr>
                <w:rFonts w:hint="eastAsia"/>
              </w:rPr>
              <w:t>2022</w:t>
            </w:r>
            <w:r>
              <w:rPr>
                <w:rFonts w:hint="eastAsia"/>
              </w:rPr>
              <w:t>年国家骨干冷链物流基地发布</w:t>
            </w:r>
          </w:p>
        </w:tc>
      </w:tr>
      <w:tr w:rsidR="00E75D8B" w14:paraId="6AD9531A" w14:textId="77777777">
        <w:trPr>
          <w:trHeight w:val="841"/>
        </w:trPr>
        <w:tc>
          <w:tcPr>
            <w:tcW w:w="2127" w:type="dxa"/>
            <w:vAlign w:val="center"/>
          </w:tcPr>
          <w:p w14:paraId="0A7E97E9" w14:textId="77777777" w:rsidR="00E75D8B"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03</w:t>
            </w:r>
          </w:p>
        </w:tc>
        <w:tc>
          <w:tcPr>
            <w:tcW w:w="6946" w:type="dxa"/>
            <w:gridSpan w:val="7"/>
            <w:vAlign w:val="center"/>
          </w:tcPr>
          <w:p w14:paraId="35968782" w14:textId="77777777" w:rsidR="00E75D8B" w:rsidRDefault="00000000">
            <w:pPr>
              <w:rPr>
                <w:b/>
                <w:sz w:val="32"/>
                <w:szCs w:val="32"/>
              </w:rPr>
            </w:pPr>
            <w:r>
              <w:rPr>
                <w:rFonts w:hint="eastAsia"/>
                <w:b/>
                <w:sz w:val="32"/>
                <w:szCs w:val="32"/>
              </w:rPr>
              <w:t>第八批集采会否纳入生物类似药？一文梳理齐鲁、信达、正大天晴等</w:t>
            </w:r>
            <w:r>
              <w:rPr>
                <w:rFonts w:hint="eastAsia"/>
                <w:b/>
                <w:sz w:val="32"/>
                <w:szCs w:val="32"/>
              </w:rPr>
              <w:t>180</w:t>
            </w:r>
            <w:r>
              <w:rPr>
                <w:rFonts w:hint="eastAsia"/>
                <w:b/>
                <w:sz w:val="32"/>
                <w:szCs w:val="32"/>
              </w:rPr>
              <w:t>家企业竞逐百亿市场！</w:t>
            </w:r>
          </w:p>
        </w:tc>
      </w:tr>
      <w:tr w:rsidR="00E75D8B" w14:paraId="1DE57A35" w14:textId="77777777">
        <w:trPr>
          <w:trHeight w:val="839"/>
        </w:trPr>
        <w:tc>
          <w:tcPr>
            <w:tcW w:w="2127" w:type="dxa"/>
            <w:tcBorders>
              <w:bottom w:val="single" w:sz="4" w:space="0" w:color="auto"/>
            </w:tcBorders>
            <w:vAlign w:val="center"/>
          </w:tcPr>
          <w:p w14:paraId="2E55F439" w14:textId="77777777" w:rsidR="00E75D8B" w:rsidRDefault="00000000">
            <w:pPr>
              <w:tabs>
                <w:tab w:val="left" w:pos="7088"/>
              </w:tabs>
              <w:jc w:val="center"/>
            </w:pPr>
            <w:r>
              <w:rPr>
                <w:rFonts w:hint="eastAsia"/>
                <w:b/>
                <w:sz w:val="30"/>
                <w:szCs w:val="30"/>
              </w:rPr>
              <w:t>发布</w:t>
            </w:r>
            <w:r>
              <w:rPr>
                <w:b/>
                <w:sz w:val="30"/>
                <w:szCs w:val="30"/>
              </w:rPr>
              <w:t>时间</w:t>
            </w:r>
          </w:p>
        </w:tc>
        <w:tc>
          <w:tcPr>
            <w:tcW w:w="2268" w:type="dxa"/>
            <w:gridSpan w:val="2"/>
            <w:tcBorders>
              <w:bottom w:val="single" w:sz="4" w:space="0" w:color="auto"/>
            </w:tcBorders>
            <w:vAlign w:val="center"/>
          </w:tcPr>
          <w:p w14:paraId="3286F836" w14:textId="77777777" w:rsidR="00E75D8B" w:rsidRDefault="00000000">
            <w:pPr>
              <w:tabs>
                <w:tab w:val="left" w:pos="7088"/>
              </w:tabs>
              <w:jc w:val="center"/>
              <w:rPr>
                <w:rFonts w:asciiTheme="minorEastAsia" w:eastAsiaTheme="minorEastAsia" w:hAnsiTheme="minorEastAsia"/>
                <w:sz w:val="28"/>
                <w:szCs w:val="28"/>
              </w:rPr>
            </w:pPr>
            <w:r>
              <w:rPr>
                <w:rFonts w:asciiTheme="minorEastAsia" w:eastAsiaTheme="minorEastAsia" w:hAnsiTheme="minorEastAsia"/>
                <w:sz w:val="28"/>
                <w:szCs w:val="28"/>
              </w:rPr>
              <w:t>202</w:t>
            </w:r>
            <w:r>
              <w:rPr>
                <w:rFonts w:asciiTheme="minorEastAsia" w:eastAsiaTheme="minorEastAsia" w:hAnsiTheme="minorEastAsia" w:hint="eastAsia"/>
                <w:sz w:val="28"/>
                <w:szCs w:val="28"/>
              </w:rPr>
              <w:t>2</w:t>
            </w:r>
            <w:r>
              <w:rPr>
                <w:rFonts w:asciiTheme="minorEastAsia" w:eastAsiaTheme="minorEastAsia" w:hAnsiTheme="minorEastAsia"/>
                <w:sz w:val="28"/>
                <w:szCs w:val="28"/>
              </w:rPr>
              <w:t>-</w:t>
            </w:r>
            <w:r>
              <w:rPr>
                <w:rFonts w:asciiTheme="minorEastAsia" w:eastAsiaTheme="minorEastAsia" w:hAnsiTheme="minorEastAsia" w:hint="eastAsia"/>
                <w:sz w:val="28"/>
                <w:szCs w:val="28"/>
              </w:rPr>
              <w:t>10</w:t>
            </w:r>
            <w:r>
              <w:rPr>
                <w:rFonts w:asciiTheme="minorEastAsia" w:eastAsiaTheme="minorEastAsia" w:hAnsiTheme="minorEastAsia"/>
                <w:sz w:val="28"/>
                <w:szCs w:val="28"/>
              </w:rPr>
              <w:t>-</w:t>
            </w:r>
            <w:r>
              <w:rPr>
                <w:rFonts w:asciiTheme="minorEastAsia" w:eastAsiaTheme="minorEastAsia" w:hAnsiTheme="minorEastAsia" w:hint="eastAsia"/>
                <w:sz w:val="28"/>
                <w:szCs w:val="28"/>
              </w:rPr>
              <w:t>19</w:t>
            </w:r>
          </w:p>
        </w:tc>
        <w:tc>
          <w:tcPr>
            <w:tcW w:w="1985" w:type="dxa"/>
            <w:gridSpan w:val="3"/>
            <w:tcBorders>
              <w:bottom w:val="single" w:sz="4" w:space="0" w:color="auto"/>
            </w:tcBorders>
            <w:vAlign w:val="center"/>
          </w:tcPr>
          <w:p w14:paraId="7EED10B9" w14:textId="77777777" w:rsidR="00E75D8B" w:rsidRDefault="00000000">
            <w:pPr>
              <w:tabs>
                <w:tab w:val="left" w:pos="7088"/>
              </w:tabs>
              <w:jc w:val="center"/>
              <w:rPr>
                <w:b/>
                <w:sz w:val="28"/>
                <w:szCs w:val="28"/>
              </w:rPr>
            </w:pPr>
            <w:r>
              <w:rPr>
                <w:rFonts w:hint="eastAsia"/>
                <w:b/>
                <w:sz w:val="30"/>
                <w:szCs w:val="30"/>
              </w:rPr>
              <w:t>信息来源</w:t>
            </w:r>
          </w:p>
        </w:tc>
        <w:tc>
          <w:tcPr>
            <w:tcW w:w="2693" w:type="dxa"/>
            <w:gridSpan w:val="2"/>
            <w:tcBorders>
              <w:bottom w:val="single" w:sz="4" w:space="0" w:color="auto"/>
            </w:tcBorders>
            <w:vAlign w:val="center"/>
          </w:tcPr>
          <w:p w14:paraId="67A772A1" w14:textId="77777777" w:rsidR="00E75D8B" w:rsidRDefault="00000000">
            <w:pPr>
              <w:tabs>
                <w:tab w:val="left" w:pos="7088"/>
              </w:tabs>
              <w:jc w:val="center"/>
              <w:rPr>
                <w:sz w:val="28"/>
                <w:szCs w:val="28"/>
              </w:rPr>
            </w:pPr>
            <w:r>
              <w:rPr>
                <w:rFonts w:asciiTheme="minorEastAsia" w:eastAsiaTheme="minorEastAsia" w:hAnsiTheme="minorEastAsia" w:hint="eastAsia"/>
                <w:sz w:val="28"/>
                <w:szCs w:val="28"/>
              </w:rPr>
              <w:t>医药经济报</w:t>
            </w:r>
          </w:p>
        </w:tc>
      </w:tr>
      <w:tr w:rsidR="00E75D8B" w14:paraId="1A23D774" w14:textId="77777777">
        <w:trPr>
          <w:trHeight w:val="850"/>
        </w:trPr>
        <w:tc>
          <w:tcPr>
            <w:tcW w:w="2127" w:type="dxa"/>
            <w:tcBorders>
              <w:top w:val="single" w:sz="4" w:space="0" w:color="auto"/>
            </w:tcBorders>
            <w:vAlign w:val="center"/>
          </w:tcPr>
          <w:p w14:paraId="078E166E" w14:textId="77777777" w:rsidR="00E75D8B" w:rsidRDefault="00000000">
            <w:pPr>
              <w:tabs>
                <w:tab w:val="left" w:pos="7088"/>
              </w:tabs>
              <w:jc w:val="center"/>
              <w:rPr>
                <w:b/>
                <w:sz w:val="30"/>
                <w:szCs w:val="30"/>
              </w:rPr>
            </w:pPr>
            <w:r>
              <w:rPr>
                <w:rFonts w:hint="eastAsia"/>
                <w:b/>
                <w:sz w:val="30"/>
                <w:szCs w:val="30"/>
              </w:rPr>
              <w:t>信息</w:t>
            </w:r>
            <w:r>
              <w:rPr>
                <w:b/>
                <w:sz w:val="30"/>
                <w:szCs w:val="30"/>
              </w:rPr>
              <w:t>提供</w:t>
            </w:r>
          </w:p>
        </w:tc>
        <w:tc>
          <w:tcPr>
            <w:tcW w:w="2268" w:type="dxa"/>
            <w:gridSpan w:val="2"/>
            <w:tcBorders>
              <w:top w:val="single" w:sz="4" w:space="0" w:color="auto"/>
            </w:tcBorders>
            <w:vAlign w:val="center"/>
          </w:tcPr>
          <w:p w14:paraId="70FF1EE6" w14:textId="77777777" w:rsidR="00E75D8B" w:rsidRDefault="00000000">
            <w:pPr>
              <w:tabs>
                <w:tab w:val="left" w:pos="7088"/>
              </w:tabs>
              <w:jc w:val="center"/>
              <w:rPr>
                <w:sz w:val="28"/>
                <w:szCs w:val="28"/>
              </w:rPr>
            </w:pPr>
            <w:r>
              <w:rPr>
                <w:rFonts w:hint="eastAsia"/>
                <w:sz w:val="28"/>
                <w:szCs w:val="28"/>
              </w:rPr>
              <w:t>运营管理部</w:t>
            </w:r>
          </w:p>
        </w:tc>
        <w:tc>
          <w:tcPr>
            <w:tcW w:w="1985" w:type="dxa"/>
            <w:gridSpan w:val="3"/>
            <w:tcBorders>
              <w:top w:val="single" w:sz="4" w:space="0" w:color="auto"/>
            </w:tcBorders>
            <w:vAlign w:val="center"/>
          </w:tcPr>
          <w:p w14:paraId="06514C74" w14:textId="77777777" w:rsidR="00E75D8B" w:rsidRDefault="00000000">
            <w:pPr>
              <w:tabs>
                <w:tab w:val="left" w:pos="7088"/>
              </w:tabs>
              <w:jc w:val="center"/>
              <w:rPr>
                <w:b/>
                <w:sz w:val="28"/>
                <w:szCs w:val="28"/>
              </w:rPr>
            </w:pPr>
            <w:r>
              <w:rPr>
                <w:rFonts w:hint="eastAsia"/>
                <w:b/>
                <w:sz w:val="30"/>
                <w:szCs w:val="30"/>
              </w:rPr>
              <w:t>信息确认</w:t>
            </w:r>
          </w:p>
        </w:tc>
        <w:tc>
          <w:tcPr>
            <w:tcW w:w="2693" w:type="dxa"/>
            <w:gridSpan w:val="2"/>
            <w:tcBorders>
              <w:top w:val="single" w:sz="4" w:space="0" w:color="auto"/>
            </w:tcBorders>
            <w:vAlign w:val="center"/>
          </w:tcPr>
          <w:p w14:paraId="77EEAB05" w14:textId="77777777" w:rsidR="00E75D8B" w:rsidRDefault="00000000">
            <w:pPr>
              <w:tabs>
                <w:tab w:val="left" w:pos="7088"/>
              </w:tabs>
              <w:jc w:val="center"/>
              <w:rPr>
                <w:sz w:val="28"/>
                <w:szCs w:val="28"/>
              </w:rPr>
            </w:pPr>
            <w:r>
              <w:rPr>
                <w:rFonts w:hint="eastAsia"/>
                <w:sz w:val="28"/>
                <w:szCs w:val="28"/>
              </w:rPr>
              <w:t>彭宇飞</w:t>
            </w:r>
          </w:p>
        </w:tc>
      </w:tr>
      <w:tr w:rsidR="00E75D8B" w14:paraId="7BACAE25" w14:textId="77777777">
        <w:trPr>
          <w:trHeight w:val="854"/>
        </w:trPr>
        <w:tc>
          <w:tcPr>
            <w:tcW w:w="2127" w:type="dxa"/>
            <w:vAlign w:val="center"/>
          </w:tcPr>
          <w:p w14:paraId="6C0D41B3" w14:textId="77777777" w:rsidR="00E75D8B" w:rsidRDefault="00000000">
            <w:pPr>
              <w:tabs>
                <w:tab w:val="left" w:pos="7088"/>
              </w:tabs>
              <w:ind w:firstLineChars="100" w:firstLine="301"/>
              <w:rPr>
                <w:b/>
                <w:sz w:val="30"/>
                <w:szCs w:val="30"/>
              </w:rPr>
            </w:pPr>
            <w:r>
              <w:rPr>
                <w:rFonts w:hint="eastAsia"/>
                <w:b/>
                <w:sz w:val="30"/>
                <w:szCs w:val="30"/>
              </w:rPr>
              <w:t>确认</w:t>
            </w:r>
            <w:r>
              <w:rPr>
                <w:b/>
                <w:sz w:val="30"/>
                <w:szCs w:val="30"/>
              </w:rPr>
              <w:t>结果</w:t>
            </w:r>
          </w:p>
        </w:tc>
        <w:tc>
          <w:tcPr>
            <w:tcW w:w="6946" w:type="dxa"/>
            <w:gridSpan w:val="7"/>
            <w:vAlign w:val="center"/>
          </w:tcPr>
          <w:p w14:paraId="539E5195" w14:textId="77777777" w:rsidR="00E75D8B" w:rsidRDefault="00000000">
            <w:pPr>
              <w:tabs>
                <w:tab w:val="left" w:pos="7088"/>
              </w:tabs>
              <w:jc w:val="left"/>
              <w:rPr>
                <w:sz w:val="28"/>
                <w:szCs w:val="28"/>
              </w:rPr>
            </w:pPr>
            <w:r>
              <w:rPr>
                <w:rFonts w:asciiTheme="minorEastAsia" w:eastAsiaTheme="minorEastAsia" w:hAnsiTheme="minorEastAsia" w:hint="eastAsia"/>
                <w:sz w:val="28"/>
                <w:szCs w:val="28"/>
              </w:rPr>
              <w:t>来源：医药经济报</w:t>
            </w:r>
          </w:p>
        </w:tc>
      </w:tr>
      <w:tr w:rsidR="00E75D8B" w14:paraId="405BF618" w14:textId="77777777">
        <w:trPr>
          <w:trHeight w:val="840"/>
        </w:trPr>
        <w:tc>
          <w:tcPr>
            <w:tcW w:w="2127" w:type="dxa"/>
            <w:vAlign w:val="center"/>
          </w:tcPr>
          <w:p w14:paraId="2AA1CCA9" w14:textId="77777777" w:rsidR="00E75D8B" w:rsidRDefault="00000000">
            <w:pPr>
              <w:tabs>
                <w:tab w:val="left" w:pos="7088"/>
              </w:tabs>
              <w:jc w:val="center"/>
              <w:rPr>
                <w:b/>
                <w:sz w:val="30"/>
                <w:szCs w:val="30"/>
              </w:rPr>
            </w:pPr>
            <w:r>
              <w:rPr>
                <w:rFonts w:hint="eastAsia"/>
                <w:b/>
                <w:sz w:val="30"/>
                <w:szCs w:val="30"/>
              </w:rPr>
              <w:t>关键词</w:t>
            </w:r>
          </w:p>
        </w:tc>
        <w:tc>
          <w:tcPr>
            <w:tcW w:w="6946" w:type="dxa"/>
            <w:gridSpan w:val="7"/>
            <w:vAlign w:val="center"/>
          </w:tcPr>
          <w:p w14:paraId="1C3535C1" w14:textId="77777777" w:rsidR="00E75D8B" w:rsidRDefault="00000000">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生物类似药  市场  集采  上市  </w:t>
            </w:r>
          </w:p>
        </w:tc>
      </w:tr>
      <w:tr w:rsidR="00E75D8B" w14:paraId="35BA8689" w14:textId="77777777">
        <w:trPr>
          <w:trHeight w:val="2727"/>
        </w:trPr>
        <w:tc>
          <w:tcPr>
            <w:tcW w:w="2127" w:type="dxa"/>
            <w:vAlign w:val="center"/>
          </w:tcPr>
          <w:p w14:paraId="22FCCD6A" w14:textId="77777777" w:rsidR="00E75D8B" w:rsidRDefault="00000000">
            <w:pPr>
              <w:tabs>
                <w:tab w:val="left" w:pos="7088"/>
              </w:tabs>
              <w:jc w:val="center"/>
              <w:rPr>
                <w:b/>
                <w:sz w:val="30"/>
                <w:szCs w:val="30"/>
              </w:rPr>
            </w:pPr>
            <w:r>
              <w:rPr>
                <w:b/>
                <w:sz w:val="30"/>
                <w:szCs w:val="30"/>
              </w:rPr>
              <w:t>内容概要</w:t>
            </w:r>
          </w:p>
        </w:tc>
        <w:tc>
          <w:tcPr>
            <w:tcW w:w="6946" w:type="dxa"/>
            <w:gridSpan w:val="7"/>
          </w:tcPr>
          <w:p w14:paraId="5761150D" w14:textId="77777777" w:rsidR="00E75D8B" w:rsidRDefault="00E75D8B">
            <w:pPr>
              <w:jc w:val="left"/>
              <w:rPr>
                <w:rFonts w:asciiTheme="minorEastAsia" w:hAnsiTheme="minorEastAsia"/>
                <w:sz w:val="28"/>
                <w:szCs w:val="28"/>
                <w:shd w:val="clear" w:color="auto" w:fill="FFFFFF"/>
              </w:rPr>
            </w:pPr>
          </w:p>
          <w:p w14:paraId="427180BE" w14:textId="77777777" w:rsidR="00E75D8B" w:rsidRDefault="00000000">
            <w:pPr>
              <w:ind w:firstLineChars="200" w:firstLine="560"/>
              <w:jc w:val="left"/>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伴随着第七批集采的落幕，第八批集采成为业内热议的话题。在业内看来，生物类似药的集采已箭在弦上，预计今明两年将会进入常态化。</w:t>
            </w:r>
          </w:p>
          <w:p w14:paraId="1764DDE1" w14:textId="77777777" w:rsidR="00E75D8B" w:rsidRDefault="00000000">
            <w:pPr>
              <w:ind w:firstLineChars="200" w:firstLine="56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随着生物类似药的相继获批，国内生物类似药市场的不断扩大。弗洛斯特沙利文数据显示，预计到2030 年，我国生物类似药市场将达到589 亿元，三年内将有近30 款国产生物类似药上市。</w:t>
            </w:r>
          </w:p>
          <w:p w14:paraId="13A0C6F3" w14:textId="77777777" w:rsidR="00E75D8B" w:rsidRDefault="00000000">
            <w:pPr>
              <w:ind w:firstLineChars="200" w:firstLine="56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内含国内部分生物类似药上市情况，及部分单品竞争及销售情况。</w:t>
            </w:r>
          </w:p>
          <w:p w14:paraId="19FD1353" w14:textId="77777777" w:rsidR="00E75D8B" w:rsidRDefault="00E75D8B">
            <w:pPr>
              <w:ind w:left="560"/>
              <w:rPr>
                <w:rFonts w:asciiTheme="minorEastAsia" w:hAnsiTheme="minorEastAsia"/>
                <w:sz w:val="28"/>
                <w:szCs w:val="28"/>
                <w:shd w:val="clear" w:color="auto" w:fill="FFFFFF"/>
              </w:rPr>
            </w:pPr>
          </w:p>
          <w:p w14:paraId="1CDB0FBA" w14:textId="77777777" w:rsidR="00E75D8B" w:rsidRDefault="00E75D8B">
            <w:pPr>
              <w:ind w:left="560"/>
              <w:rPr>
                <w:rFonts w:asciiTheme="minorEastAsia" w:hAnsiTheme="minorEastAsia"/>
                <w:sz w:val="28"/>
                <w:szCs w:val="28"/>
                <w:shd w:val="clear" w:color="auto" w:fill="FFFFFF"/>
              </w:rPr>
            </w:pPr>
          </w:p>
          <w:p w14:paraId="1AF70B5E" w14:textId="77777777" w:rsidR="00E75D8B" w:rsidRDefault="00E75D8B">
            <w:pPr>
              <w:ind w:left="560"/>
              <w:rPr>
                <w:rFonts w:asciiTheme="minorEastAsia" w:hAnsiTheme="minorEastAsia"/>
                <w:sz w:val="28"/>
                <w:szCs w:val="28"/>
                <w:shd w:val="clear" w:color="auto" w:fill="FFFFFF"/>
              </w:rPr>
            </w:pPr>
          </w:p>
          <w:p w14:paraId="127BE2DA" w14:textId="77777777" w:rsidR="00E75D8B"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 xml:space="preserve">3: </w:t>
            </w:r>
            <w:r>
              <w:rPr>
                <w:rFonts w:hint="eastAsia"/>
              </w:rPr>
              <w:t>第八批集采会否纳入生物类似药？一文梳理齐鲁、信达、正大天晴等</w:t>
            </w:r>
            <w:r>
              <w:rPr>
                <w:rFonts w:hint="eastAsia"/>
              </w:rPr>
              <w:t>180</w:t>
            </w:r>
            <w:r>
              <w:rPr>
                <w:rFonts w:hint="eastAsia"/>
              </w:rPr>
              <w:t>家企业竞逐百亿市场！</w:t>
            </w:r>
          </w:p>
        </w:tc>
      </w:tr>
      <w:tr w:rsidR="00E75D8B" w14:paraId="7901EC78" w14:textId="77777777">
        <w:trPr>
          <w:trHeight w:val="1090"/>
        </w:trPr>
        <w:tc>
          <w:tcPr>
            <w:tcW w:w="2127" w:type="dxa"/>
            <w:tcBorders>
              <w:right w:val="outset" w:sz="6" w:space="0" w:color="auto"/>
            </w:tcBorders>
            <w:vAlign w:val="center"/>
          </w:tcPr>
          <w:p w14:paraId="4FC7F83B" w14:textId="77777777" w:rsidR="00E75D8B"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04</w:t>
            </w:r>
          </w:p>
        </w:tc>
        <w:tc>
          <w:tcPr>
            <w:tcW w:w="6946" w:type="dxa"/>
            <w:gridSpan w:val="7"/>
            <w:tcBorders>
              <w:top w:val="outset" w:sz="6" w:space="0" w:color="auto"/>
              <w:left w:val="outset" w:sz="6" w:space="0" w:color="auto"/>
              <w:bottom w:val="inset" w:sz="6" w:space="0" w:color="auto"/>
              <w:right w:val="inset" w:sz="6" w:space="0" w:color="auto"/>
            </w:tcBorders>
            <w:vAlign w:val="center"/>
          </w:tcPr>
          <w:p w14:paraId="458ACDB2" w14:textId="77777777" w:rsidR="00E75D8B" w:rsidRDefault="00000000">
            <w:pPr>
              <w:rPr>
                <w:b/>
                <w:sz w:val="32"/>
                <w:szCs w:val="32"/>
              </w:rPr>
            </w:pPr>
            <w:r>
              <w:rPr>
                <w:rFonts w:hint="eastAsia"/>
                <w:b/>
                <w:sz w:val="32"/>
                <w:szCs w:val="32"/>
              </w:rPr>
              <w:t>益丰药房市值超阿里健康，模式单一拷问线上售药</w:t>
            </w:r>
            <w:r>
              <w:rPr>
                <w:rFonts w:hint="eastAsia"/>
                <w:b/>
                <w:sz w:val="32"/>
                <w:szCs w:val="32"/>
              </w:rPr>
              <w:t>!</w:t>
            </w:r>
          </w:p>
        </w:tc>
      </w:tr>
      <w:tr w:rsidR="00E75D8B" w14:paraId="710FD931" w14:textId="77777777">
        <w:trPr>
          <w:trHeight w:val="838"/>
        </w:trPr>
        <w:tc>
          <w:tcPr>
            <w:tcW w:w="2127" w:type="dxa"/>
            <w:vAlign w:val="center"/>
          </w:tcPr>
          <w:p w14:paraId="59D9AA62" w14:textId="77777777" w:rsidR="00E75D8B" w:rsidRDefault="00000000">
            <w:pPr>
              <w:tabs>
                <w:tab w:val="left" w:pos="7088"/>
              </w:tabs>
              <w:jc w:val="center"/>
            </w:pPr>
            <w:r>
              <w:rPr>
                <w:rFonts w:hint="eastAsia"/>
                <w:b/>
                <w:sz w:val="30"/>
                <w:szCs w:val="30"/>
              </w:rPr>
              <w:t>发布</w:t>
            </w:r>
            <w:r>
              <w:rPr>
                <w:b/>
                <w:sz w:val="30"/>
                <w:szCs w:val="30"/>
              </w:rPr>
              <w:t>时间</w:t>
            </w:r>
          </w:p>
        </w:tc>
        <w:tc>
          <w:tcPr>
            <w:tcW w:w="2268" w:type="dxa"/>
            <w:gridSpan w:val="2"/>
            <w:tcBorders>
              <w:top w:val="inset" w:sz="6" w:space="0" w:color="auto"/>
            </w:tcBorders>
            <w:vAlign w:val="center"/>
          </w:tcPr>
          <w:p w14:paraId="0E6A55EF" w14:textId="77777777" w:rsidR="00E75D8B" w:rsidRDefault="00000000">
            <w:pPr>
              <w:tabs>
                <w:tab w:val="left" w:pos="7088"/>
              </w:tabs>
              <w:jc w:val="center"/>
              <w:rPr>
                <w:rFonts w:asciiTheme="minorEastAsia" w:eastAsiaTheme="minorEastAsia" w:hAnsiTheme="minorEastAsia"/>
                <w:sz w:val="28"/>
                <w:szCs w:val="28"/>
              </w:rPr>
            </w:pPr>
            <w:r>
              <w:rPr>
                <w:rFonts w:asciiTheme="minorEastAsia" w:eastAsiaTheme="minorEastAsia" w:hAnsiTheme="minorEastAsia"/>
                <w:sz w:val="28"/>
                <w:szCs w:val="28"/>
              </w:rPr>
              <w:t>202</w:t>
            </w:r>
            <w:r>
              <w:rPr>
                <w:rFonts w:asciiTheme="minorEastAsia" w:eastAsiaTheme="minorEastAsia" w:hAnsiTheme="minorEastAsia" w:hint="eastAsia"/>
                <w:sz w:val="28"/>
                <w:szCs w:val="28"/>
              </w:rPr>
              <w:t>2</w:t>
            </w:r>
            <w:r>
              <w:rPr>
                <w:rFonts w:asciiTheme="minorEastAsia" w:eastAsiaTheme="minorEastAsia" w:hAnsiTheme="minorEastAsia"/>
                <w:sz w:val="28"/>
                <w:szCs w:val="28"/>
              </w:rPr>
              <w:t>-</w:t>
            </w:r>
            <w:r>
              <w:rPr>
                <w:rFonts w:asciiTheme="minorEastAsia" w:eastAsiaTheme="minorEastAsia" w:hAnsiTheme="minorEastAsia" w:hint="eastAsia"/>
                <w:sz w:val="28"/>
                <w:szCs w:val="28"/>
              </w:rPr>
              <w:t>10</w:t>
            </w:r>
            <w:r>
              <w:rPr>
                <w:rFonts w:asciiTheme="minorEastAsia" w:eastAsiaTheme="minorEastAsia" w:hAnsiTheme="minorEastAsia"/>
                <w:sz w:val="28"/>
                <w:szCs w:val="28"/>
              </w:rPr>
              <w:t>-</w:t>
            </w:r>
            <w:r>
              <w:rPr>
                <w:rFonts w:asciiTheme="minorEastAsia" w:eastAsiaTheme="minorEastAsia" w:hAnsiTheme="minorEastAsia" w:hint="eastAsia"/>
                <w:sz w:val="28"/>
                <w:szCs w:val="28"/>
              </w:rPr>
              <w:t>24</w:t>
            </w:r>
          </w:p>
        </w:tc>
        <w:tc>
          <w:tcPr>
            <w:tcW w:w="1985" w:type="dxa"/>
            <w:gridSpan w:val="3"/>
            <w:tcBorders>
              <w:top w:val="inset" w:sz="6" w:space="0" w:color="auto"/>
            </w:tcBorders>
            <w:vAlign w:val="center"/>
          </w:tcPr>
          <w:p w14:paraId="206F6D9F" w14:textId="77777777" w:rsidR="00E75D8B" w:rsidRDefault="00000000">
            <w:pPr>
              <w:tabs>
                <w:tab w:val="left" w:pos="7088"/>
              </w:tabs>
              <w:jc w:val="center"/>
              <w:rPr>
                <w:b/>
                <w:sz w:val="28"/>
                <w:szCs w:val="28"/>
              </w:rPr>
            </w:pPr>
            <w:r>
              <w:rPr>
                <w:rFonts w:hint="eastAsia"/>
                <w:b/>
                <w:sz w:val="30"/>
                <w:szCs w:val="30"/>
              </w:rPr>
              <w:t>信息来源</w:t>
            </w:r>
          </w:p>
        </w:tc>
        <w:tc>
          <w:tcPr>
            <w:tcW w:w="2693" w:type="dxa"/>
            <w:gridSpan w:val="2"/>
            <w:tcBorders>
              <w:top w:val="inset" w:sz="6" w:space="0" w:color="auto"/>
            </w:tcBorders>
            <w:vAlign w:val="center"/>
          </w:tcPr>
          <w:p w14:paraId="6DCD1E49" w14:textId="77777777" w:rsidR="00E75D8B" w:rsidRDefault="00000000">
            <w:pPr>
              <w:tabs>
                <w:tab w:val="left" w:pos="7088"/>
              </w:tabs>
              <w:jc w:val="center"/>
              <w:rPr>
                <w:sz w:val="28"/>
                <w:szCs w:val="28"/>
              </w:rPr>
            </w:pPr>
            <w:r>
              <w:rPr>
                <w:rFonts w:asciiTheme="minorEastAsia" w:eastAsiaTheme="minorEastAsia" w:hAnsiTheme="minorEastAsia" w:hint="eastAsia"/>
                <w:sz w:val="28"/>
                <w:szCs w:val="28"/>
              </w:rPr>
              <w:t>医药经济报</w:t>
            </w:r>
          </w:p>
        </w:tc>
      </w:tr>
      <w:tr w:rsidR="00E75D8B" w14:paraId="6DEE8A76" w14:textId="77777777">
        <w:trPr>
          <w:trHeight w:val="856"/>
        </w:trPr>
        <w:tc>
          <w:tcPr>
            <w:tcW w:w="2127" w:type="dxa"/>
            <w:vAlign w:val="center"/>
          </w:tcPr>
          <w:p w14:paraId="080C249D" w14:textId="77777777" w:rsidR="00E75D8B" w:rsidRDefault="00000000">
            <w:pPr>
              <w:tabs>
                <w:tab w:val="left" w:pos="7088"/>
              </w:tabs>
              <w:jc w:val="center"/>
              <w:rPr>
                <w:b/>
                <w:sz w:val="30"/>
                <w:szCs w:val="30"/>
              </w:rPr>
            </w:pPr>
            <w:r>
              <w:rPr>
                <w:rFonts w:hint="eastAsia"/>
                <w:b/>
                <w:sz w:val="30"/>
                <w:szCs w:val="30"/>
              </w:rPr>
              <w:t>信息</w:t>
            </w:r>
            <w:r>
              <w:rPr>
                <w:b/>
                <w:sz w:val="30"/>
                <w:szCs w:val="30"/>
              </w:rPr>
              <w:t>提供</w:t>
            </w:r>
          </w:p>
        </w:tc>
        <w:tc>
          <w:tcPr>
            <w:tcW w:w="2268" w:type="dxa"/>
            <w:gridSpan w:val="2"/>
            <w:vAlign w:val="center"/>
          </w:tcPr>
          <w:p w14:paraId="54E55F98" w14:textId="77777777" w:rsidR="00E75D8B" w:rsidRDefault="00000000">
            <w:pPr>
              <w:tabs>
                <w:tab w:val="left" w:pos="7088"/>
              </w:tabs>
              <w:jc w:val="center"/>
              <w:rPr>
                <w:sz w:val="28"/>
                <w:szCs w:val="28"/>
              </w:rPr>
            </w:pPr>
            <w:r>
              <w:rPr>
                <w:rFonts w:hint="eastAsia"/>
                <w:sz w:val="28"/>
                <w:szCs w:val="28"/>
              </w:rPr>
              <w:t>运营管理部</w:t>
            </w:r>
          </w:p>
        </w:tc>
        <w:tc>
          <w:tcPr>
            <w:tcW w:w="1985" w:type="dxa"/>
            <w:gridSpan w:val="3"/>
            <w:vAlign w:val="center"/>
          </w:tcPr>
          <w:p w14:paraId="7E912BC6" w14:textId="77777777" w:rsidR="00E75D8B" w:rsidRDefault="00000000">
            <w:pPr>
              <w:tabs>
                <w:tab w:val="left" w:pos="7088"/>
              </w:tabs>
              <w:jc w:val="center"/>
              <w:rPr>
                <w:b/>
                <w:sz w:val="28"/>
                <w:szCs w:val="28"/>
              </w:rPr>
            </w:pPr>
            <w:r>
              <w:rPr>
                <w:rFonts w:hint="eastAsia"/>
                <w:b/>
                <w:sz w:val="30"/>
                <w:szCs w:val="30"/>
              </w:rPr>
              <w:t>信息确认</w:t>
            </w:r>
          </w:p>
        </w:tc>
        <w:tc>
          <w:tcPr>
            <w:tcW w:w="2693" w:type="dxa"/>
            <w:gridSpan w:val="2"/>
            <w:vAlign w:val="center"/>
          </w:tcPr>
          <w:p w14:paraId="224937CD" w14:textId="77777777" w:rsidR="00E75D8B" w:rsidRDefault="00000000">
            <w:pPr>
              <w:tabs>
                <w:tab w:val="left" w:pos="7088"/>
              </w:tabs>
              <w:jc w:val="center"/>
              <w:rPr>
                <w:sz w:val="28"/>
                <w:szCs w:val="28"/>
              </w:rPr>
            </w:pPr>
            <w:r>
              <w:rPr>
                <w:rFonts w:hint="eastAsia"/>
                <w:sz w:val="28"/>
                <w:szCs w:val="28"/>
              </w:rPr>
              <w:t>彭宇飞</w:t>
            </w:r>
          </w:p>
        </w:tc>
      </w:tr>
      <w:tr w:rsidR="00E75D8B" w14:paraId="15D89689" w14:textId="77777777">
        <w:trPr>
          <w:trHeight w:val="878"/>
        </w:trPr>
        <w:tc>
          <w:tcPr>
            <w:tcW w:w="2127" w:type="dxa"/>
            <w:tcBorders>
              <w:bottom w:val="single" w:sz="4" w:space="0" w:color="auto"/>
            </w:tcBorders>
            <w:vAlign w:val="center"/>
          </w:tcPr>
          <w:p w14:paraId="7342CCA5" w14:textId="77777777" w:rsidR="00E75D8B" w:rsidRDefault="00000000">
            <w:pPr>
              <w:tabs>
                <w:tab w:val="left" w:pos="7088"/>
              </w:tabs>
              <w:ind w:firstLineChars="100" w:firstLine="301"/>
              <w:rPr>
                <w:b/>
                <w:sz w:val="30"/>
                <w:szCs w:val="30"/>
              </w:rPr>
            </w:pPr>
            <w:r>
              <w:rPr>
                <w:rFonts w:hint="eastAsia"/>
                <w:b/>
                <w:sz w:val="30"/>
                <w:szCs w:val="30"/>
              </w:rPr>
              <w:t>确认</w:t>
            </w:r>
            <w:r>
              <w:rPr>
                <w:b/>
                <w:sz w:val="30"/>
                <w:szCs w:val="30"/>
              </w:rPr>
              <w:t>结果</w:t>
            </w:r>
          </w:p>
        </w:tc>
        <w:tc>
          <w:tcPr>
            <w:tcW w:w="6946" w:type="dxa"/>
            <w:gridSpan w:val="7"/>
            <w:tcBorders>
              <w:bottom w:val="single" w:sz="4" w:space="0" w:color="auto"/>
            </w:tcBorders>
            <w:vAlign w:val="center"/>
          </w:tcPr>
          <w:p w14:paraId="64B1D8D7" w14:textId="77777777" w:rsidR="00E75D8B" w:rsidRDefault="00000000">
            <w:pPr>
              <w:tabs>
                <w:tab w:val="left" w:pos="7088"/>
              </w:tabs>
              <w:jc w:val="left"/>
              <w:rPr>
                <w:sz w:val="28"/>
                <w:szCs w:val="28"/>
              </w:rPr>
            </w:pPr>
            <w:r>
              <w:rPr>
                <w:rFonts w:asciiTheme="minorEastAsia" w:eastAsiaTheme="minorEastAsia" w:hAnsiTheme="minorEastAsia" w:hint="eastAsia"/>
                <w:sz w:val="28"/>
                <w:szCs w:val="28"/>
              </w:rPr>
              <w:t>来源：医药经济报</w:t>
            </w:r>
          </w:p>
        </w:tc>
      </w:tr>
      <w:tr w:rsidR="00E75D8B" w14:paraId="23B79F65" w14:textId="77777777">
        <w:trPr>
          <w:trHeight w:val="958"/>
        </w:trPr>
        <w:tc>
          <w:tcPr>
            <w:tcW w:w="2127" w:type="dxa"/>
            <w:tcBorders>
              <w:top w:val="single" w:sz="4" w:space="0" w:color="auto"/>
            </w:tcBorders>
            <w:vAlign w:val="center"/>
          </w:tcPr>
          <w:p w14:paraId="3113C4DC" w14:textId="77777777" w:rsidR="00E75D8B" w:rsidRDefault="00000000">
            <w:pPr>
              <w:tabs>
                <w:tab w:val="left" w:pos="7088"/>
              </w:tabs>
              <w:jc w:val="center"/>
              <w:rPr>
                <w:b/>
                <w:sz w:val="30"/>
                <w:szCs w:val="30"/>
              </w:rPr>
            </w:pPr>
            <w:r>
              <w:rPr>
                <w:rFonts w:hint="eastAsia"/>
                <w:b/>
                <w:sz w:val="30"/>
                <w:szCs w:val="30"/>
              </w:rPr>
              <w:t>关键词</w:t>
            </w:r>
          </w:p>
        </w:tc>
        <w:tc>
          <w:tcPr>
            <w:tcW w:w="6946" w:type="dxa"/>
            <w:gridSpan w:val="7"/>
            <w:tcBorders>
              <w:top w:val="single" w:sz="4" w:space="0" w:color="auto"/>
            </w:tcBorders>
            <w:vAlign w:val="center"/>
          </w:tcPr>
          <w:p w14:paraId="5E740383" w14:textId="77777777" w:rsidR="00E75D8B" w:rsidRDefault="00000000">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生物类似药  市场  集采  上市  </w:t>
            </w:r>
          </w:p>
        </w:tc>
      </w:tr>
      <w:tr w:rsidR="00E75D8B" w14:paraId="5A93A141" w14:textId="77777777">
        <w:trPr>
          <w:trHeight w:val="879"/>
        </w:trPr>
        <w:tc>
          <w:tcPr>
            <w:tcW w:w="2127" w:type="dxa"/>
            <w:vAlign w:val="center"/>
          </w:tcPr>
          <w:p w14:paraId="566AA142" w14:textId="77777777" w:rsidR="00E75D8B" w:rsidRDefault="00000000">
            <w:pPr>
              <w:tabs>
                <w:tab w:val="left" w:pos="7088"/>
              </w:tabs>
              <w:jc w:val="center"/>
              <w:rPr>
                <w:b/>
                <w:sz w:val="30"/>
                <w:szCs w:val="30"/>
              </w:rPr>
            </w:pPr>
            <w:r>
              <w:rPr>
                <w:b/>
                <w:sz w:val="30"/>
                <w:szCs w:val="30"/>
              </w:rPr>
              <w:t>内容概要</w:t>
            </w:r>
          </w:p>
        </w:tc>
        <w:tc>
          <w:tcPr>
            <w:tcW w:w="6946" w:type="dxa"/>
            <w:gridSpan w:val="7"/>
          </w:tcPr>
          <w:p w14:paraId="53B94A53" w14:textId="77777777" w:rsidR="00E75D8B" w:rsidRDefault="00E75D8B">
            <w:pPr>
              <w:ind w:firstLineChars="200" w:firstLine="560"/>
              <w:rPr>
                <w:rFonts w:asciiTheme="minorEastAsia" w:hAnsiTheme="minorEastAsia"/>
                <w:sz w:val="28"/>
                <w:szCs w:val="28"/>
                <w:shd w:val="clear" w:color="auto" w:fill="FFFFFF"/>
              </w:rPr>
            </w:pPr>
          </w:p>
          <w:p w14:paraId="06653AD5" w14:textId="77777777" w:rsidR="00E75D8B" w:rsidRDefault="00E75D8B">
            <w:pPr>
              <w:ind w:firstLineChars="200" w:firstLine="560"/>
              <w:rPr>
                <w:rFonts w:asciiTheme="minorEastAsia" w:hAnsiTheme="minorEastAsia"/>
                <w:sz w:val="28"/>
                <w:szCs w:val="28"/>
                <w:shd w:val="clear" w:color="auto" w:fill="FFFFFF"/>
              </w:rPr>
            </w:pPr>
          </w:p>
          <w:p w14:paraId="748EA756" w14:textId="77777777" w:rsidR="00E75D8B" w:rsidRDefault="00000000">
            <w:pPr>
              <w:ind w:firstLineChars="200" w:firstLine="56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10月24日，阿里健康港股价格一路下行，益丰药房凭借396.22亿元人民币总市值，对阿里健康实现超越。</w:t>
            </w:r>
          </w:p>
          <w:p w14:paraId="1FB683A8"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市场观点认为，医药院外市场虽大，互联网平台与线下药店持续角逐，实体零售终端“新零售”觉醒，其拥有的网络、社区、社群、私域流量等资源，一旦借助互联网工具高效盘活，将释放巨大的终端商业能量。</w:t>
            </w:r>
          </w:p>
          <w:p w14:paraId="37E58FC9" w14:textId="77777777" w:rsidR="00E75D8B" w:rsidRDefault="00E75D8B">
            <w:pPr>
              <w:ind w:firstLineChars="200" w:firstLine="560"/>
              <w:jc w:val="left"/>
              <w:rPr>
                <w:rFonts w:asciiTheme="minorEastAsia" w:hAnsiTheme="minorEastAsia"/>
                <w:sz w:val="28"/>
                <w:szCs w:val="28"/>
                <w:shd w:val="clear" w:color="auto" w:fill="FFFFFF"/>
              </w:rPr>
            </w:pPr>
          </w:p>
          <w:p w14:paraId="7CC9DDFE" w14:textId="77777777" w:rsidR="00E75D8B" w:rsidRDefault="00E75D8B">
            <w:pPr>
              <w:ind w:firstLineChars="200" w:firstLine="560"/>
              <w:jc w:val="left"/>
              <w:rPr>
                <w:rFonts w:asciiTheme="minorEastAsia" w:hAnsiTheme="minorEastAsia"/>
                <w:sz w:val="28"/>
                <w:szCs w:val="28"/>
                <w:shd w:val="clear" w:color="auto" w:fill="FFFFFF"/>
              </w:rPr>
            </w:pPr>
          </w:p>
          <w:p w14:paraId="67566084" w14:textId="77777777" w:rsidR="00E75D8B" w:rsidRDefault="00E75D8B">
            <w:pPr>
              <w:ind w:left="560"/>
              <w:rPr>
                <w:rFonts w:asciiTheme="minorEastAsia" w:hAnsiTheme="minorEastAsia"/>
                <w:sz w:val="28"/>
                <w:szCs w:val="28"/>
                <w:shd w:val="clear" w:color="auto" w:fill="FFFFFF"/>
              </w:rPr>
            </w:pPr>
          </w:p>
          <w:p w14:paraId="77C1A2E8" w14:textId="77777777" w:rsidR="00E75D8B"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 xml:space="preserve">4: </w:t>
            </w:r>
            <w:r>
              <w:rPr>
                <w:rFonts w:hint="eastAsia"/>
              </w:rPr>
              <w:t>益丰药房市值超阿里健康，模式单一拷问线上售药</w:t>
            </w:r>
            <w:r>
              <w:rPr>
                <w:rFonts w:hint="eastAsia"/>
              </w:rPr>
              <w:t>!</w:t>
            </w:r>
          </w:p>
        </w:tc>
      </w:tr>
    </w:tbl>
    <w:tbl>
      <w:tblPr>
        <w:tblStyle w:val="ac"/>
        <w:tblpPr w:leftFromText="180" w:rightFromText="180" w:vertAnchor="text" w:horzAnchor="margin" w:tblpXSpec="center" w:tblpY="347"/>
        <w:tblW w:w="9039" w:type="dxa"/>
        <w:tblLayout w:type="fixed"/>
        <w:tblLook w:val="04A0" w:firstRow="1" w:lastRow="0" w:firstColumn="1" w:lastColumn="0" w:noHBand="0" w:noVBand="1"/>
      </w:tblPr>
      <w:tblGrid>
        <w:gridCol w:w="2088"/>
        <w:gridCol w:w="2341"/>
        <w:gridCol w:w="2341"/>
        <w:gridCol w:w="2269"/>
      </w:tblGrid>
      <w:tr w:rsidR="00E75D8B" w14:paraId="591BCBAC" w14:textId="77777777">
        <w:trPr>
          <w:trHeight w:val="841"/>
        </w:trPr>
        <w:tc>
          <w:tcPr>
            <w:tcW w:w="2088" w:type="dxa"/>
            <w:vAlign w:val="center"/>
          </w:tcPr>
          <w:p w14:paraId="6C9E27EE" w14:textId="77777777" w:rsidR="00E75D8B"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05</w:t>
            </w:r>
          </w:p>
        </w:tc>
        <w:tc>
          <w:tcPr>
            <w:tcW w:w="6951" w:type="dxa"/>
            <w:gridSpan w:val="3"/>
            <w:vAlign w:val="center"/>
          </w:tcPr>
          <w:p w14:paraId="0A6ED631" w14:textId="77777777" w:rsidR="00E75D8B" w:rsidRDefault="00000000">
            <w:pPr>
              <w:rPr>
                <w:b/>
                <w:bCs/>
                <w:sz w:val="32"/>
                <w:szCs w:val="32"/>
              </w:rPr>
            </w:pPr>
            <w:r>
              <w:rPr>
                <w:rFonts w:hint="eastAsia"/>
                <w:b/>
                <w:sz w:val="32"/>
                <w:szCs w:val="32"/>
              </w:rPr>
              <w:t>双通道药店，重点品种分析</w:t>
            </w:r>
          </w:p>
        </w:tc>
      </w:tr>
      <w:tr w:rsidR="00E75D8B" w14:paraId="25EFCCD1" w14:textId="77777777">
        <w:trPr>
          <w:trHeight w:val="838"/>
        </w:trPr>
        <w:tc>
          <w:tcPr>
            <w:tcW w:w="2088" w:type="dxa"/>
            <w:vAlign w:val="center"/>
          </w:tcPr>
          <w:p w14:paraId="1A617654" w14:textId="77777777" w:rsidR="00E75D8B" w:rsidRDefault="00000000">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14:paraId="28053D1F" w14:textId="77777777" w:rsidR="00E75D8B" w:rsidRDefault="00000000">
            <w:pPr>
              <w:tabs>
                <w:tab w:val="left" w:pos="7088"/>
              </w:tabs>
              <w:jc w:val="center"/>
              <w:rPr>
                <w:rFonts w:asciiTheme="minorEastAsia" w:eastAsiaTheme="minorEastAsia" w:hAnsiTheme="minorEastAsia"/>
                <w:sz w:val="30"/>
                <w:szCs w:val="30"/>
              </w:rPr>
            </w:pPr>
            <w:r>
              <w:rPr>
                <w:rFonts w:asciiTheme="minorEastAsia" w:eastAsiaTheme="minorEastAsia" w:hAnsiTheme="minorEastAsia"/>
                <w:sz w:val="30"/>
                <w:szCs w:val="30"/>
              </w:rPr>
              <w:t>202</w:t>
            </w:r>
            <w:r>
              <w:rPr>
                <w:rFonts w:asciiTheme="minorEastAsia" w:eastAsiaTheme="minorEastAsia" w:hAnsiTheme="minorEastAsia" w:hint="eastAsia"/>
                <w:sz w:val="30"/>
                <w:szCs w:val="30"/>
              </w:rPr>
              <w:t>2</w:t>
            </w:r>
            <w:r>
              <w:rPr>
                <w:rFonts w:asciiTheme="minorEastAsia" w:eastAsiaTheme="minorEastAsia" w:hAnsiTheme="minorEastAsia"/>
                <w:sz w:val="30"/>
                <w:szCs w:val="30"/>
              </w:rPr>
              <w:t>-</w:t>
            </w:r>
            <w:r>
              <w:rPr>
                <w:rFonts w:asciiTheme="minorEastAsia" w:eastAsiaTheme="minorEastAsia" w:hAnsiTheme="minorEastAsia" w:hint="eastAsia"/>
                <w:sz w:val="30"/>
                <w:szCs w:val="30"/>
              </w:rPr>
              <w:t>10</w:t>
            </w:r>
            <w:r>
              <w:rPr>
                <w:rFonts w:asciiTheme="minorEastAsia" w:eastAsiaTheme="minorEastAsia" w:hAnsiTheme="minorEastAsia"/>
                <w:sz w:val="30"/>
                <w:szCs w:val="30"/>
              </w:rPr>
              <w:t>-</w:t>
            </w:r>
            <w:r>
              <w:rPr>
                <w:rFonts w:asciiTheme="minorEastAsia" w:eastAsiaTheme="minorEastAsia" w:hAnsiTheme="minorEastAsia" w:hint="eastAsia"/>
                <w:sz w:val="30"/>
                <w:szCs w:val="30"/>
              </w:rPr>
              <w:t>16</w:t>
            </w:r>
          </w:p>
        </w:tc>
        <w:tc>
          <w:tcPr>
            <w:tcW w:w="2341" w:type="dxa"/>
            <w:vAlign w:val="center"/>
          </w:tcPr>
          <w:p w14:paraId="6C06A879" w14:textId="77777777" w:rsidR="00E75D8B" w:rsidRDefault="00000000">
            <w:pPr>
              <w:tabs>
                <w:tab w:val="left" w:pos="7088"/>
              </w:tabs>
              <w:jc w:val="center"/>
              <w:rPr>
                <w:b/>
                <w:sz w:val="30"/>
                <w:szCs w:val="30"/>
              </w:rPr>
            </w:pPr>
            <w:r>
              <w:rPr>
                <w:rFonts w:hint="eastAsia"/>
                <w:b/>
                <w:sz w:val="30"/>
                <w:szCs w:val="30"/>
              </w:rPr>
              <w:t>信息来源</w:t>
            </w:r>
          </w:p>
        </w:tc>
        <w:tc>
          <w:tcPr>
            <w:tcW w:w="2269" w:type="dxa"/>
            <w:vAlign w:val="center"/>
          </w:tcPr>
          <w:p w14:paraId="567A1E78" w14:textId="77777777" w:rsidR="00E75D8B" w:rsidRDefault="00000000">
            <w:pPr>
              <w:tabs>
                <w:tab w:val="left" w:pos="7088"/>
              </w:tabs>
              <w:jc w:val="center"/>
              <w:rPr>
                <w:sz w:val="28"/>
                <w:szCs w:val="28"/>
              </w:rPr>
            </w:pPr>
            <w:r>
              <w:rPr>
                <w:rFonts w:hint="eastAsia"/>
                <w:sz w:val="28"/>
                <w:szCs w:val="28"/>
              </w:rPr>
              <w:t>第一药店财智</w:t>
            </w:r>
          </w:p>
        </w:tc>
      </w:tr>
      <w:tr w:rsidR="00E75D8B" w14:paraId="29570AF4" w14:textId="77777777">
        <w:trPr>
          <w:trHeight w:val="850"/>
        </w:trPr>
        <w:tc>
          <w:tcPr>
            <w:tcW w:w="2088" w:type="dxa"/>
            <w:vAlign w:val="center"/>
          </w:tcPr>
          <w:p w14:paraId="7B9144FD" w14:textId="77777777" w:rsidR="00E75D8B"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14:paraId="0F10A0AA" w14:textId="77777777" w:rsidR="00E75D8B" w:rsidRDefault="00000000">
            <w:pPr>
              <w:tabs>
                <w:tab w:val="left" w:pos="7088"/>
              </w:tabs>
              <w:jc w:val="center"/>
              <w:rPr>
                <w:sz w:val="30"/>
                <w:szCs w:val="30"/>
              </w:rPr>
            </w:pPr>
            <w:r>
              <w:rPr>
                <w:rFonts w:hint="eastAsia"/>
                <w:sz w:val="28"/>
                <w:szCs w:val="28"/>
              </w:rPr>
              <w:t>运营管理部</w:t>
            </w:r>
          </w:p>
        </w:tc>
        <w:tc>
          <w:tcPr>
            <w:tcW w:w="2341" w:type="dxa"/>
            <w:vAlign w:val="center"/>
          </w:tcPr>
          <w:p w14:paraId="0BF04BE3" w14:textId="77777777" w:rsidR="00E75D8B" w:rsidRDefault="00000000">
            <w:pPr>
              <w:tabs>
                <w:tab w:val="left" w:pos="7088"/>
              </w:tabs>
              <w:jc w:val="center"/>
              <w:rPr>
                <w:b/>
                <w:sz w:val="30"/>
                <w:szCs w:val="30"/>
              </w:rPr>
            </w:pPr>
            <w:r>
              <w:rPr>
                <w:rFonts w:hint="eastAsia"/>
                <w:b/>
                <w:sz w:val="30"/>
                <w:szCs w:val="30"/>
              </w:rPr>
              <w:t>信息确认</w:t>
            </w:r>
          </w:p>
        </w:tc>
        <w:tc>
          <w:tcPr>
            <w:tcW w:w="2269" w:type="dxa"/>
            <w:vAlign w:val="center"/>
          </w:tcPr>
          <w:p w14:paraId="1C9C0ACD" w14:textId="77777777" w:rsidR="00E75D8B" w:rsidRDefault="00000000">
            <w:pPr>
              <w:tabs>
                <w:tab w:val="left" w:pos="7088"/>
              </w:tabs>
              <w:jc w:val="center"/>
              <w:rPr>
                <w:sz w:val="30"/>
                <w:szCs w:val="30"/>
              </w:rPr>
            </w:pPr>
            <w:r>
              <w:rPr>
                <w:rFonts w:hint="eastAsia"/>
                <w:sz w:val="30"/>
                <w:szCs w:val="30"/>
              </w:rPr>
              <w:t>彭宇飞</w:t>
            </w:r>
          </w:p>
        </w:tc>
      </w:tr>
      <w:tr w:rsidR="00E75D8B" w14:paraId="0722D13D" w14:textId="77777777">
        <w:trPr>
          <w:trHeight w:val="912"/>
        </w:trPr>
        <w:tc>
          <w:tcPr>
            <w:tcW w:w="2088" w:type="dxa"/>
            <w:tcBorders>
              <w:bottom w:val="single" w:sz="4" w:space="0" w:color="auto"/>
            </w:tcBorders>
            <w:vAlign w:val="center"/>
          </w:tcPr>
          <w:p w14:paraId="0B4BFA20" w14:textId="77777777" w:rsidR="00E75D8B" w:rsidRDefault="00000000">
            <w:pPr>
              <w:tabs>
                <w:tab w:val="left" w:pos="7088"/>
              </w:tabs>
              <w:ind w:firstLineChars="150" w:firstLine="452"/>
              <w:rPr>
                <w:b/>
                <w:sz w:val="30"/>
                <w:szCs w:val="30"/>
              </w:rPr>
            </w:pPr>
            <w:r>
              <w:rPr>
                <w:rFonts w:hint="eastAsia"/>
                <w:b/>
                <w:sz w:val="30"/>
                <w:szCs w:val="30"/>
              </w:rPr>
              <w:t>确认</w:t>
            </w:r>
            <w:r>
              <w:rPr>
                <w:b/>
                <w:sz w:val="30"/>
                <w:szCs w:val="30"/>
              </w:rPr>
              <w:t>结果</w:t>
            </w:r>
          </w:p>
        </w:tc>
        <w:tc>
          <w:tcPr>
            <w:tcW w:w="6951" w:type="dxa"/>
            <w:gridSpan w:val="3"/>
            <w:tcBorders>
              <w:bottom w:val="single" w:sz="4" w:space="0" w:color="auto"/>
            </w:tcBorders>
            <w:vAlign w:val="center"/>
          </w:tcPr>
          <w:p w14:paraId="7CC75C09" w14:textId="77777777" w:rsidR="00E75D8B" w:rsidRDefault="00000000">
            <w:pPr>
              <w:tabs>
                <w:tab w:val="left" w:pos="7088"/>
              </w:tabs>
              <w:jc w:val="left"/>
              <w:rPr>
                <w:sz w:val="28"/>
                <w:szCs w:val="28"/>
              </w:rPr>
            </w:pPr>
            <w:r>
              <w:rPr>
                <w:rFonts w:hint="eastAsia"/>
                <w:sz w:val="28"/>
                <w:szCs w:val="28"/>
              </w:rPr>
              <w:t>来源：第一药店财智</w:t>
            </w:r>
          </w:p>
        </w:tc>
      </w:tr>
      <w:tr w:rsidR="00E75D8B" w14:paraId="18A9CECD" w14:textId="77777777">
        <w:trPr>
          <w:trHeight w:val="945"/>
        </w:trPr>
        <w:tc>
          <w:tcPr>
            <w:tcW w:w="2088" w:type="dxa"/>
            <w:tcBorders>
              <w:top w:val="single" w:sz="4" w:space="0" w:color="auto"/>
            </w:tcBorders>
            <w:vAlign w:val="center"/>
          </w:tcPr>
          <w:p w14:paraId="5DC1D053" w14:textId="77777777" w:rsidR="00E75D8B" w:rsidRDefault="00000000">
            <w:pPr>
              <w:tabs>
                <w:tab w:val="left" w:pos="7088"/>
              </w:tabs>
              <w:jc w:val="center"/>
              <w:rPr>
                <w:b/>
                <w:sz w:val="30"/>
                <w:szCs w:val="30"/>
              </w:rPr>
            </w:pPr>
            <w:r>
              <w:rPr>
                <w:rFonts w:hint="eastAsia"/>
                <w:b/>
                <w:sz w:val="30"/>
                <w:szCs w:val="30"/>
              </w:rPr>
              <w:t>关键词</w:t>
            </w:r>
          </w:p>
        </w:tc>
        <w:tc>
          <w:tcPr>
            <w:tcW w:w="6951" w:type="dxa"/>
            <w:gridSpan w:val="3"/>
            <w:tcBorders>
              <w:top w:val="single" w:sz="4" w:space="0" w:color="auto"/>
            </w:tcBorders>
            <w:vAlign w:val="center"/>
          </w:tcPr>
          <w:p w14:paraId="6F61DEB6" w14:textId="77777777" w:rsidR="00E75D8B" w:rsidRDefault="00000000">
            <w:pPr>
              <w:tabs>
                <w:tab w:val="left" w:pos="7088"/>
              </w:tabs>
              <w:jc w:val="left"/>
              <w:rPr>
                <w:rFonts w:asciiTheme="majorEastAsia" w:eastAsiaTheme="majorEastAsia" w:hAnsiTheme="majorEastAsia" w:cs="宋体"/>
                <w:kern w:val="0"/>
                <w:sz w:val="30"/>
                <w:szCs w:val="30"/>
              </w:rPr>
            </w:pPr>
            <w:r>
              <w:rPr>
                <w:rFonts w:asciiTheme="minorEastAsia" w:hAnsiTheme="minorEastAsia" w:hint="eastAsia"/>
                <w:sz w:val="28"/>
                <w:szCs w:val="28"/>
                <w:shd w:val="clear" w:color="auto" w:fill="FFFFFF"/>
              </w:rPr>
              <w:t>双通道</w:t>
            </w:r>
            <w:r>
              <w:rPr>
                <w:rFonts w:asciiTheme="majorEastAsia" w:eastAsiaTheme="majorEastAsia" w:hAnsiTheme="majorEastAsia" w:cs="宋体" w:hint="eastAsia"/>
                <w:kern w:val="0"/>
                <w:sz w:val="30"/>
                <w:szCs w:val="30"/>
              </w:rPr>
              <w:t xml:space="preserve">  </w:t>
            </w:r>
            <w:r>
              <w:rPr>
                <w:rFonts w:asciiTheme="minorEastAsia" w:hAnsiTheme="minorEastAsia" w:hint="eastAsia"/>
                <w:sz w:val="28"/>
                <w:szCs w:val="28"/>
                <w:shd w:val="clear" w:color="auto" w:fill="FFFFFF"/>
              </w:rPr>
              <w:t>品种</w:t>
            </w:r>
            <w:r>
              <w:rPr>
                <w:rFonts w:asciiTheme="majorEastAsia" w:eastAsiaTheme="majorEastAsia" w:hAnsiTheme="majorEastAsia" w:cs="宋体" w:hint="eastAsia"/>
                <w:kern w:val="0"/>
                <w:sz w:val="30"/>
                <w:szCs w:val="30"/>
              </w:rPr>
              <w:t xml:space="preserve">  药店</w:t>
            </w:r>
          </w:p>
        </w:tc>
      </w:tr>
      <w:tr w:rsidR="00E75D8B" w14:paraId="3E3783DF" w14:textId="77777777">
        <w:trPr>
          <w:trHeight w:val="3076"/>
        </w:trPr>
        <w:tc>
          <w:tcPr>
            <w:tcW w:w="2088" w:type="dxa"/>
            <w:vAlign w:val="center"/>
          </w:tcPr>
          <w:p w14:paraId="456F4A7D" w14:textId="77777777" w:rsidR="00E75D8B" w:rsidRDefault="00000000">
            <w:pPr>
              <w:tabs>
                <w:tab w:val="left" w:pos="7088"/>
              </w:tabs>
              <w:jc w:val="center"/>
              <w:rPr>
                <w:b/>
                <w:sz w:val="30"/>
                <w:szCs w:val="30"/>
              </w:rPr>
            </w:pPr>
            <w:r>
              <w:rPr>
                <w:b/>
                <w:sz w:val="30"/>
                <w:szCs w:val="30"/>
              </w:rPr>
              <w:t>内容概要</w:t>
            </w:r>
          </w:p>
        </w:tc>
        <w:tc>
          <w:tcPr>
            <w:tcW w:w="6951" w:type="dxa"/>
            <w:gridSpan w:val="3"/>
            <w:vAlign w:val="center"/>
          </w:tcPr>
          <w:p w14:paraId="59898A34" w14:textId="77777777" w:rsidR="00E75D8B" w:rsidRDefault="00E75D8B">
            <w:pPr>
              <w:rPr>
                <w:rFonts w:asciiTheme="minorEastAsia" w:hAnsiTheme="minorEastAsia"/>
                <w:sz w:val="28"/>
                <w:szCs w:val="28"/>
              </w:rPr>
            </w:pPr>
          </w:p>
          <w:p w14:paraId="0C87E335" w14:textId="77777777" w:rsidR="00E75D8B" w:rsidRDefault="00E75D8B">
            <w:pPr>
              <w:rPr>
                <w:rFonts w:asciiTheme="minorEastAsia" w:hAnsiTheme="minorEastAsia"/>
                <w:sz w:val="28"/>
                <w:szCs w:val="28"/>
              </w:rPr>
            </w:pPr>
          </w:p>
          <w:p w14:paraId="54241476" w14:textId="77777777" w:rsidR="00E75D8B" w:rsidRDefault="00000000">
            <w:p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为反馈“双通道”政策在药店落地的实际情况，《第一药店财智》对55家连锁企业涉及855家“双通道”药店截至2022年3月31日之前的经营指标进行分析，以期反馈现实情况，呼吁各方重视及推动后续优化。</w:t>
            </w:r>
          </w:p>
          <w:p w14:paraId="0731D327" w14:textId="77777777" w:rsidR="00E75D8B" w:rsidRDefault="00000000">
            <w:p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1．“双通道”药店重点关注47个品种</w:t>
            </w:r>
          </w:p>
          <w:p w14:paraId="1D7E424E" w14:textId="77777777" w:rsidR="00E75D8B" w:rsidRDefault="00000000">
            <w:p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2．院内抗肿瘤药销售额负增长，零售药店市场广阔</w:t>
            </w:r>
          </w:p>
          <w:p w14:paraId="0FC27A96" w14:textId="77777777" w:rsidR="00E75D8B" w:rsidRDefault="00000000">
            <w:pPr>
              <w:spacing w:line="480" w:lineRule="auto"/>
              <w:ind w:firstLineChars="200" w:firstLine="560"/>
              <w:rPr>
                <w:rFonts w:asciiTheme="minorEastAsia" w:eastAsiaTheme="minorEastAsia" w:hAnsiTheme="minorEastAsia" w:cs="宋体"/>
                <w:kern w:val="0"/>
                <w:sz w:val="28"/>
                <w:szCs w:val="28"/>
              </w:rPr>
            </w:pPr>
            <w:r>
              <w:rPr>
                <w:rFonts w:asciiTheme="minorEastAsia" w:hAnsiTheme="minorEastAsia" w:hint="eastAsia"/>
                <w:sz w:val="28"/>
                <w:szCs w:val="28"/>
              </w:rPr>
              <w:t>附：连锁药店经营“双通道”目录药品的重点品种</w:t>
            </w:r>
          </w:p>
          <w:p w14:paraId="32E59493" w14:textId="77777777" w:rsidR="00E75D8B" w:rsidRDefault="00E75D8B">
            <w:pPr>
              <w:spacing w:line="480" w:lineRule="auto"/>
              <w:rPr>
                <w:rFonts w:asciiTheme="minorEastAsia" w:eastAsiaTheme="minorEastAsia" w:hAnsiTheme="minorEastAsia" w:cs="宋体"/>
                <w:kern w:val="0"/>
                <w:sz w:val="28"/>
                <w:szCs w:val="28"/>
              </w:rPr>
            </w:pPr>
          </w:p>
          <w:p w14:paraId="2C819B34" w14:textId="77777777" w:rsidR="00E75D8B" w:rsidRDefault="00E75D8B">
            <w:pPr>
              <w:spacing w:line="480" w:lineRule="auto"/>
              <w:rPr>
                <w:rFonts w:asciiTheme="minorEastAsia" w:eastAsiaTheme="minorEastAsia" w:hAnsiTheme="minorEastAsia" w:cs="宋体"/>
                <w:kern w:val="0"/>
                <w:sz w:val="28"/>
                <w:szCs w:val="28"/>
              </w:rPr>
            </w:pPr>
          </w:p>
          <w:p w14:paraId="032BDE87" w14:textId="77777777" w:rsidR="00E75D8B" w:rsidRDefault="00E75D8B">
            <w:pPr>
              <w:spacing w:line="480" w:lineRule="auto"/>
              <w:rPr>
                <w:rFonts w:asciiTheme="minorEastAsia" w:eastAsiaTheme="minorEastAsia" w:hAnsiTheme="minorEastAsia" w:cs="宋体"/>
                <w:kern w:val="0"/>
                <w:sz w:val="28"/>
                <w:szCs w:val="28"/>
              </w:rPr>
            </w:pPr>
          </w:p>
          <w:p w14:paraId="4504A334" w14:textId="77777777" w:rsidR="00E75D8B" w:rsidRDefault="00E75D8B">
            <w:pPr>
              <w:spacing w:line="480" w:lineRule="auto"/>
              <w:rPr>
                <w:rFonts w:asciiTheme="minorEastAsia" w:eastAsiaTheme="minorEastAsia" w:hAnsiTheme="minorEastAsia" w:cs="宋体"/>
                <w:kern w:val="0"/>
                <w:szCs w:val="21"/>
              </w:rPr>
            </w:pPr>
          </w:p>
          <w:p w14:paraId="5DF5EAA4" w14:textId="77777777" w:rsidR="00E75D8B" w:rsidRDefault="00000000">
            <w:pPr>
              <w:spacing w:line="400" w:lineRule="exact"/>
              <w:rPr>
                <w:b/>
                <w:sz w:val="32"/>
                <w:szCs w:val="32"/>
              </w:rPr>
            </w:pPr>
            <w:r>
              <w:rPr>
                <w:rFonts w:ascii="宋体" w:hAnsi="宋体" w:cs="宋体" w:hint="eastAsia"/>
                <w:kern w:val="0"/>
                <w:szCs w:val="21"/>
              </w:rPr>
              <w:t>附件5:</w:t>
            </w:r>
            <w:r>
              <w:rPr>
                <w:rFonts w:ascii="宋体" w:hAnsi="宋体" w:cs="宋体" w:hint="eastAsia"/>
                <w:b/>
                <w:kern w:val="0"/>
                <w:szCs w:val="21"/>
              </w:rPr>
              <w:t xml:space="preserve"> </w:t>
            </w:r>
            <w:r>
              <w:rPr>
                <w:rFonts w:hint="eastAsia"/>
              </w:rPr>
              <w:t>双通道药店，重点品种分析</w:t>
            </w:r>
          </w:p>
        </w:tc>
      </w:tr>
    </w:tbl>
    <w:p w14:paraId="72CAEA3C" w14:textId="77777777" w:rsidR="00E75D8B"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附件1</w:t>
      </w:r>
    </w:p>
    <w:p w14:paraId="6D88F309" w14:textId="77777777" w:rsidR="00E75D8B" w:rsidRDefault="00E75D8B">
      <w:pPr>
        <w:rPr>
          <w:rFonts w:ascii="微软雅黑" w:eastAsia="微软雅黑" w:hAnsi="微软雅黑" w:cs="宋体"/>
          <w:color w:val="333333"/>
          <w:spacing w:val="8"/>
          <w:kern w:val="0"/>
          <w:sz w:val="33"/>
          <w:szCs w:val="33"/>
        </w:rPr>
      </w:pPr>
    </w:p>
    <w:p w14:paraId="39E08832" w14:textId="77777777" w:rsidR="00E75D8B" w:rsidRDefault="00000000">
      <w:pPr>
        <w:jc w:val="left"/>
      </w:pPr>
      <w:r>
        <w:rPr>
          <w:rFonts w:ascii="微软雅黑" w:eastAsia="微软雅黑" w:hAnsi="微软雅黑" w:cs="宋体" w:hint="eastAsia"/>
          <w:color w:val="333333"/>
          <w:spacing w:val="8"/>
          <w:kern w:val="0"/>
          <w:sz w:val="33"/>
          <w:szCs w:val="33"/>
        </w:rPr>
        <w:t>二十大报告（医药健康）| 解读合集</w:t>
      </w:r>
    </w:p>
    <w:p w14:paraId="75D5BD9A" w14:textId="77777777" w:rsidR="00E75D8B" w:rsidRDefault="00E75D8B">
      <w:pPr>
        <w:jc w:val="left"/>
      </w:pPr>
    </w:p>
    <w:p w14:paraId="23D7BC2D" w14:textId="77777777" w:rsidR="00E75D8B" w:rsidRDefault="00000000">
      <w:pPr>
        <w:jc w:val="left"/>
        <w:rPr>
          <w:rStyle w:val="ad"/>
          <w:rFonts w:asciiTheme="minorEastAsia" w:hAnsiTheme="minorEastAsia" w:cs="Helvetica"/>
          <w:b w:val="0"/>
          <w:spacing w:val="15"/>
          <w:sz w:val="28"/>
          <w:szCs w:val="28"/>
        </w:rPr>
      </w:pPr>
      <w:r>
        <w:rPr>
          <w:rFonts w:hint="eastAsia"/>
        </w:rPr>
        <w:t>赛柏蓝</w:t>
      </w:r>
      <w:r>
        <w:rPr>
          <w:rFonts w:hint="eastAsia"/>
        </w:rPr>
        <w:t xml:space="preserve">  2022-10-25</w:t>
      </w:r>
    </w:p>
    <w:p w14:paraId="265ACE4F" w14:textId="77777777" w:rsidR="00E75D8B" w:rsidRDefault="00E75D8B">
      <w:pPr>
        <w:jc w:val="left"/>
        <w:rPr>
          <w:rStyle w:val="ad"/>
          <w:rFonts w:asciiTheme="minorEastAsia" w:hAnsiTheme="minorEastAsia" w:cs="Helvetica"/>
          <w:b w:val="0"/>
          <w:spacing w:val="15"/>
          <w:sz w:val="28"/>
          <w:szCs w:val="28"/>
        </w:rPr>
      </w:pPr>
    </w:p>
    <w:p w14:paraId="04A97CE0" w14:textId="77777777" w:rsidR="00E75D8B" w:rsidRDefault="00000000">
      <w:pPr>
        <w:jc w:val="center"/>
        <w:rPr>
          <w:rStyle w:val="ad"/>
          <w:rFonts w:ascii="黑体" w:eastAsia="黑体" w:hAnsi="黑体"/>
          <w:sz w:val="32"/>
          <w:szCs w:val="32"/>
        </w:rPr>
      </w:pPr>
      <w:r>
        <w:rPr>
          <w:rStyle w:val="ad"/>
          <w:rFonts w:ascii="黑体" w:eastAsia="黑体" w:hAnsi="黑体"/>
          <w:sz w:val="32"/>
          <w:szCs w:val="32"/>
        </w:rPr>
        <w:t xml:space="preserve">目 </w:t>
      </w:r>
      <w:r>
        <w:rPr>
          <w:rStyle w:val="ad"/>
          <w:rFonts w:ascii="黑体" w:eastAsia="黑体" w:hAnsi="黑体" w:hint="eastAsia"/>
          <w:sz w:val="32"/>
          <w:szCs w:val="32"/>
        </w:rPr>
        <w:t xml:space="preserve">   </w:t>
      </w:r>
      <w:r>
        <w:rPr>
          <w:rStyle w:val="ad"/>
          <w:rFonts w:ascii="黑体" w:eastAsia="黑体" w:hAnsi="黑体"/>
          <w:sz w:val="32"/>
          <w:szCs w:val="32"/>
        </w:rPr>
        <w:t>录</w:t>
      </w:r>
    </w:p>
    <w:p w14:paraId="75285E7C" w14:textId="77777777" w:rsidR="00E75D8B" w:rsidRDefault="00000000">
      <w:pPr>
        <w:jc w:val="center"/>
        <w:rPr>
          <w:sz w:val="28"/>
          <w:szCs w:val="28"/>
        </w:rPr>
      </w:pPr>
      <w:r>
        <w:rPr>
          <w:rStyle w:val="ad"/>
          <w:color w:val="0A6EBF"/>
          <w:sz w:val="28"/>
          <w:szCs w:val="28"/>
        </w:rPr>
        <w:t>第一篇、三医协同</w:t>
      </w:r>
    </w:p>
    <w:p w14:paraId="28BDB555"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01医疗保障</w:t>
      </w:r>
    </w:p>
    <w:p w14:paraId="10E24224"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一、医保体系</w:t>
      </w:r>
    </w:p>
    <w:p w14:paraId="531024C3"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二、商业健康保险</w:t>
      </w:r>
    </w:p>
    <w:p w14:paraId="2D5F23D5"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02生育支持</w:t>
      </w:r>
    </w:p>
    <w:p w14:paraId="35EE77CC"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一、儿童药市场规模</w:t>
      </w:r>
    </w:p>
    <w:p w14:paraId="1876A9A6"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二、在研儿童药物</w:t>
      </w:r>
    </w:p>
    <w:p w14:paraId="1B57054C"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03应对老龄化</w:t>
      </w:r>
    </w:p>
    <w:p w14:paraId="7472ECBA"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04中医药传承创新</w:t>
      </w:r>
    </w:p>
    <w:p w14:paraId="77F09DA5"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一、传承</w:t>
      </w:r>
    </w:p>
    <w:p w14:paraId="64DCA95E"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二、创新</w:t>
      </w:r>
    </w:p>
    <w:p w14:paraId="005A60AE" w14:textId="77777777" w:rsidR="00E75D8B" w:rsidRDefault="00E75D8B">
      <w:pPr>
        <w:jc w:val="center"/>
        <w:rPr>
          <w:rStyle w:val="ad"/>
          <w:color w:val="0A6EBF"/>
          <w:sz w:val="23"/>
          <w:szCs w:val="23"/>
        </w:rPr>
      </w:pPr>
    </w:p>
    <w:p w14:paraId="263BAB69" w14:textId="77777777" w:rsidR="00E75D8B" w:rsidRDefault="00000000">
      <w:pPr>
        <w:jc w:val="center"/>
        <w:rPr>
          <w:rStyle w:val="ad"/>
          <w:color w:val="0A6EBF"/>
          <w:sz w:val="28"/>
          <w:szCs w:val="28"/>
        </w:rPr>
      </w:pPr>
      <w:r>
        <w:rPr>
          <w:rStyle w:val="ad"/>
          <w:color w:val="0A6EBF"/>
          <w:sz w:val="28"/>
          <w:szCs w:val="28"/>
        </w:rPr>
        <w:t>第二篇、儿童医药</w:t>
      </w:r>
    </w:p>
    <w:p w14:paraId="5A2B9776"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01养育成本</w:t>
      </w:r>
    </w:p>
    <w:p w14:paraId="555E7A8F"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02出生率</w:t>
      </w:r>
    </w:p>
    <w:p w14:paraId="2490A0FC"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03常见病</w:t>
      </w:r>
    </w:p>
    <w:p w14:paraId="5B7C9FA3"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04儿童医院</w:t>
      </w:r>
    </w:p>
    <w:p w14:paraId="570523FA"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05儿童药</w:t>
      </w:r>
    </w:p>
    <w:p w14:paraId="7B422002"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一、Top10药品</w:t>
      </w:r>
    </w:p>
    <w:p w14:paraId="32D2E609"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二、Top企业</w:t>
      </w:r>
    </w:p>
    <w:p w14:paraId="5FCFC41B"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三、在研儿童药</w:t>
      </w:r>
    </w:p>
    <w:p w14:paraId="40A31BAC" w14:textId="77777777" w:rsidR="00E75D8B" w:rsidRDefault="00E75D8B">
      <w:pPr>
        <w:jc w:val="center"/>
        <w:rPr>
          <w:rStyle w:val="ad"/>
          <w:color w:val="0A6EBF"/>
          <w:sz w:val="23"/>
          <w:szCs w:val="23"/>
        </w:rPr>
      </w:pPr>
    </w:p>
    <w:p w14:paraId="4C69637C" w14:textId="77777777" w:rsidR="00E75D8B" w:rsidRDefault="00000000">
      <w:pPr>
        <w:jc w:val="center"/>
        <w:rPr>
          <w:rStyle w:val="ad"/>
          <w:color w:val="0A6EBF"/>
          <w:sz w:val="28"/>
          <w:szCs w:val="28"/>
        </w:rPr>
      </w:pPr>
      <w:r>
        <w:rPr>
          <w:rStyle w:val="ad"/>
          <w:color w:val="0A6EBF"/>
          <w:sz w:val="28"/>
          <w:szCs w:val="28"/>
        </w:rPr>
        <w:t>第三篇、老年医药</w:t>
      </w:r>
    </w:p>
    <w:p w14:paraId="021A6943"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01老龄化</w:t>
      </w:r>
    </w:p>
    <w:p w14:paraId="4A44E151"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02患病率</w:t>
      </w:r>
    </w:p>
    <w:p w14:paraId="4F84C030"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03慢病支出</w:t>
      </w:r>
    </w:p>
    <w:p w14:paraId="32CDC12A"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04慢病用药</w:t>
      </w:r>
    </w:p>
    <w:p w14:paraId="1A7825ED" w14:textId="77777777" w:rsidR="00E75D8B" w:rsidRDefault="00000000">
      <w:pPr>
        <w:jc w:val="center"/>
        <w:rPr>
          <w:rStyle w:val="ad"/>
          <w:color w:val="0A6EBF"/>
          <w:sz w:val="28"/>
          <w:szCs w:val="28"/>
        </w:rPr>
      </w:pPr>
      <w:r>
        <w:rPr>
          <w:rStyle w:val="ad"/>
          <w:color w:val="0A6EBF"/>
          <w:sz w:val="28"/>
          <w:szCs w:val="28"/>
        </w:rPr>
        <w:lastRenderedPageBreak/>
        <w:t>第四篇、商业健康保险</w:t>
      </w:r>
    </w:p>
    <w:p w14:paraId="0E53BB62"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01规模</w:t>
      </w:r>
    </w:p>
    <w:p w14:paraId="3D48609D"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02产品组成</w:t>
      </w:r>
    </w:p>
    <w:p w14:paraId="1CAF41DA"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03分布</w:t>
      </w:r>
    </w:p>
    <w:p w14:paraId="0A7E015F"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一、企业分布</w:t>
      </w:r>
    </w:p>
    <w:p w14:paraId="1F073D54"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二、机构分布</w:t>
      </w:r>
    </w:p>
    <w:p w14:paraId="73C8929C"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04密度、深度</w:t>
      </w:r>
    </w:p>
    <w:p w14:paraId="70AD555E"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一、国际差距</w:t>
      </w:r>
    </w:p>
    <w:p w14:paraId="44B0EA2A"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sz w:val="23"/>
          <w:szCs w:val="23"/>
        </w:rPr>
      </w:pPr>
      <w:r>
        <w:rPr>
          <w:rFonts w:ascii="微软雅黑" w:eastAsia="微软雅黑" w:hAnsi="微软雅黑" w:hint="eastAsia"/>
          <w:color w:val="222222"/>
          <w:spacing w:val="8"/>
          <w:sz w:val="23"/>
          <w:szCs w:val="23"/>
        </w:rPr>
        <w:t>二、进步很快</w:t>
      </w:r>
    </w:p>
    <w:p w14:paraId="52142034" w14:textId="77777777" w:rsidR="00E75D8B" w:rsidRDefault="00E75D8B">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p>
    <w:p w14:paraId="692447A6" w14:textId="77777777" w:rsidR="00E75D8B" w:rsidRDefault="00000000">
      <w:pPr>
        <w:jc w:val="center"/>
        <w:rPr>
          <w:rStyle w:val="ad"/>
          <w:color w:val="0A6EBF"/>
          <w:sz w:val="28"/>
          <w:szCs w:val="28"/>
        </w:rPr>
      </w:pPr>
      <w:r>
        <w:rPr>
          <w:rStyle w:val="ad"/>
          <w:color w:val="0A6EBF"/>
          <w:sz w:val="28"/>
          <w:szCs w:val="28"/>
        </w:rPr>
        <w:t>第五篇、中医药</w:t>
      </w:r>
    </w:p>
    <w:p w14:paraId="2FDDA690"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01传承</w:t>
      </w:r>
    </w:p>
    <w:p w14:paraId="654BB46F"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一、非遗</w:t>
      </w:r>
    </w:p>
    <w:p w14:paraId="2455E32A"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二、博物馆</w:t>
      </w:r>
    </w:p>
    <w:p w14:paraId="0DF877C3"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三、老字号</w:t>
      </w:r>
    </w:p>
    <w:p w14:paraId="10171B7B"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四、传承人</w:t>
      </w:r>
    </w:p>
    <w:p w14:paraId="6185F488"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Style w:val="ad"/>
          <w:rFonts w:ascii="微软雅黑" w:eastAsia="微软雅黑" w:hAnsi="微软雅黑" w:hint="eastAsia"/>
          <w:color w:val="222222"/>
          <w:spacing w:val="8"/>
          <w:sz w:val="23"/>
          <w:szCs w:val="23"/>
        </w:rPr>
        <w:t>02创新</w:t>
      </w:r>
    </w:p>
    <w:p w14:paraId="6B02DDBF"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一、创新政策</w:t>
      </w:r>
    </w:p>
    <w:p w14:paraId="6801C825"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二、创新基地</w:t>
      </w:r>
    </w:p>
    <w:p w14:paraId="276812AD" w14:textId="77777777" w:rsidR="00E75D8B" w:rsidRDefault="00000000">
      <w:pPr>
        <w:pStyle w:val="ab"/>
        <w:shd w:val="clear" w:color="auto" w:fill="FFFFFF"/>
        <w:spacing w:before="0" w:beforeAutospacing="0" w:after="0" w:afterAutospacing="0" w:line="320" w:lineRule="exact"/>
        <w:jc w:val="center"/>
        <w:rPr>
          <w:rFonts w:ascii="微软雅黑" w:eastAsia="微软雅黑" w:hAnsi="微软雅黑"/>
          <w:color w:val="222222"/>
          <w:spacing w:val="8"/>
        </w:rPr>
      </w:pPr>
      <w:r>
        <w:rPr>
          <w:rFonts w:ascii="微软雅黑" w:eastAsia="微软雅黑" w:hAnsi="微软雅黑" w:hint="eastAsia"/>
          <w:color w:val="222222"/>
          <w:spacing w:val="8"/>
          <w:sz w:val="23"/>
          <w:szCs w:val="23"/>
        </w:rPr>
        <w:t>三、创新药</w:t>
      </w:r>
    </w:p>
    <w:p w14:paraId="5EA14B84" w14:textId="77777777" w:rsidR="00E75D8B" w:rsidRDefault="00E75D8B">
      <w:pPr>
        <w:jc w:val="left"/>
        <w:rPr>
          <w:rStyle w:val="ad"/>
          <w:rFonts w:asciiTheme="minorEastAsia" w:hAnsiTheme="minorEastAsia" w:cs="Helvetica"/>
          <w:b w:val="0"/>
          <w:spacing w:val="15"/>
          <w:sz w:val="28"/>
          <w:szCs w:val="28"/>
        </w:rPr>
      </w:pPr>
    </w:p>
    <w:p w14:paraId="6CDAEA88" w14:textId="77777777" w:rsidR="00E75D8B" w:rsidRDefault="00000000">
      <w:pPr>
        <w:pStyle w:val="2"/>
        <w:shd w:val="clear" w:color="auto" w:fill="FFFFFF"/>
        <w:spacing w:before="0" w:beforeAutospacing="0" w:after="0" w:afterAutospacing="0" w:line="420" w:lineRule="atLeast"/>
        <w:ind w:right="120"/>
        <w:jc w:val="center"/>
        <w:rPr>
          <w:rFonts w:ascii="微软雅黑" w:eastAsia="微软雅黑" w:hAnsi="微软雅黑"/>
          <w:bCs/>
          <w:color w:val="222222"/>
          <w:spacing w:val="8"/>
          <w:sz w:val="24"/>
          <w:szCs w:val="24"/>
        </w:rPr>
      </w:pPr>
      <w:r>
        <w:rPr>
          <w:rStyle w:val="ad"/>
          <w:rFonts w:ascii="微软雅黑" w:eastAsia="微软雅黑" w:hAnsi="微软雅黑" w:hint="eastAsia"/>
          <w:bCs w:val="0"/>
          <w:color w:val="0A6EBF"/>
          <w:spacing w:val="8"/>
          <w:sz w:val="23"/>
          <w:szCs w:val="23"/>
        </w:rPr>
        <w:t>第一篇、三医协同</w:t>
      </w:r>
    </w:p>
    <w:p w14:paraId="25644C9C" w14:textId="77777777" w:rsidR="00E75D8B" w:rsidRDefault="00000000">
      <w:pPr>
        <w:pStyle w:val="ab"/>
        <w:shd w:val="clear" w:color="auto" w:fill="FFFFFF"/>
        <w:spacing w:before="0" w:beforeAutospacing="0" w:after="0" w:afterAutospacing="0" w:line="384" w:lineRule="atLeast"/>
        <w:ind w:firstLineChars="200" w:firstLine="492"/>
        <w:jc w:val="both"/>
        <w:outlineLvl w:val="2"/>
        <w:rPr>
          <w:rFonts w:ascii="微软雅黑" w:eastAsia="微软雅黑" w:hAnsi="微软雅黑"/>
          <w:color w:val="222222"/>
          <w:spacing w:val="8"/>
        </w:rPr>
      </w:pPr>
      <w:r>
        <w:rPr>
          <w:rFonts w:ascii="微软雅黑" w:eastAsia="微软雅黑" w:hAnsi="微软雅黑" w:hint="eastAsia"/>
          <w:color w:val="222222"/>
          <w:spacing w:val="8"/>
          <w:sz w:val="23"/>
          <w:szCs w:val="23"/>
        </w:rPr>
        <w:t>二十大报告提出“</w:t>
      </w:r>
      <w:r>
        <w:rPr>
          <w:rStyle w:val="ad"/>
          <w:rFonts w:ascii="微软雅黑" w:eastAsia="微软雅黑" w:hAnsi="微软雅黑" w:hint="eastAsia"/>
          <w:color w:val="0A6EBF"/>
          <w:spacing w:val="8"/>
          <w:sz w:val="23"/>
          <w:szCs w:val="23"/>
        </w:rPr>
        <w:t>推进健康中国建设</w:t>
      </w:r>
      <w:r>
        <w:rPr>
          <w:rFonts w:ascii="微软雅黑" w:eastAsia="微软雅黑" w:hAnsi="微软雅黑" w:hint="eastAsia"/>
          <w:color w:val="222222"/>
          <w:spacing w:val="8"/>
          <w:sz w:val="23"/>
          <w:szCs w:val="23"/>
        </w:rPr>
        <w:t>”，“深化医药卫生体制改革，</w:t>
      </w:r>
      <w:r>
        <w:rPr>
          <w:rStyle w:val="ad"/>
          <w:rFonts w:ascii="微软雅黑" w:eastAsia="微软雅黑" w:hAnsi="微软雅黑" w:hint="eastAsia"/>
          <w:color w:val="0A6EBF"/>
          <w:spacing w:val="8"/>
          <w:sz w:val="23"/>
          <w:szCs w:val="23"/>
        </w:rPr>
        <w:t>促进医保、医疗、医药协同发展和治理</w:t>
      </w:r>
      <w:r>
        <w:rPr>
          <w:rFonts w:ascii="微软雅黑" w:eastAsia="微软雅黑" w:hAnsi="微软雅黑" w:hint="eastAsia"/>
          <w:color w:val="222222"/>
          <w:spacing w:val="8"/>
          <w:sz w:val="23"/>
          <w:szCs w:val="23"/>
        </w:rPr>
        <w:t>”，并提出“建立</w:t>
      </w:r>
      <w:r>
        <w:rPr>
          <w:rStyle w:val="ad"/>
          <w:rFonts w:ascii="微软雅黑" w:eastAsia="微软雅黑" w:hAnsi="微软雅黑" w:hint="eastAsia"/>
          <w:color w:val="0A6EBF"/>
          <w:spacing w:val="8"/>
          <w:sz w:val="23"/>
          <w:szCs w:val="23"/>
        </w:rPr>
        <w:t>生育支持</w:t>
      </w:r>
      <w:r>
        <w:rPr>
          <w:rFonts w:ascii="微软雅黑" w:eastAsia="微软雅黑" w:hAnsi="微软雅黑" w:hint="eastAsia"/>
          <w:color w:val="222222"/>
          <w:spacing w:val="8"/>
          <w:sz w:val="23"/>
          <w:szCs w:val="23"/>
        </w:rPr>
        <w:t>政策体系”，“实施积极应对</w:t>
      </w:r>
      <w:r>
        <w:rPr>
          <w:rStyle w:val="ad"/>
          <w:rFonts w:ascii="微软雅黑" w:eastAsia="微软雅黑" w:hAnsi="微软雅黑" w:hint="eastAsia"/>
          <w:color w:val="0A6EBF"/>
          <w:spacing w:val="8"/>
          <w:sz w:val="23"/>
          <w:szCs w:val="23"/>
        </w:rPr>
        <w:t>人口老龄化</w:t>
      </w:r>
      <w:r>
        <w:rPr>
          <w:rFonts w:ascii="微软雅黑" w:eastAsia="微软雅黑" w:hAnsi="微软雅黑" w:hint="eastAsia"/>
          <w:color w:val="222222"/>
          <w:spacing w:val="8"/>
          <w:sz w:val="23"/>
          <w:szCs w:val="23"/>
        </w:rPr>
        <w:t>国家战略”，“积极发展</w:t>
      </w:r>
      <w:r>
        <w:rPr>
          <w:rStyle w:val="ad"/>
          <w:rFonts w:ascii="微软雅黑" w:eastAsia="微软雅黑" w:hAnsi="微软雅黑" w:hint="eastAsia"/>
          <w:color w:val="0A6EBF"/>
          <w:spacing w:val="8"/>
          <w:sz w:val="23"/>
          <w:szCs w:val="23"/>
        </w:rPr>
        <w:t>商业医疗保险</w:t>
      </w:r>
      <w:r>
        <w:rPr>
          <w:rFonts w:ascii="微软雅黑" w:eastAsia="微软雅黑" w:hAnsi="微软雅黑" w:hint="eastAsia"/>
          <w:color w:val="222222"/>
          <w:spacing w:val="8"/>
          <w:sz w:val="23"/>
          <w:szCs w:val="23"/>
        </w:rPr>
        <w:t>”和“促进</w:t>
      </w:r>
      <w:r>
        <w:rPr>
          <w:rStyle w:val="ad"/>
          <w:rFonts w:ascii="微软雅黑" w:eastAsia="微软雅黑" w:hAnsi="微软雅黑" w:hint="eastAsia"/>
          <w:color w:val="0A6EBF"/>
          <w:spacing w:val="8"/>
          <w:sz w:val="23"/>
          <w:szCs w:val="23"/>
        </w:rPr>
        <w:t>中医药传承创新</w:t>
      </w:r>
      <w:r>
        <w:rPr>
          <w:rFonts w:ascii="微软雅黑" w:eastAsia="微软雅黑" w:hAnsi="微软雅黑" w:hint="eastAsia"/>
          <w:color w:val="222222"/>
          <w:spacing w:val="8"/>
          <w:sz w:val="23"/>
          <w:szCs w:val="23"/>
        </w:rPr>
        <w:t>发展”，为我国</w:t>
      </w:r>
      <w:r>
        <w:rPr>
          <w:rStyle w:val="ad"/>
          <w:rFonts w:ascii="微软雅黑" w:eastAsia="微软雅黑" w:hAnsi="微软雅黑" w:hint="eastAsia"/>
          <w:color w:val="000000"/>
          <w:spacing w:val="8"/>
          <w:sz w:val="23"/>
          <w:szCs w:val="23"/>
        </w:rPr>
        <w:t>医疗保障、儿童医药、老年医药和中医药产业</w:t>
      </w:r>
      <w:r>
        <w:rPr>
          <w:rFonts w:ascii="微软雅黑" w:eastAsia="微软雅黑" w:hAnsi="微软雅黑" w:hint="eastAsia"/>
          <w:color w:val="222222"/>
          <w:spacing w:val="8"/>
          <w:sz w:val="23"/>
          <w:szCs w:val="23"/>
        </w:rPr>
        <w:t>的发展指明了方向，现分别解读如下。</w:t>
      </w:r>
    </w:p>
    <w:p w14:paraId="13DBB10D"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01 </w:t>
      </w:r>
      <w:r>
        <w:rPr>
          <w:rStyle w:val="ad"/>
          <w:rFonts w:ascii="微软雅黑" w:eastAsia="微软雅黑" w:hAnsi="微软雅黑" w:hint="eastAsia"/>
          <w:b w:val="0"/>
          <w:bCs w:val="0"/>
          <w:color w:val="0A6EBF"/>
          <w:spacing w:val="8"/>
          <w:sz w:val="24"/>
          <w:szCs w:val="24"/>
        </w:rPr>
        <w:t>医疗保障</w:t>
      </w:r>
    </w:p>
    <w:p w14:paraId="6E23F1EC" w14:textId="77777777" w:rsidR="00E75D8B" w:rsidRDefault="00000000">
      <w:pPr>
        <w:pStyle w:val="2"/>
        <w:shd w:val="clear" w:color="auto" w:fill="FFFFFF"/>
        <w:spacing w:before="0" w:beforeAutospacing="0" w:after="0" w:afterAutospacing="0"/>
        <w:ind w:firstLineChars="200" w:firstLine="492"/>
        <w:jc w:val="both"/>
        <w:rPr>
          <w:rStyle w:val="ad"/>
          <w:rFonts w:ascii="微软雅黑" w:eastAsia="微软雅黑" w:hAnsi="微软雅黑"/>
          <w:b w:val="0"/>
          <w:bCs w:val="0"/>
          <w:color w:val="0A6EBF"/>
          <w:spacing w:val="8"/>
          <w:sz w:val="23"/>
          <w:szCs w:val="23"/>
        </w:rPr>
      </w:pPr>
      <w:r>
        <w:rPr>
          <w:rStyle w:val="ad"/>
          <w:rFonts w:ascii="微软雅黑" w:eastAsia="微软雅黑" w:hAnsi="微软雅黑" w:hint="eastAsia"/>
          <w:b w:val="0"/>
          <w:bCs w:val="0"/>
          <w:color w:val="222222"/>
          <w:spacing w:val="8"/>
          <w:sz w:val="23"/>
          <w:szCs w:val="23"/>
        </w:rPr>
        <w:t>二十大报告指出，</w:t>
      </w:r>
      <w:r>
        <w:rPr>
          <w:rStyle w:val="ad"/>
          <w:rFonts w:ascii="微软雅黑" w:eastAsia="微软雅黑" w:hAnsi="微软雅黑" w:hint="eastAsia"/>
          <w:b w:val="0"/>
          <w:bCs w:val="0"/>
          <w:color w:val="0A6EBF"/>
          <w:spacing w:val="8"/>
          <w:sz w:val="23"/>
          <w:szCs w:val="23"/>
        </w:rPr>
        <w:t>“健全社会保障体系，健全覆盖全民、统筹城乡、公平统一、安全规范、可持续的多层次社会保障体系，扩大社会保险覆盖面”。</w:t>
      </w:r>
    </w:p>
    <w:p w14:paraId="7404DF65"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这其中也包括要健全多层次医疗保障体系。</w:t>
      </w:r>
    </w:p>
    <w:p w14:paraId="79FB1ED9" w14:textId="77777777" w:rsidR="00E75D8B" w:rsidRDefault="00000000">
      <w:pPr>
        <w:pStyle w:val="2"/>
        <w:shd w:val="clear" w:color="auto" w:fill="FFFFFF"/>
        <w:spacing w:before="0" w:beforeAutospacing="0" w:after="0" w:afterAutospacing="0"/>
        <w:jc w:val="both"/>
        <w:rPr>
          <w:rStyle w:val="ad"/>
          <w:rFonts w:ascii="微软雅黑" w:eastAsia="微软雅黑" w:hAnsi="微软雅黑"/>
          <w:b w:val="0"/>
          <w:bCs w:val="0"/>
          <w:color w:val="222222"/>
          <w:spacing w:val="8"/>
          <w:sz w:val="23"/>
          <w:szCs w:val="23"/>
        </w:rPr>
      </w:pPr>
      <w:r>
        <w:rPr>
          <w:rStyle w:val="ad"/>
          <w:rFonts w:ascii="微软雅黑" w:eastAsia="微软雅黑" w:hAnsi="微软雅黑" w:hint="eastAsia"/>
          <w:b w:val="0"/>
          <w:bCs w:val="0"/>
          <w:color w:val="222222"/>
          <w:spacing w:val="8"/>
          <w:sz w:val="23"/>
          <w:szCs w:val="23"/>
        </w:rPr>
        <w:lastRenderedPageBreak/>
        <w:t>一、医保体系</w:t>
      </w:r>
    </w:p>
    <w:p w14:paraId="31DB6019"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2020年3月5日发布的《中共中央国务院关于深化医疗保障制度改革的意见》明确：我国的医疗保障体系分为基本医疗保险、大病保险与医疗救助三级，</w:t>
      </w:r>
      <w:r>
        <w:rPr>
          <w:rStyle w:val="ad"/>
          <w:rFonts w:ascii="微软雅黑" w:eastAsia="微软雅黑" w:hAnsi="微软雅黑" w:hint="eastAsia"/>
          <w:b w:val="0"/>
          <w:bCs w:val="0"/>
          <w:color w:val="0A6EBF"/>
          <w:spacing w:val="8"/>
          <w:sz w:val="23"/>
          <w:szCs w:val="23"/>
        </w:rPr>
        <w:t>基本医疗保险是主体层，商业健保是补充，大病救助为托底层</w:t>
      </w:r>
      <w:r>
        <w:rPr>
          <w:rFonts w:ascii="微软雅黑" w:eastAsia="微软雅黑" w:hAnsi="微软雅黑" w:hint="eastAsia"/>
          <w:b/>
          <w:bCs/>
          <w:color w:val="222222"/>
          <w:spacing w:val="8"/>
          <w:sz w:val="23"/>
          <w:szCs w:val="23"/>
        </w:rPr>
        <w:t>，2021年三项保险支出分别为24043.1亿元、4085亿元和619.9亿元，分别占保险总支出的</w:t>
      </w:r>
      <w:r>
        <w:rPr>
          <w:rStyle w:val="ad"/>
          <w:rFonts w:ascii="微软雅黑" w:eastAsia="微软雅黑" w:hAnsi="微软雅黑" w:hint="eastAsia"/>
          <w:b w:val="0"/>
          <w:bCs w:val="0"/>
          <w:color w:val="0A6EBF"/>
          <w:spacing w:val="8"/>
          <w:sz w:val="23"/>
          <w:szCs w:val="23"/>
        </w:rPr>
        <w:t>83.6%、14.2%和2.2%。</w:t>
      </w:r>
    </w:p>
    <w:p w14:paraId="48025CE6" w14:textId="77777777" w:rsidR="00E75D8B" w:rsidRDefault="00000000">
      <w:pPr>
        <w:jc w:val="cente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0FBD4E9A" wp14:editId="6C7D15A0">
            <wp:extent cx="3228975" cy="2392680"/>
            <wp:effectExtent l="0" t="0" r="9525" b="7620"/>
            <wp:docPr id="9" name="图片 9" descr="C:\Users\Administrator\Documents\WeChat Files\ppdeboke\FileStorage\Temp\d0380be78d48a86fce5b79f3c9e51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ppdeboke\FileStorage\Temp\d0380be78d48a86fce5b79f3c9e51b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34073" cy="2396183"/>
                    </a:xfrm>
                    <a:prstGeom prst="rect">
                      <a:avLst/>
                    </a:prstGeom>
                    <a:noFill/>
                    <a:ln>
                      <a:noFill/>
                    </a:ln>
                  </pic:spPr>
                </pic:pic>
              </a:graphicData>
            </a:graphic>
          </wp:inline>
        </w:drawing>
      </w:r>
    </w:p>
    <w:p w14:paraId="1DB2B7C7" w14:textId="77777777" w:rsidR="00E75D8B" w:rsidRDefault="00000000">
      <w:pPr>
        <w:jc w:val="left"/>
        <w:rPr>
          <w:rStyle w:val="ad"/>
          <w:rFonts w:ascii="微软雅黑" w:eastAsia="微软雅黑" w:hAnsi="微软雅黑"/>
          <w:sz w:val="23"/>
          <w:szCs w:val="23"/>
        </w:rPr>
      </w:pPr>
      <w:r>
        <w:rPr>
          <w:rStyle w:val="ad"/>
          <w:rFonts w:ascii="微软雅黑" w:eastAsia="微软雅黑" w:hAnsi="微软雅黑"/>
          <w:sz w:val="23"/>
          <w:szCs w:val="23"/>
        </w:rPr>
        <w:t>二、商业健康保险</w:t>
      </w:r>
    </w:p>
    <w:p w14:paraId="6C41070F" w14:textId="77777777" w:rsidR="00E75D8B" w:rsidRDefault="00000000">
      <w:pPr>
        <w:ind w:firstLineChars="200" w:firstLine="460"/>
        <w:jc w:val="left"/>
        <w:rPr>
          <w:rFonts w:ascii="微软雅黑" w:eastAsia="微软雅黑" w:hAnsi="微软雅黑"/>
          <w:sz w:val="23"/>
          <w:szCs w:val="23"/>
        </w:rPr>
      </w:pPr>
      <w:r>
        <w:rPr>
          <w:rFonts w:ascii="微软雅黑" w:eastAsia="微软雅黑" w:hAnsi="微软雅黑"/>
          <w:sz w:val="23"/>
          <w:szCs w:val="23"/>
        </w:rPr>
        <w:t>二十大报告提出“积极发展商业医疗保险”，我国的商业医疗保险乃至商业健康保险将迎来发展机遇。</w:t>
      </w:r>
    </w:p>
    <w:p w14:paraId="15B8CC61" w14:textId="77777777" w:rsidR="00E75D8B" w:rsidRDefault="00000000">
      <w:pPr>
        <w:ind w:firstLineChars="200" w:firstLine="460"/>
        <w:jc w:val="left"/>
        <w:rPr>
          <w:rFonts w:ascii="微软雅黑" w:eastAsia="微软雅黑" w:hAnsi="微软雅黑"/>
          <w:sz w:val="23"/>
          <w:szCs w:val="23"/>
        </w:rPr>
      </w:pPr>
      <w:r>
        <w:rPr>
          <w:rFonts w:ascii="微软雅黑" w:eastAsia="微软雅黑" w:hAnsi="微软雅黑"/>
          <w:sz w:val="23"/>
          <w:szCs w:val="23"/>
        </w:rPr>
        <w:t>所谓商业健康保险，即是以被保险人的身体为保险标的，保证被保险人在疾病或意外事故所致伤害时的直接费用或间接损失获得补偿的保险，包括疾病保险、医疗保险、收入保障险和长期看护险。</w:t>
      </w:r>
    </w:p>
    <w:p w14:paraId="6D855783" w14:textId="77777777" w:rsidR="00E75D8B" w:rsidRDefault="00000000">
      <w:pPr>
        <w:ind w:firstLineChars="200" w:firstLine="460"/>
        <w:jc w:val="left"/>
        <w:rPr>
          <w:rStyle w:val="ad"/>
          <w:rFonts w:asciiTheme="minorEastAsia" w:hAnsiTheme="minorEastAsia" w:cs="Helvetica"/>
          <w:b w:val="0"/>
          <w:spacing w:val="15"/>
          <w:sz w:val="28"/>
          <w:szCs w:val="28"/>
        </w:rPr>
      </w:pPr>
      <w:r>
        <w:rPr>
          <w:rFonts w:ascii="微软雅黑" w:eastAsia="微软雅黑" w:hAnsi="微软雅黑"/>
          <w:sz w:val="23"/>
          <w:szCs w:val="23"/>
        </w:rPr>
        <w:t>我国商业健康保险的赔付由2012年的298亿元增加到了2021年的4085亿元，</w:t>
      </w:r>
      <w:r>
        <w:rPr>
          <w:rStyle w:val="ad"/>
          <w:rFonts w:ascii="微软雅黑" w:eastAsia="微软雅黑" w:hAnsi="微软雅黑"/>
          <w:color w:val="0A6EBF"/>
          <w:sz w:val="23"/>
          <w:szCs w:val="23"/>
        </w:rPr>
        <w:t>9年增长了12.7倍</w:t>
      </w:r>
      <w:r>
        <w:rPr>
          <w:rFonts w:ascii="微软雅黑" w:eastAsia="微软雅黑" w:hAnsi="微软雅黑"/>
          <w:sz w:val="23"/>
          <w:szCs w:val="23"/>
        </w:rPr>
        <w:t>，商业健康保险赔付占同期基本医疗保险支出的比例，由2012年的3.7%提高到了</w:t>
      </w:r>
      <w:r>
        <w:rPr>
          <w:rStyle w:val="ad"/>
          <w:rFonts w:ascii="微软雅黑" w:eastAsia="微软雅黑" w:hAnsi="微软雅黑"/>
          <w:color w:val="0A6EBF"/>
          <w:sz w:val="23"/>
          <w:szCs w:val="23"/>
        </w:rPr>
        <w:t>2021年的17%</w:t>
      </w:r>
      <w:r>
        <w:rPr>
          <w:rFonts w:ascii="微软雅黑" w:eastAsia="微软雅黑" w:hAnsi="微软雅黑"/>
          <w:sz w:val="23"/>
          <w:szCs w:val="23"/>
        </w:rPr>
        <w:t>，我国商业健康保险给患者提供的保障也越来越大。</w:t>
      </w:r>
    </w:p>
    <w:p w14:paraId="2F7B3839" w14:textId="77777777" w:rsidR="00E75D8B" w:rsidRDefault="00000000">
      <w:pPr>
        <w:jc w:val="cente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15B3975C" wp14:editId="25C25E32">
            <wp:extent cx="3369945" cy="2243455"/>
            <wp:effectExtent l="0" t="0" r="1905" b="4445"/>
            <wp:docPr id="11" name="图片 11" descr="C:\Users\Administrator\Documents\WeChat Files\ppdeboke\FileStorage\Temp\ea3a0ad7ce9f5228f1870468ea9e92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ppdeboke\FileStorage\Temp\ea3a0ad7ce9f5228f1870468ea9e92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78628" cy="2249225"/>
                    </a:xfrm>
                    <a:prstGeom prst="rect">
                      <a:avLst/>
                    </a:prstGeom>
                    <a:noFill/>
                    <a:ln>
                      <a:noFill/>
                    </a:ln>
                  </pic:spPr>
                </pic:pic>
              </a:graphicData>
            </a:graphic>
          </wp:inline>
        </w:drawing>
      </w:r>
    </w:p>
    <w:p w14:paraId="2528B175"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02 </w:t>
      </w:r>
      <w:r>
        <w:rPr>
          <w:rStyle w:val="ad"/>
          <w:rFonts w:ascii="微软雅黑" w:eastAsia="微软雅黑" w:hAnsi="微软雅黑" w:hint="eastAsia"/>
          <w:b w:val="0"/>
          <w:bCs w:val="0"/>
          <w:color w:val="0A6EBF"/>
          <w:spacing w:val="8"/>
          <w:sz w:val="24"/>
          <w:szCs w:val="24"/>
        </w:rPr>
        <w:t>生育支持</w:t>
      </w:r>
    </w:p>
    <w:p w14:paraId="252CABAC" w14:textId="77777777" w:rsidR="00E75D8B" w:rsidRDefault="00000000">
      <w:pPr>
        <w:pStyle w:val="2"/>
        <w:shd w:val="clear" w:color="auto" w:fill="FFFFFF"/>
        <w:spacing w:before="0" w:beforeAutospacing="0" w:after="0" w:afterAutospacing="0"/>
        <w:jc w:val="both"/>
        <w:rPr>
          <w:rStyle w:val="ad"/>
          <w:rFonts w:ascii="微软雅黑" w:eastAsia="微软雅黑" w:hAnsi="微软雅黑"/>
          <w:b w:val="0"/>
          <w:bCs w:val="0"/>
          <w:color w:val="0A6EBF"/>
          <w:spacing w:val="8"/>
          <w:sz w:val="23"/>
          <w:szCs w:val="23"/>
        </w:rPr>
      </w:pPr>
      <w:r>
        <w:rPr>
          <w:rStyle w:val="ad"/>
          <w:rFonts w:ascii="微软雅黑" w:eastAsia="微软雅黑" w:hAnsi="微软雅黑" w:hint="eastAsia"/>
          <w:b w:val="0"/>
          <w:bCs w:val="0"/>
          <w:color w:val="222222"/>
          <w:spacing w:val="8"/>
          <w:sz w:val="23"/>
          <w:szCs w:val="23"/>
        </w:rPr>
        <w:t>二十大报告指出，</w:t>
      </w:r>
      <w:r>
        <w:rPr>
          <w:rStyle w:val="ad"/>
          <w:rFonts w:ascii="微软雅黑" w:eastAsia="微软雅黑" w:hAnsi="微软雅黑" w:hint="eastAsia"/>
          <w:b w:val="0"/>
          <w:bCs w:val="0"/>
          <w:color w:val="0A6EBF"/>
          <w:spacing w:val="8"/>
          <w:sz w:val="23"/>
          <w:szCs w:val="23"/>
        </w:rPr>
        <w:t>“建立生育支持政策体系”。</w:t>
      </w:r>
    </w:p>
    <w:p w14:paraId="3DC2BAFA" w14:textId="77777777" w:rsidR="00E75D8B" w:rsidRDefault="00000000">
      <w:pPr>
        <w:pStyle w:val="2"/>
        <w:shd w:val="clear" w:color="auto" w:fill="FFFFFF"/>
        <w:spacing w:before="0" w:beforeAutospacing="0" w:after="0" w:afterAutospacing="0"/>
        <w:ind w:firstLineChars="200" w:firstLine="492"/>
        <w:jc w:val="both"/>
        <w:rPr>
          <w:rStyle w:val="ad"/>
          <w:rFonts w:ascii="微软雅黑" w:eastAsia="微软雅黑" w:hAnsi="微软雅黑"/>
          <w:b w:val="0"/>
          <w:bCs w:val="0"/>
          <w:color w:val="0A6EBF"/>
          <w:spacing w:val="8"/>
          <w:sz w:val="23"/>
          <w:szCs w:val="23"/>
        </w:rPr>
      </w:pPr>
      <w:r>
        <w:rPr>
          <w:rFonts w:ascii="微软雅黑" w:eastAsia="微软雅黑" w:hAnsi="微软雅黑" w:hint="eastAsia"/>
          <w:b/>
          <w:bCs/>
          <w:color w:val="222222"/>
          <w:spacing w:val="8"/>
          <w:sz w:val="23"/>
          <w:szCs w:val="23"/>
        </w:rPr>
        <w:t>由于观念变化、养育成本提高等原因，近年新出生人口数量大幅下降，已由2016年的1786万人减少到了</w:t>
      </w:r>
      <w:r>
        <w:rPr>
          <w:rStyle w:val="ad"/>
          <w:rFonts w:ascii="微软雅黑" w:eastAsia="微软雅黑" w:hAnsi="微软雅黑" w:hint="eastAsia"/>
          <w:b w:val="0"/>
          <w:bCs w:val="0"/>
          <w:color w:val="0A6EBF"/>
          <w:spacing w:val="8"/>
          <w:sz w:val="23"/>
          <w:szCs w:val="23"/>
        </w:rPr>
        <w:t>2021年的1092万人，下降了39%。</w:t>
      </w:r>
    </w:p>
    <w:p w14:paraId="728BEC53"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具体到医药行业，就是要研发生产更多适合儿童使用的药品，以保障儿童健康成长。</w:t>
      </w:r>
    </w:p>
    <w:p w14:paraId="7CF60E61" w14:textId="77777777" w:rsidR="00E75D8B" w:rsidRDefault="00000000">
      <w:pPr>
        <w:pStyle w:val="2"/>
        <w:numPr>
          <w:ilvl w:val="0"/>
          <w:numId w:val="5"/>
        </w:numPr>
        <w:shd w:val="clear" w:color="auto" w:fill="FFFFFF"/>
        <w:spacing w:before="0" w:beforeAutospacing="0" w:after="0" w:afterAutospacing="0"/>
        <w:jc w:val="both"/>
        <w:rPr>
          <w:rStyle w:val="ad"/>
          <w:rFonts w:ascii="微软雅黑" w:eastAsia="微软雅黑" w:hAnsi="微软雅黑"/>
          <w:b w:val="0"/>
          <w:bCs w:val="0"/>
          <w:color w:val="222222"/>
          <w:spacing w:val="8"/>
          <w:sz w:val="23"/>
          <w:szCs w:val="23"/>
        </w:rPr>
      </w:pPr>
      <w:r>
        <w:rPr>
          <w:rStyle w:val="ad"/>
          <w:rFonts w:ascii="微软雅黑" w:eastAsia="微软雅黑" w:hAnsi="微软雅黑" w:hint="eastAsia"/>
          <w:b w:val="0"/>
          <w:bCs w:val="0"/>
          <w:color w:val="222222"/>
          <w:spacing w:val="8"/>
          <w:sz w:val="23"/>
          <w:szCs w:val="23"/>
        </w:rPr>
        <w:t>儿童药市场规模</w:t>
      </w:r>
    </w:p>
    <w:p w14:paraId="0692A48A"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随着新药审评审批、医保提速、基药扩容等对儿童药发展的支持和鼓励，近年来，我国儿童药市场规模逐年提高，已由2007年的251.1亿元提高到了2020年的948亿元，13年增长了近3倍。</w:t>
      </w:r>
    </w:p>
    <w:p w14:paraId="42BEFB01" w14:textId="77777777" w:rsidR="00E75D8B" w:rsidRDefault="00000000">
      <w:pPr>
        <w:jc w:val="cente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2CA4595D" wp14:editId="38051D47">
            <wp:extent cx="3557905" cy="2369820"/>
            <wp:effectExtent l="0" t="0" r="4445" b="0"/>
            <wp:docPr id="12" name="图片 12" descr="C:\Users\Administrator\Documents\WeChat Files\ppdeboke\FileStorage\Temp\88d73f9f243066b5e9eccf8c6fa44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WeChat Files\ppdeboke\FileStorage\Temp\88d73f9f243066b5e9eccf8c6fa44c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68256" cy="2376895"/>
                    </a:xfrm>
                    <a:prstGeom prst="rect">
                      <a:avLst/>
                    </a:prstGeom>
                    <a:noFill/>
                    <a:ln>
                      <a:noFill/>
                    </a:ln>
                  </pic:spPr>
                </pic:pic>
              </a:graphicData>
            </a:graphic>
          </wp:inline>
        </w:drawing>
      </w:r>
    </w:p>
    <w:p w14:paraId="33B02A09" w14:textId="77777777" w:rsidR="00E75D8B" w:rsidRDefault="00000000">
      <w:pPr>
        <w:pStyle w:val="af2"/>
        <w:numPr>
          <w:ilvl w:val="0"/>
          <w:numId w:val="5"/>
        </w:numPr>
        <w:ind w:firstLineChars="0"/>
        <w:rPr>
          <w:rFonts w:ascii="微软雅黑" w:eastAsia="微软雅黑" w:hAnsi="微软雅黑"/>
          <w:sz w:val="23"/>
          <w:szCs w:val="23"/>
        </w:rPr>
      </w:pPr>
      <w:r>
        <w:rPr>
          <w:rStyle w:val="ad"/>
          <w:rFonts w:ascii="微软雅黑" w:eastAsia="微软雅黑" w:hAnsi="微软雅黑"/>
          <w:sz w:val="23"/>
          <w:szCs w:val="23"/>
        </w:rPr>
        <w:lastRenderedPageBreak/>
        <w:t>在研儿童药物</w:t>
      </w:r>
    </w:p>
    <w:p w14:paraId="0849587D"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我国一直鼓励儿童用药的研发，尤其2015年药政改革后，不仅出台了鼓励儿童药开发的目录，还对符合条件的儿童药研发给予优先审评等支持。</w:t>
      </w:r>
      <w:r>
        <w:rPr>
          <w:rFonts w:ascii="微软雅黑" w:eastAsia="微软雅黑" w:hAnsi="微软雅黑"/>
          <w:sz w:val="23"/>
          <w:szCs w:val="23"/>
        </w:rPr>
        <w:br/>
        <w:t>近年来，我国儿童药的临床试验数量也在不断增长，已由2015年的16个增加到了2020年10月下旬的102个，除儿童常见病用药外，儿童罕见病用药的开发也在逐年增多，儿童罕见病用药的临床试验数量也由2015年的6个增加到了2019年的13个。</w:t>
      </w:r>
    </w:p>
    <w:p w14:paraId="00D47640" w14:textId="77777777" w:rsidR="00E75D8B" w:rsidRDefault="00000000">
      <w:pPr>
        <w:jc w:val="center"/>
        <w:rPr>
          <w:rStyle w:val="ad"/>
          <w:rFonts w:ascii="微软雅黑" w:eastAsia="微软雅黑" w:hAnsi="微软雅黑" w:cs="Helvetica"/>
          <w:b w:val="0"/>
          <w:spacing w:val="15"/>
          <w:sz w:val="28"/>
          <w:szCs w:val="28"/>
        </w:rPr>
      </w:pPr>
      <w:r>
        <w:rPr>
          <w:rFonts w:ascii="微软雅黑" w:eastAsia="微软雅黑" w:hAnsi="微软雅黑" w:cs="Helvetica"/>
          <w:bCs/>
          <w:noProof/>
          <w:spacing w:val="15"/>
          <w:sz w:val="28"/>
          <w:szCs w:val="28"/>
        </w:rPr>
        <w:drawing>
          <wp:inline distT="0" distB="0" distL="0" distR="0" wp14:anchorId="3740F420" wp14:editId="51E24677">
            <wp:extent cx="3481705" cy="2308225"/>
            <wp:effectExtent l="0" t="0" r="4445" b="0"/>
            <wp:docPr id="14" name="图片 14" descr="C:\Users\Administrator\Documents\WeChat Files\ppdeboke\FileStorage\Temp\12207a7fb619ec94fe37e78f639c51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ppdeboke\FileStorage\Temp\12207a7fb619ec94fe37e78f639c51c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82148" cy="2308640"/>
                    </a:xfrm>
                    <a:prstGeom prst="rect">
                      <a:avLst/>
                    </a:prstGeom>
                    <a:noFill/>
                    <a:ln>
                      <a:noFill/>
                    </a:ln>
                  </pic:spPr>
                </pic:pic>
              </a:graphicData>
            </a:graphic>
          </wp:inline>
        </w:drawing>
      </w:r>
    </w:p>
    <w:p w14:paraId="71C9299F"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03 </w:t>
      </w:r>
      <w:r>
        <w:rPr>
          <w:rStyle w:val="ad"/>
          <w:rFonts w:ascii="微软雅黑" w:eastAsia="微软雅黑" w:hAnsi="微软雅黑" w:hint="eastAsia"/>
          <w:b w:val="0"/>
          <w:bCs w:val="0"/>
          <w:color w:val="0A6EBF"/>
          <w:spacing w:val="8"/>
          <w:sz w:val="24"/>
          <w:szCs w:val="24"/>
        </w:rPr>
        <w:t>应对老龄化</w:t>
      </w:r>
    </w:p>
    <w:p w14:paraId="4D4EB7B1" w14:textId="77777777" w:rsidR="00E75D8B" w:rsidRDefault="00000000">
      <w:pPr>
        <w:pStyle w:val="2"/>
        <w:shd w:val="clear" w:color="auto" w:fill="FFFFFF"/>
        <w:spacing w:before="0" w:beforeAutospacing="0" w:after="0" w:afterAutospacing="0"/>
        <w:jc w:val="both"/>
        <w:rPr>
          <w:rStyle w:val="ad"/>
          <w:rFonts w:ascii="微软雅黑" w:eastAsia="微软雅黑" w:hAnsi="微软雅黑"/>
          <w:b w:val="0"/>
          <w:bCs w:val="0"/>
          <w:color w:val="0A6EBF"/>
          <w:spacing w:val="8"/>
          <w:sz w:val="23"/>
          <w:szCs w:val="23"/>
        </w:rPr>
      </w:pPr>
      <w:r>
        <w:rPr>
          <w:rStyle w:val="ad"/>
          <w:rFonts w:ascii="微软雅黑" w:eastAsia="微软雅黑" w:hAnsi="微软雅黑" w:hint="eastAsia"/>
          <w:b w:val="0"/>
          <w:bCs w:val="0"/>
          <w:color w:val="222222"/>
          <w:spacing w:val="8"/>
          <w:sz w:val="23"/>
          <w:szCs w:val="23"/>
        </w:rPr>
        <w:t>二十大报告指出，</w:t>
      </w:r>
      <w:r>
        <w:rPr>
          <w:rStyle w:val="ad"/>
          <w:rFonts w:ascii="微软雅黑" w:eastAsia="微软雅黑" w:hAnsi="微软雅黑" w:hint="eastAsia"/>
          <w:b w:val="0"/>
          <w:bCs w:val="0"/>
          <w:color w:val="0A6EBF"/>
          <w:spacing w:val="8"/>
          <w:sz w:val="23"/>
          <w:szCs w:val="23"/>
        </w:rPr>
        <w:t>“实施积极应对人口老龄化国家战略”。</w:t>
      </w:r>
    </w:p>
    <w:p w14:paraId="5FE9DB23" w14:textId="77777777" w:rsidR="00E75D8B" w:rsidRDefault="00000000">
      <w:pPr>
        <w:pStyle w:val="2"/>
        <w:shd w:val="clear" w:color="auto" w:fill="FFFFFF"/>
        <w:spacing w:before="0" w:beforeAutospacing="0" w:after="0" w:afterAutospacing="0"/>
        <w:ind w:firstLineChars="200" w:firstLine="492"/>
        <w:jc w:val="both"/>
        <w:rPr>
          <w:rStyle w:val="ad"/>
          <w:rFonts w:ascii="微软雅黑" w:eastAsia="微软雅黑" w:hAnsi="微软雅黑"/>
          <w:b w:val="0"/>
          <w:bCs w:val="0"/>
          <w:color w:val="0A6EBF"/>
          <w:spacing w:val="8"/>
          <w:sz w:val="23"/>
          <w:szCs w:val="23"/>
        </w:rPr>
      </w:pPr>
      <w:r>
        <w:rPr>
          <w:rFonts w:ascii="微软雅黑" w:eastAsia="微软雅黑" w:hAnsi="微软雅黑" w:hint="eastAsia"/>
          <w:b/>
          <w:bCs/>
          <w:color w:val="222222"/>
          <w:spacing w:val="8"/>
          <w:sz w:val="23"/>
          <w:szCs w:val="23"/>
        </w:rPr>
        <w:t>近年来，我国人口结构发生了巨大变化，老龄化程度不断提高，65岁及以上人口占总人口的比重由2012年的9.4%提高到了2021年的14.2%，</w:t>
      </w:r>
      <w:r>
        <w:rPr>
          <w:rStyle w:val="ad"/>
          <w:rFonts w:ascii="微软雅黑" w:eastAsia="微软雅黑" w:hAnsi="微软雅黑" w:hint="eastAsia"/>
          <w:b w:val="0"/>
          <w:bCs w:val="0"/>
          <w:color w:val="0A6EBF"/>
          <w:spacing w:val="8"/>
          <w:sz w:val="23"/>
          <w:szCs w:val="23"/>
        </w:rPr>
        <w:t>9年增加了4.8个百分点。</w:t>
      </w:r>
      <w:r>
        <w:rPr>
          <w:rFonts w:ascii="微软雅黑" w:eastAsia="微软雅黑" w:hAnsi="微软雅黑" w:hint="eastAsia"/>
          <w:b/>
          <w:bCs/>
          <w:color w:val="222222"/>
          <w:spacing w:val="8"/>
          <w:sz w:val="23"/>
          <w:szCs w:val="23"/>
        </w:rPr>
        <w:t>2021年全国65岁及以上年龄的人口已超过2亿人（2.0056亿人），</w:t>
      </w:r>
      <w:r>
        <w:rPr>
          <w:rStyle w:val="ad"/>
          <w:rFonts w:ascii="微软雅黑" w:eastAsia="微软雅黑" w:hAnsi="微软雅黑" w:hint="eastAsia"/>
          <w:b w:val="0"/>
          <w:bCs w:val="0"/>
          <w:color w:val="0A6EBF"/>
          <w:spacing w:val="8"/>
          <w:sz w:val="23"/>
          <w:szCs w:val="23"/>
        </w:rPr>
        <w:t>比上年又增加了992万人。</w:t>
      </w:r>
    </w:p>
    <w:p w14:paraId="2988C5C0"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应对老龄化已上升到国家战略。</w:t>
      </w:r>
    </w:p>
    <w:p w14:paraId="7F173023"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shd w:val="clear" w:color="auto" w:fill="FFFFFF"/>
        </w:rPr>
      </w:pPr>
      <w:r>
        <w:rPr>
          <w:rFonts w:ascii="微软雅黑" w:eastAsia="微软雅黑" w:hAnsi="微软雅黑" w:hint="eastAsia"/>
          <w:b/>
          <w:bCs/>
          <w:color w:val="222222"/>
          <w:spacing w:val="8"/>
          <w:sz w:val="23"/>
          <w:szCs w:val="23"/>
          <w:shd w:val="clear" w:color="auto" w:fill="FFFFFF"/>
        </w:rPr>
        <w:lastRenderedPageBreak/>
        <w:t>老年人较青壮年更易患病，我国医院康复科（不包括康复医院）门急诊人次由2010年的2119万人次增加到了2019年的5268万人，</w:t>
      </w:r>
      <w:r>
        <w:rPr>
          <w:rStyle w:val="ad"/>
          <w:rFonts w:ascii="微软雅黑" w:eastAsia="微软雅黑" w:hAnsi="微软雅黑" w:hint="eastAsia"/>
          <w:b w:val="0"/>
          <w:bCs w:val="0"/>
          <w:color w:val="0A6EBF"/>
          <w:spacing w:val="8"/>
          <w:sz w:val="23"/>
          <w:szCs w:val="23"/>
          <w:shd w:val="clear" w:color="auto" w:fill="FFFFFF"/>
        </w:rPr>
        <w:t>9年增加了1.5倍</w:t>
      </w:r>
      <w:r>
        <w:rPr>
          <w:rFonts w:ascii="微软雅黑" w:eastAsia="微软雅黑" w:hAnsi="微软雅黑" w:hint="eastAsia"/>
          <w:b/>
          <w:bCs/>
          <w:color w:val="222222"/>
          <w:spacing w:val="8"/>
          <w:sz w:val="23"/>
          <w:szCs w:val="23"/>
          <w:shd w:val="clear" w:color="auto" w:fill="FFFFFF"/>
        </w:rPr>
        <w:t>，2020年因新冠疫情</w:t>
      </w:r>
      <w:r>
        <w:rPr>
          <w:rFonts w:ascii="微软雅黑" w:eastAsia="微软雅黑" w:hAnsi="微软雅黑" w:hint="eastAsia"/>
          <w:b/>
          <w:bCs/>
          <w:color w:val="222222"/>
          <w:spacing w:val="8"/>
          <w:sz w:val="23"/>
          <w:szCs w:val="23"/>
        </w:rPr>
        <w:t>暴发</w:t>
      </w:r>
      <w:r>
        <w:rPr>
          <w:rFonts w:ascii="微软雅黑" w:eastAsia="微软雅黑" w:hAnsi="微软雅黑" w:hint="eastAsia"/>
          <w:b/>
          <w:bCs/>
          <w:color w:val="222222"/>
          <w:spacing w:val="8"/>
          <w:sz w:val="23"/>
          <w:szCs w:val="23"/>
          <w:shd w:val="clear" w:color="auto" w:fill="FFFFFF"/>
        </w:rPr>
        <w:t>而略有下降，为4837万人。</w:t>
      </w:r>
    </w:p>
    <w:p w14:paraId="379EA34E"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为满足老年患者康复需要，我国医院康复科病床数量也在快速增加，由2010年的4.9926万张增加到了2020年的24.6907万张，</w:t>
      </w:r>
      <w:r>
        <w:rPr>
          <w:rStyle w:val="ad"/>
          <w:rFonts w:ascii="微软雅黑" w:eastAsia="微软雅黑" w:hAnsi="微软雅黑" w:hint="eastAsia"/>
          <w:b w:val="0"/>
          <w:bCs w:val="0"/>
          <w:color w:val="0A6EBF"/>
          <w:spacing w:val="8"/>
          <w:sz w:val="23"/>
          <w:szCs w:val="23"/>
        </w:rPr>
        <w:t>10年增加了3倍</w:t>
      </w:r>
      <w:r>
        <w:rPr>
          <w:rFonts w:ascii="微软雅黑" w:eastAsia="微软雅黑" w:hAnsi="微软雅黑" w:hint="eastAsia"/>
          <w:b/>
          <w:bCs/>
          <w:color w:val="222222"/>
          <w:spacing w:val="8"/>
          <w:sz w:val="23"/>
          <w:szCs w:val="23"/>
        </w:rPr>
        <w:t>。</w:t>
      </w:r>
    </w:p>
    <w:p w14:paraId="5BEBB316" w14:textId="77777777" w:rsidR="00E75D8B" w:rsidRDefault="00000000">
      <w:pPr>
        <w:jc w:val="center"/>
        <w:rPr>
          <w:rStyle w:val="ad"/>
          <w:rFonts w:ascii="微软雅黑" w:eastAsia="微软雅黑" w:hAnsi="微软雅黑" w:cs="Helvetica"/>
          <w:b w:val="0"/>
          <w:spacing w:val="15"/>
          <w:sz w:val="28"/>
          <w:szCs w:val="28"/>
        </w:rPr>
      </w:pPr>
      <w:r>
        <w:rPr>
          <w:rFonts w:ascii="微软雅黑" w:eastAsia="微软雅黑" w:hAnsi="微软雅黑" w:cs="Helvetica"/>
          <w:bCs/>
          <w:noProof/>
          <w:spacing w:val="15"/>
          <w:sz w:val="28"/>
          <w:szCs w:val="28"/>
        </w:rPr>
        <w:drawing>
          <wp:inline distT="0" distB="0" distL="0" distR="0" wp14:anchorId="70B63113" wp14:editId="18858AAF">
            <wp:extent cx="3269615" cy="2212340"/>
            <wp:effectExtent l="0" t="0" r="6985" b="0"/>
            <wp:docPr id="15" name="图片 15" descr="C:\Users\Administrator\Documents\WeChat Files\ppdeboke\FileStorage\Temp\21f8ec683737fbe02e19adaeae2acc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ppdeboke\FileStorage\Temp\21f8ec683737fbe02e19adaeae2acc1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69816" cy="2212407"/>
                    </a:xfrm>
                    <a:prstGeom prst="rect">
                      <a:avLst/>
                    </a:prstGeom>
                    <a:noFill/>
                    <a:ln>
                      <a:noFill/>
                    </a:ln>
                  </pic:spPr>
                </pic:pic>
              </a:graphicData>
            </a:graphic>
          </wp:inline>
        </w:drawing>
      </w:r>
    </w:p>
    <w:p w14:paraId="7C424554"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04 </w:t>
      </w:r>
      <w:r>
        <w:rPr>
          <w:rStyle w:val="ad"/>
          <w:rFonts w:ascii="微软雅黑" w:eastAsia="微软雅黑" w:hAnsi="微软雅黑" w:hint="eastAsia"/>
          <w:b w:val="0"/>
          <w:bCs w:val="0"/>
          <w:color w:val="0A6EBF"/>
          <w:spacing w:val="8"/>
          <w:sz w:val="24"/>
          <w:szCs w:val="24"/>
        </w:rPr>
        <w:t>中医药传承创新</w:t>
      </w:r>
    </w:p>
    <w:p w14:paraId="156AAEC4"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Style w:val="ad"/>
          <w:rFonts w:ascii="微软雅黑" w:eastAsia="微软雅黑" w:hAnsi="微软雅黑" w:hint="eastAsia"/>
          <w:b w:val="0"/>
          <w:bCs w:val="0"/>
          <w:color w:val="222222"/>
          <w:spacing w:val="8"/>
          <w:sz w:val="23"/>
          <w:szCs w:val="23"/>
        </w:rPr>
        <w:t>二十大报告提出，</w:t>
      </w:r>
      <w:r>
        <w:rPr>
          <w:rStyle w:val="ad"/>
          <w:rFonts w:ascii="微软雅黑" w:eastAsia="微软雅黑" w:hAnsi="微软雅黑" w:hint="eastAsia"/>
          <w:b w:val="0"/>
          <w:bCs w:val="0"/>
          <w:color w:val="0A6EBF"/>
          <w:spacing w:val="8"/>
          <w:sz w:val="23"/>
          <w:szCs w:val="23"/>
        </w:rPr>
        <w:t>“促进中医药传承创新发展”</w:t>
      </w:r>
      <w:r>
        <w:rPr>
          <w:rFonts w:ascii="微软雅黑" w:eastAsia="微软雅黑" w:hAnsi="微软雅黑" w:hint="eastAsia"/>
          <w:b/>
          <w:bCs/>
          <w:color w:val="222222"/>
          <w:spacing w:val="8"/>
          <w:sz w:val="23"/>
          <w:szCs w:val="23"/>
        </w:rPr>
        <w:t>。</w:t>
      </w:r>
    </w:p>
    <w:p w14:paraId="38BF436F"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2012年以来，我国中医药事业受到了空前重视，迅速发展。</w:t>
      </w:r>
    </w:p>
    <w:p w14:paraId="1C8AD5F0"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2015年颁布的《中华人民共和国中医药法》强调，发展中医药事业要</w:t>
      </w:r>
      <w:r>
        <w:rPr>
          <w:rStyle w:val="ad"/>
          <w:rFonts w:ascii="微软雅黑" w:eastAsia="微软雅黑" w:hAnsi="微软雅黑" w:hint="eastAsia"/>
          <w:b w:val="0"/>
          <w:bCs w:val="0"/>
          <w:color w:val="0A6EBF"/>
          <w:spacing w:val="8"/>
          <w:sz w:val="23"/>
          <w:szCs w:val="23"/>
        </w:rPr>
        <w:t>遵循中医药发展规律</w:t>
      </w:r>
      <w:r>
        <w:rPr>
          <w:rFonts w:ascii="微软雅黑" w:eastAsia="微软雅黑" w:hAnsi="微软雅黑" w:hint="eastAsia"/>
          <w:b/>
          <w:bCs/>
          <w:color w:val="222222"/>
          <w:spacing w:val="8"/>
          <w:sz w:val="23"/>
          <w:szCs w:val="23"/>
        </w:rPr>
        <w:t>，坚持继承和创新相结合，保持和发挥中医药特色和优势，运用现代科学技术，促进中医药理论和实践的发展。</w:t>
      </w:r>
    </w:p>
    <w:p w14:paraId="153E1F26"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中医药传承队伍的不断壮大为中医药传承提供了人才基础。我国已有</w:t>
      </w:r>
      <w:r>
        <w:rPr>
          <w:rStyle w:val="ad"/>
          <w:rFonts w:ascii="微软雅黑" w:eastAsia="微软雅黑" w:hAnsi="微软雅黑" w:hint="eastAsia"/>
          <w:b w:val="0"/>
          <w:bCs w:val="0"/>
          <w:color w:val="0A6EBF"/>
          <w:spacing w:val="8"/>
          <w:sz w:val="23"/>
          <w:szCs w:val="23"/>
        </w:rPr>
        <w:t>90位</w:t>
      </w:r>
      <w:r>
        <w:rPr>
          <w:rFonts w:ascii="微软雅黑" w:eastAsia="微软雅黑" w:hAnsi="微软雅黑" w:hint="eastAsia"/>
          <w:b/>
          <w:bCs/>
          <w:color w:val="222222"/>
          <w:spacing w:val="8"/>
          <w:sz w:val="23"/>
          <w:szCs w:val="23"/>
        </w:rPr>
        <w:t>国医大师，</w:t>
      </w:r>
      <w:r>
        <w:rPr>
          <w:rStyle w:val="ad"/>
          <w:rFonts w:ascii="微软雅黑" w:eastAsia="微软雅黑" w:hAnsi="微软雅黑" w:hint="eastAsia"/>
          <w:b w:val="0"/>
          <w:bCs w:val="0"/>
          <w:color w:val="0A6EBF"/>
          <w:spacing w:val="8"/>
          <w:sz w:val="23"/>
          <w:szCs w:val="23"/>
        </w:rPr>
        <w:t>201位</w:t>
      </w:r>
      <w:r>
        <w:rPr>
          <w:rFonts w:ascii="微软雅黑" w:eastAsia="微软雅黑" w:hAnsi="微软雅黑" w:hint="eastAsia"/>
          <w:b/>
          <w:bCs/>
          <w:color w:val="222222"/>
          <w:spacing w:val="8"/>
          <w:sz w:val="23"/>
          <w:szCs w:val="23"/>
        </w:rPr>
        <w:t>全国名老中医，</w:t>
      </w:r>
      <w:r>
        <w:rPr>
          <w:rStyle w:val="ad"/>
          <w:rFonts w:ascii="微软雅黑" w:eastAsia="微软雅黑" w:hAnsi="微软雅黑" w:hint="eastAsia"/>
          <w:b w:val="0"/>
          <w:bCs w:val="0"/>
          <w:color w:val="0A6EBF"/>
          <w:spacing w:val="8"/>
          <w:sz w:val="23"/>
          <w:szCs w:val="23"/>
        </w:rPr>
        <w:t>10位</w:t>
      </w:r>
      <w:r>
        <w:rPr>
          <w:rFonts w:ascii="微软雅黑" w:eastAsia="微软雅黑" w:hAnsi="微软雅黑" w:hint="eastAsia"/>
          <w:b/>
          <w:bCs/>
          <w:color w:val="222222"/>
          <w:spacing w:val="8"/>
          <w:sz w:val="23"/>
          <w:szCs w:val="23"/>
        </w:rPr>
        <w:t>岐黄工程首席科学家，我国培养了</w:t>
      </w:r>
      <w:r>
        <w:rPr>
          <w:rStyle w:val="ad"/>
          <w:rFonts w:ascii="微软雅黑" w:eastAsia="微软雅黑" w:hAnsi="微软雅黑" w:hint="eastAsia"/>
          <w:b w:val="0"/>
          <w:bCs w:val="0"/>
          <w:color w:val="0A6EBF"/>
          <w:spacing w:val="8"/>
          <w:sz w:val="23"/>
          <w:szCs w:val="23"/>
        </w:rPr>
        <w:t>140位</w:t>
      </w:r>
      <w:r>
        <w:rPr>
          <w:rFonts w:ascii="微软雅黑" w:eastAsia="微软雅黑" w:hAnsi="微软雅黑" w:hint="eastAsia"/>
          <w:b/>
          <w:bCs/>
          <w:color w:val="222222"/>
          <w:spacing w:val="8"/>
          <w:sz w:val="23"/>
          <w:szCs w:val="23"/>
        </w:rPr>
        <w:t>岐黄学者、</w:t>
      </w:r>
      <w:r>
        <w:rPr>
          <w:rStyle w:val="ad"/>
          <w:rFonts w:ascii="微软雅黑" w:eastAsia="微软雅黑" w:hAnsi="微软雅黑" w:hint="eastAsia"/>
          <w:b w:val="0"/>
          <w:bCs w:val="0"/>
          <w:color w:val="0A6EBF"/>
          <w:spacing w:val="8"/>
          <w:sz w:val="23"/>
          <w:szCs w:val="23"/>
        </w:rPr>
        <w:t>149位</w:t>
      </w:r>
      <w:r>
        <w:rPr>
          <w:rFonts w:ascii="微软雅黑" w:eastAsia="微软雅黑" w:hAnsi="微软雅黑" w:hint="eastAsia"/>
          <w:b/>
          <w:bCs/>
          <w:color w:val="222222"/>
          <w:spacing w:val="8"/>
          <w:sz w:val="23"/>
          <w:szCs w:val="23"/>
        </w:rPr>
        <w:t>青年岐黄学者，全国有基层名老中医药专家传承工作室</w:t>
      </w:r>
      <w:r>
        <w:rPr>
          <w:rStyle w:val="ad"/>
          <w:rFonts w:ascii="微软雅黑" w:eastAsia="微软雅黑" w:hAnsi="微软雅黑" w:hint="eastAsia"/>
          <w:b w:val="0"/>
          <w:bCs w:val="0"/>
          <w:color w:val="0A6EBF"/>
          <w:spacing w:val="8"/>
          <w:sz w:val="23"/>
          <w:szCs w:val="23"/>
        </w:rPr>
        <w:t>1432个</w:t>
      </w:r>
      <w:r>
        <w:rPr>
          <w:rFonts w:ascii="微软雅黑" w:eastAsia="微软雅黑" w:hAnsi="微软雅黑" w:hint="eastAsia"/>
          <w:b/>
          <w:bCs/>
          <w:color w:val="222222"/>
          <w:spacing w:val="8"/>
          <w:sz w:val="23"/>
          <w:szCs w:val="23"/>
        </w:rPr>
        <w:t>。</w:t>
      </w:r>
    </w:p>
    <w:p w14:paraId="0B3DA8CF" w14:textId="77777777" w:rsidR="00E75D8B" w:rsidRDefault="00000000">
      <w:pPr>
        <w:jc w:val="center"/>
        <w:rPr>
          <w:rStyle w:val="ad"/>
          <w:rFonts w:ascii="微软雅黑" w:eastAsia="微软雅黑" w:hAnsi="微软雅黑" w:cs="Helvetica"/>
          <w:b w:val="0"/>
          <w:spacing w:val="15"/>
          <w:sz w:val="28"/>
          <w:szCs w:val="28"/>
        </w:rPr>
      </w:pPr>
      <w:r>
        <w:rPr>
          <w:rFonts w:ascii="微软雅黑" w:eastAsia="微软雅黑" w:hAnsi="微软雅黑" w:cs="Helvetica"/>
          <w:bCs/>
          <w:noProof/>
          <w:spacing w:val="15"/>
          <w:sz w:val="28"/>
          <w:szCs w:val="28"/>
        </w:rPr>
        <w:lastRenderedPageBreak/>
        <w:drawing>
          <wp:inline distT="0" distB="0" distL="0" distR="0" wp14:anchorId="56261AE3" wp14:editId="0EE262F7">
            <wp:extent cx="3368675" cy="2259965"/>
            <wp:effectExtent l="0" t="0" r="3175" b="6985"/>
            <wp:docPr id="16" name="图片 16" descr="C:\Users\Administrator\Documents\WeChat Files\ppdeboke\FileStorage\Temp\b122ef2e1acceac078070dbbe86efc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WeChat Files\ppdeboke\FileStorage\Temp\b122ef2e1acceac078070dbbe86efc2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69579" cy="2260598"/>
                    </a:xfrm>
                    <a:prstGeom prst="rect">
                      <a:avLst/>
                    </a:prstGeom>
                    <a:noFill/>
                    <a:ln>
                      <a:noFill/>
                    </a:ln>
                  </pic:spPr>
                </pic:pic>
              </a:graphicData>
            </a:graphic>
          </wp:inline>
        </w:drawing>
      </w:r>
    </w:p>
    <w:p w14:paraId="5781C2EC"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中医药正在建立适合中医药特点的、独特的评审体系。2020年12月25日，国家药监局发布《关于促进中药传承创新发展的实施意见》提出，建立</w:t>
      </w:r>
      <w:r>
        <w:rPr>
          <w:rStyle w:val="ad"/>
          <w:rFonts w:ascii="微软雅黑" w:eastAsia="微软雅黑" w:hAnsi="微软雅黑"/>
          <w:color w:val="0A6EBF"/>
          <w:sz w:val="23"/>
          <w:szCs w:val="23"/>
        </w:rPr>
        <w:t>中医药理论、人用经验和临床试验“三结合”</w:t>
      </w:r>
      <w:r>
        <w:rPr>
          <w:rFonts w:ascii="微软雅黑" w:eastAsia="微软雅黑" w:hAnsi="微软雅黑"/>
          <w:sz w:val="23"/>
          <w:szCs w:val="23"/>
        </w:rPr>
        <w:t>的中药注册审评证据体系。</w:t>
      </w:r>
    </w:p>
    <w:p w14:paraId="281FBAA4"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近年来，中药企业从事中药研发的积极性不断提高，创新中药的注册申请不断增多。中药创新药的临床申请（IND）由2017年的31个增加到了2021年的44个，今年上半年已达21个；中药创新药上市申请（NDA）由2017年的空白，2018年的8个增加到了2021年的19个。</w:t>
      </w:r>
    </w:p>
    <w:p w14:paraId="6447F66D" w14:textId="77777777" w:rsidR="00E75D8B" w:rsidRDefault="00000000">
      <w:pPr>
        <w:jc w:val="center"/>
        <w:rPr>
          <w:rStyle w:val="ad"/>
          <w:rFonts w:ascii="微软雅黑" w:eastAsia="微软雅黑" w:hAnsi="微软雅黑" w:cs="Helvetica"/>
          <w:b w:val="0"/>
          <w:spacing w:val="15"/>
          <w:sz w:val="28"/>
          <w:szCs w:val="28"/>
        </w:rPr>
      </w:pPr>
      <w:r>
        <w:rPr>
          <w:rFonts w:ascii="微软雅黑" w:eastAsia="微软雅黑" w:hAnsi="微软雅黑" w:cs="Helvetica"/>
          <w:bCs/>
          <w:noProof/>
          <w:spacing w:val="15"/>
          <w:sz w:val="28"/>
          <w:szCs w:val="28"/>
        </w:rPr>
        <w:drawing>
          <wp:inline distT="0" distB="0" distL="0" distR="0" wp14:anchorId="1DFB51CF" wp14:editId="4D7E2EE4">
            <wp:extent cx="3123565" cy="2084070"/>
            <wp:effectExtent l="0" t="0" r="635" b="0"/>
            <wp:docPr id="17" name="图片 17" descr="C:\Users\Administrator\Documents\WeChat Files\ppdeboke\FileStorage\Temp\afb84a13384394dfb6880ff9d92cb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WeChat Files\ppdeboke\FileStorage\Temp\afb84a13384394dfb6880ff9d92cbe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23464" cy="2084012"/>
                    </a:xfrm>
                    <a:prstGeom prst="rect">
                      <a:avLst/>
                    </a:prstGeom>
                    <a:noFill/>
                    <a:ln>
                      <a:noFill/>
                    </a:ln>
                  </pic:spPr>
                </pic:pic>
              </a:graphicData>
            </a:graphic>
          </wp:inline>
        </w:drawing>
      </w:r>
    </w:p>
    <w:p w14:paraId="37C58D10" w14:textId="77777777" w:rsidR="00E75D8B" w:rsidRDefault="00000000">
      <w:pPr>
        <w:ind w:firstLineChars="200" w:firstLine="492"/>
        <w:rPr>
          <w:rFonts w:ascii="微软雅黑" w:eastAsia="微软雅黑" w:hAnsi="微软雅黑"/>
          <w:color w:val="222222"/>
          <w:spacing w:val="8"/>
          <w:sz w:val="23"/>
          <w:szCs w:val="23"/>
        </w:rPr>
      </w:pPr>
      <w:r>
        <w:rPr>
          <w:rFonts w:ascii="微软雅黑" w:eastAsia="微软雅黑" w:hAnsi="微软雅黑" w:hint="eastAsia"/>
          <w:color w:val="222222"/>
          <w:spacing w:val="8"/>
          <w:sz w:val="23"/>
          <w:szCs w:val="23"/>
        </w:rPr>
        <w:t>二十大报告为我国医药健康事业的发展指明了方向，医药企业也应从中发现商机，迅速把企业战略调整到二十大指引的方向上来，为我国医药健康事业发展作出应有的贡献，为全面建设社会主义现代化国家、全面推进中华民族伟大复兴贡献力量。</w:t>
      </w:r>
    </w:p>
    <w:p w14:paraId="30C17402" w14:textId="77777777" w:rsidR="00E75D8B" w:rsidRDefault="00000000">
      <w:pPr>
        <w:jc w:val="center"/>
        <w:rPr>
          <w:rStyle w:val="ad"/>
          <w:rFonts w:ascii="微软雅黑" w:eastAsia="微软雅黑" w:hAnsi="微软雅黑"/>
          <w:color w:val="0A6EBF"/>
          <w:spacing w:val="8"/>
          <w:sz w:val="23"/>
          <w:szCs w:val="23"/>
        </w:rPr>
      </w:pPr>
      <w:r>
        <w:rPr>
          <w:rStyle w:val="ad"/>
          <w:rFonts w:ascii="微软雅黑" w:eastAsia="微软雅黑" w:hAnsi="微软雅黑"/>
          <w:color w:val="0A6EBF"/>
          <w:spacing w:val="8"/>
          <w:sz w:val="23"/>
          <w:szCs w:val="23"/>
        </w:rPr>
        <w:lastRenderedPageBreak/>
        <w:t>第二篇、儿童医药</w:t>
      </w:r>
    </w:p>
    <w:p w14:paraId="088C385D" w14:textId="77777777" w:rsidR="00E75D8B" w:rsidRDefault="00000000">
      <w:pPr>
        <w:ind w:firstLineChars="200" w:firstLine="460"/>
        <w:rPr>
          <w:rStyle w:val="ad"/>
          <w:rFonts w:ascii="微软雅黑" w:eastAsia="微软雅黑" w:hAnsi="微软雅黑"/>
          <w:color w:val="0A6EBF"/>
          <w:sz w:val="23"/>
          <w:szCs w:val="23"/>
        </w:rPr>
      </w:pPr>
      <w:r>
        <w:rPr>
          <w:rFonts w:ascii="微软雅黑" w:eastAsia="微软雅黑" w:hAnsi="微软雅黑"/>
          <w:sz w:val="23"/>
          <w:szCs w:val="23"/>
        </w:rPr>
        <w:t>二十大报告提出</w:t>
      </w:r>
      <w:r>
        <w:rPr>
          <w:rStyle w:val="ad"/>
          <w:rFonts w:ascii="微软雅黑" w:eastAsia="微软雅黑" w:hAnsi="微软雅黑"/>
          <w:color w:val="0A6EBF"/>
          <w:sz w:val="23"/>
          <w:szCs w:val="23"/>
        </w:rPr>
        <w:t>“优化人口发展战略，建立生育支持政策体系，降低生育、养育、教育成本”。</w:t>
      </w:r>
    </w:p>
    <w:p w14:paraId="065AEDC7"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本文将从</w:t>
      </w:r>
      <w:r>
        <w:rPr>
          <w:rStyle w:val="ad"/>
          <w:rFonts w:ascii="微软雅黑" w:eastAsia="微软雅黑" w:hAnsi="微软雅黑"/>
          <w:color w:val="0A6EBF"/>
          <w:sz w:val="23"/>
          <w:szCs w:val="23"/>
        </w:rPr>
        <w:t>养育成本、出生率、儿童常见病、儿童医院、儿童药</w:t>
      </w:r>
      <w:r>
        <w:rPr>
          <w:rFonts w:ascii="微软雅黑" w:eastAsia="微软雅黑" w:hAnsi="微软雅黑"/>
          <w:sz w:val="23"/>
          <w:szCs w:val="23"/>
        </w:rPr>
        <w:t>五个方面进行解读。</w:t>
      </w:r>
    </w:p>
    <w:p w14:paraId="6960A24A" w14:textId="77777777" w:rsidR="00E75D8B" w:rsidRDefault="00000000">
      <w:pPr>
        <w:ind w:firstLineChars="200" w:firstLine="492"/>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01 养育成本</w:t>
      </w:r>
    </w:p>
    <w:p w14:paraId="3B3ED729"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养育成本是影响出生率的重要因素。</w:t>
      </w:r>
    </w:p>
    <w:p w14:paraId="74D11768" w14:textId="77777777" w:rsidR="00E75D8B" w:rsidRDefault="00000000">
      <w:pPr>
        <w:ind w:firstLineChars="200" w:firstLine="460"/>
        <w:rPr>
          <w:rStyle w:val="ad"/>
          <w:rFonts w:ascii="微软雅黑" w:eastAsia="微软雅黑" w:hAnsi="微软雅黑"/>
          <w:color w:val="0A6EBF"/>
          <w:sz w:val="23"/>
          <w:szCs w:val="23"/>
        </w:rPr>
      </w:pPr>
      <w:r>
        <w:rPr>
          <w:rFonts w:ascii="微软雅黑" w:eastAsia="微软雅黑" w:hAnsi="微软雅黑"/>
          <w:sz w:val="23"/>
          <w:szCs w:val="23"/>
        </w:rPr>
        <w:t>图一列举了2019年各省份将一个孩子养到17岁所需要的平均成本，可见，养育成本与孩子所在地的经济和物价水平有着高度相关性，</w:t>
      </w:r>
      <w:r>
        <w:rPr>
          <w:rStyle w:val="ad"/>
          <w:rFonts w:ascii="微软雅黑" w:eastAsia="微软雅黑" w:hAnsi="微软雅黑"/>
          <w:color w:val="0A6EBF"/>
          <w:sz w:val="23"/>
          <w:szCs w:val="23"/>
        </w:rPr>
        <w:t>上海、北京、天津</w:t>
      </w:r>
      <w:r>
        <w:rPr>
          <w:rFonts w:ascii="微软雅黑" w:eastAsia="微软雅黑" w:hAnsi="微软雅黑"/>
          <w:sz w:val="23"/>
          <w:szCs w:val="23"/>
        </w:rPr>
        <w:t>三大直辖市的经济水平和物价都很高，所以其平均养育成本最高也就不难理解了，分别为</w:t>
      </w:r>
      <w:r>
        <w:rPr>
          <w:rStyle w:val="ad"/>
          <w:rFonts w:ascii="微软雅黑" w:eastAsia="微软雅黑" w:hAnsi="微软雅黑"/>
          <w:color w:val="0A6EBF"/>
          <w:sz w:val="23"/>
          <w:szCs w:val="23"/>
        </w:rPr>
        <w:t>103万元、97万元和72万元，</w:t>
      </w:r>
      <w:r>
        <w:rPr>
          <w:rFonts w:ascii="微软雅黑" w:eastAsia="微软雅黑" w:hAnsi="微软雅黑"/>
          <w:sz w:val="23"/>
          <w:szCs w:val="23"/>
        </w:rPr>
        <w:t>分别排在全国的第一、二、四位，浙江、广东、江苏的经济水平和物价也很高，平均养育成本分别为72万元、65万元和60万元，分别排在了第3、5、6位，三大直辖市和三个经济体量位居前列的省份雄霸Top6，其中，上海还是比江苏高出了71%，上海市也是全国平均养育成本</w:t>
      </w:r>
      <w:r>
        <w:rPr>
          <w:rStyle w:val="ad"/>
          <w:rFonts w:ascii="微软雅黑" w:eastAsia="微软雅黑" w:hAnsi="微软雅黑"/>
          <w:color w:val="0A6EBF"/>
          <w:sz w:val="23"/>
          <w:szCs w:val="23"/>
        </w:rPr>
        <w:t>唯一超过100万元的省份。</w:t>
      </w:r>
    </w:p>
    <w:p w14:paraId="147BF6FB"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养育成本最低的是</w:t>
      </w:r>
      <w:r>
        <w:rPr>
          <w:rStyle w:val="ad"/>
          <w:rFonts w:ascii="微软雅黑" w:eastAsia="微软雅黑" w:hAnsi="微软雅黑"/>
          <w:color w:val="0A6EBF"/>
          <w:sz w:val="23"/>
          <w:szCs w:val="23"/>
        </w:rPr>
        <w:t>西藏，只有29.3万元</w:t>
      </w:r>
      <w:r>
        <w:rPr>
          <w:rFonts w:ascii="微软雅黑" w:eastAsia="微软雅黑" w:hAnsi="微软雅黑"/>
          <w:sz w:val="23"/>
          <w:szCs w:val="23"/>
        </w:rPr>
        <w:t>，只有平均养育成本最高上海的</w:t>
      </w:r>
      <w:r>
        <w:rPr>
          <w:rStyle w:val="ad"/>
          <w:rFonts w:ascii="微软雅黑" w:eastAsia="微软雅黑" w:hAnsi="微软雅黑"/>
          <w:color w:val="0A6EBF"/>
          <w:sz w:val="23"/>
          <w:szCs w:val="23"/>
        </w:rPr>
        <w:t>不到三分之一（28.6%）。其次是贵州（33.3万元）、云南（35.5万元）、山西（35.7万元）、甘肃（35.7万元）,</w:t>
      </w:r>
      <w:r>
        <w:rPr>
          <w:rFonts w:ascii="微软雅黑" w:eastAsia="微软雅黑" w:hAnsi="微软雅黑"/>
          <w:sz w:val="23"/>
          <w:szCs w:val="23"/>
        </w:rPr>
        <w:t>都是经济欠发达、农村人口占比较大的省份，紧追其后的是河南</w:t>
      </w:r>
      <w:r>
        <w:rPr>
          <w:rStyle w:val="ad"/>
          <w:rFonts w:ascii="微软雅黑" w:eastAsia="微软雅黑" w:hAnsi="微软雅黑"/>
          <w:color w:val="0A6EBF"/>
          <w:sz w:val="23"/>
          <w:szCs w:val="23"/>
        </w:rPr>
        <w:t>（36.8万元）、广西（37万元）、新疆（39.2万元）、陕西（39.3万元）和青海（39.5万元），都不超过40万元。</w:t>
      </w:r>
      <w:r>
        <w:rPr>
          <w:rFonts w:ascii="微软雅黑" w:eastAsia="微软雅黑" w:hAnsi="微软雅黑"/>
          <w:sz w:val="23"/>
          <w:szCs w:val="23"/>
        </w:rPr>
        <w:t>（详见图一）</w:t>
      </w:r>
    </w:p>
    <w:p w14:paraId="72BEBAF2"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lastRenderedPageBreak/>
        <w:drawing>
          <wp:inline distT="0" distB="0" distL="0" distR="0" wp14:anchorId="7CD9BF9C" wp14:editId="4898BB42">
            <wp:extent cx="4169410" cy="2825750"/>
            <wp:effectExtent l="0" t="0" r="2540" b="0"/>
            <wp:docPr id="18" name="图片 18" descr="C:\Users\Administrator\Documents\WeChat Files\ppdeboke\FileStorage\Temp\41f598a095bdaa42e978e1c013ae9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ppdeboke\FileStorage\Temp\41f598a095bdaa42e978e1c013ae9d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69705" cy="2826391"/>
                    </a:xfrm>
                    <a:prstGeom prst="rect">
                      <a:avLst/>
                    </a:prstGeom>
                    <a:noFill/>
                    <a:ln>
                      <a:noFill/>
                    </a:ln>
                  </pic:spPr>
                </pic:pic>
              </a:graphicData>
            </a:graphic>
          </wp:inline>
        </w:drawing>
      </w:r>
    </w:p>
    <w:p w14:paraId="1A16C5DC"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02 出生率</w:t>
      </w:r>
    </w:p>
    <w:p w14:paraId="76B14AC8"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所谓出生率，即每年平均每千人中出生人数的比率。</w:t>
      </w:r>
    </w:p>
    <w:p w14:paraId="0A8ECDE6"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第七次全国人口普查结果显示，2020年，全国人口141178万人，当年出生人口1200万人，出生率为8.52‰，出生率首次跌破了10</w:t>
      </w:r>
      <w:r>
        <w:rPr>
          <w:rFonts w:ascii="微软雅黑" w:eastAsia="微软雅黑" w:hAnsi="微软雅黑"/>
          <w:spacing w:val="8"/>
          <w:sz w:val="23"/>
          <w:szCs w:val="23"/>
        </w:rPr>
        <w:t>‰</w:t>
      </w:r>
      <w:r>
        <w:rPr>
          <w:rFonts w:ascii="微软雅黑" w:eastAsia="微软雅黑" w:hAnsi="微软雅黑"/>
          <w:sz w:val="23"/>
          <w:szCs w:val="23"/>
        </w:rPr>
        <w:t>。</w:t>
      </w:r>
    </w:p>
    <w:p w14:paraId="237DB21E"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其中，</w:t>
      </w:r>
      <w:r>
        <w:rPr>
          <w:rStyle w:val="ad"/>
          <w:rFonts w:ascii="微软雅黑" w:eastAsia="微软雅黑" w:hAnsi="微软雅黑"/>
          <w:color w:val="0A6EBF"/>
          <w:sz w:val="23"/>
          <w:szCs w:val="23"/>
        </w:rPr>
        <w:t>西藏出生率最高，为14.6‰，</w:t>
      </w:r>
      <w:r>
        <w:rPr>
          <w:rFonts w:ascii="微软雅黑" w:eastAsia="微软雅黑" w:hAnsi="微软雅黑"/>
          <w:sz w:val="23"/>
          <w:szCs w:val="23"/>
        </w:rPr>
        <w:t>这与西藏的养育成本最低（图一）是吻合的。</w:t>
      </w:r>
    </w:p>
    <w:p w14:paraId="28270044"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贵州出生率位居第二，为13.6‰，超过11‰的有4个省份，即</w:t>
      </w:r>
      <w:r>
        <w:rPr>
          <w:rStyle w:val="ad"/>
          <w:rFonts w:ascii="微软雅黑" w:eastAsia="微软雅黑" w:hAnsi="微软雅黑"/>
          <w:color w:val="0A6EBF"/>
          <w:sz w:val="23"/>
          <w:szCs w:val="23"/>
        </w:rPr>
        <w:t>青海（11.6‰）、广西（11.5‰）、广东（11.4‰）和宁夏（11.1‰）</w:t>
      </w:r>
      <w:r>
        <w:rPr>
          <w:rFonts w:ascii="微软雅黑" w:eastAsia="微软雅黑" w:hAnsi="微软雅黑"/>
          <w:color w:val="0A6EBF"/>
          <w:sz w:val="23"/>
          <w:szCs w:val="23"/>
        </w:rPr>
        <w:t>。</w:t>
      </w:r>
      <w:r>
        <w:rPr>
          <w:rFonts w:ascii="微软雅黑" w:eastAsia="微软雅黑" w:hAnsi="微软雅黑"/>
          <w:sz w:val="23"/>
          <w:szCs w:val="23"/>
        </w:rPr>
        <w:t>除广东（粤北、粤西经济也不发达）外，这些都是经济欠发达的西部省份。</w:t>
      </w:r>
    </w:p>
    <w:p w14:paraId="7B420299"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2020年出生率</w:t>
      </w:r>
      <w:r>
        <w:rPr>
          <w:rStyle w:val="ad"/>
          <w:rFonts w:ascii="微软雅黑" w:eastAsia="微软雅黑" w:hAnsi="微软雅黑"/>
          <w:color w:val="0A6EBF"/>
          <w:sz w:val="23"/>
          <w:szCs w:val="23"/>
        </w:rPr>
        <w:t>最低的是东北三省，即黑龙江（3.7‰）、吉林（4.6‰）、辽宁（5‰）</w:t>
      </w:r>
      <w:r>
        <w:rPr>
          <w:rFonts w:ascii="微软雅黑" w:eastAsia="微软雅黑" w:hAnsi="微软雅黑"/>
          <w:sz w:val="23"/>
          <w:szCs w:val="23"/>
        </w:rPr>
        <w:t>，这三个省的出生率低，除与经济水平有关外，主要还与</w:t>
      </w:r>
      <w:r>
        <w:rPr>
          <w:rStyle w:val="ad"/>
          <w:rFonts w:ascii="微软雅黑" w:eastAsia="微软雅黑" w:hAnsi="微软雅黑"/>
          <w:color w:val="0A6EBF"/>
          <w:sz w:val="23"/>
          <w:szCs w:val="23"/>
        </w:rPr>
        <w:t>人口外流</w:t>
      </w:r>
      <w:r>
        <w:rPr>
          <w:rFonts w:ascii="微软雅黑" w:eastAsia="微软雅黑" w:hAnsi="微软雅黑"/>
          <w:sz w:val="23"/>
          <w:szCs w:val="23"/>
        </w:rPr>
        <w:t>导致老龄化加剧、育龄妇女减少有关。</w:t>
      </w:r>
    </w:p>
    <w:p w14:paraId="2E6A95E1" w14:textId="77777777" w:rsidR="00E75D8B" w:rsidRDefault="00000000">
      <w:pPr>
        <w:ind w:firstLineChars="200" w:firstLine="460"/>
        <w:rPr>
          <w:rFonts w:ascii="微软雅黑" w:eastAsia="微软雅黑" w:hAnsi="微软雅黑"/>
          <w:sz w:val="23"/>
          <w:szCs w:val="23"/>
        </w:rPr>
      </w:pPr>
      <w:r>
        <w:rPr>
          <w:rStyle w:val="ad"/>
          <w:rFonts w:ascii="微软雅黑" w:eastAsia="微软雅黑" w:hAnsi="微软雅黑"/>
          <w:color w:val="0A6EBF"/>
          <w:sz w:val="23"/>
          <w:szCs w:val="23"/>
        </w:rPr>
        <w:t>3个直辖市出生率都很低，即上海（5.5‰）、天津（5.6‰）、北京（7.4‰）</w:t>
      </w:r>
      <w:r>
        <w:rPr>
          <w:rFonts w:ascii="微软雅黑" w:eastAsia="微软雅黑" w:hAnsi="微软雅黑"/>
          <w:sz w:val="23"/>
          <w:szCs w:val="23"/>
        </w:rPr>
        <w:t>，分别位居倒数第4、第5、第9位。另外两个位居长三角中心的发达省份出生率也殿后，即</w:t>
      </w:r>
      <w:r>
        <w:rPr>
          <w:rStyle w:val="ad"/>
          <w:rFonts w:ascii="微软雅黑" w:eastAsia="微软雅黑" w:hAnsi="微软雅黑"/>
          <w:color w:val="0A6EBF"/>
          <w:sz w:val="23"/>
          <w:szCs w:val="23"/>
        </w:rPr>
        <w:t>江苏（6.2‰）、浙江（7.4‰）</w:t>
      </w:r>
      <w:r>
        <w:rPr>
          <w:rFonts w:ascii="微软雅黑" w:eastAsia="微软雅黑" w:hAnsi="微软雅黑"/>
          <w:sz w:val="23"/>
          <w:szCs w:val="23"/>
        </w:rPr>
        <w:t>，这些发达经济省份的生育率低除因养育</w:t>
      </w:r>
      <w:r>
        <w:rPr>
          <w:rFonts w:ascii="微软雅黑" w:eastAsia="微软雅黑" w:hAnsi="微软雅黑"/>
          <w:sz w:val="23"/>
          <w:szCs w:val="23"/>
        </w:rPr>
        <w:lastRenderedPageBreak/>
        <w:t>成本高外，还与对</w:t>
      </w:r>
      <w:r>
        <w:rPr>
          <w:rStyle w:val="ad"/>
          <w:rFonts w:ascii="微软雅黑" w:eastAsia="微软雅黑" w:hAnsi="微软雅黑"/>
          <w:color w:val="0A6EBF"/>
          <w:sz w:val="23"/>
          <w:szCs w:val="23"/>
        </w:rPr>
        <w:t>养儿防老意识淡化、重视个人生活品质、时间精力不足、社会托育服务尚不完备</w:t>
      </w:r>
      <w:r>
        <w:rPr>
          <w:rFonts w:ascii="微软雅黑" w:eastAsia="微软雅黑" w:hAnsi="微软雅黑"/>
          <w:sz w:val="23"/>
          <w:szCs w:val="23"/>
        </w:rPr>
        <w:t>等因素有关。（详见图二）</w:t>
      </w:r>
    </w:p>
    <w:p w14:paraId="4A049A9A"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2654A8EC" wp14:editId="18E12653">
            <wp:extent cx="3986530" cy="2677160"/>
            <wp:effectExtent l="0" t="0" r="0" b="8890"/>
            <wp:docPr id="19" name="图片 19" descr="C:\Users\Administrator\Documents\WeChat Files\ppdeboke\FileStorage\Temp\f6e5d99cff23565ec9c4560d87ba7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ocuments\WeChat Files\ppdeboke\FileStorage\Temp\f6e5d99cff23565ec9c4560d87ba7e5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88424" cy="2678384"/>
                    </a:xfrm>
                    <a:prstGeom prst="rect">
                      <a:avLst/>
                    </a:prstGeom>
                    <a:noFill/>
                    <a:ln>
                      <a:noFill/>
                    </a:ln>
                  </pic:spPr>
                </pic:pic>
              </a:graphicData>
            </a:graphic>
          </wp:inline>
        </w:drawing>
      </w:r>
    </w:p>
    <w:p w14:paraId="2DABD2D3"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03 常见病</w:t>
      </w:r>
    </w:p>
    <w:p w14:paraId="33C3AA11"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据2016年国家药监局南方医药经济研究所对100多个城市的3576名儿童家长、335家药店的店员和10名儿科专家做的调研所示</w:t>
      </w:r>
      <w:r>
        <w:rPr>
          <w:rStyle w:val="ad"/>
          <w:rFonts w:ascii="微软雅黑" w:eastAsia="微软雅黑" w:hAnsi="微软雅黑"/>
          <w:color w:val="0A6EBF"/>
          <w:sz w:val="23"/>
          <w:szCs w:val="23"/>
        </w:rPr>
        <w:t>，儿童患病最多的是感冒，占比高达74.7%，</w:t>
      </w:r>
      <w:r>
        <w:rPr>
          <w:rFonts w:ascii="微软雅黑" w:eastAsia="微软雅黑" w:hAnsi="微软雅黑"/>
          <w:sz w:val="23"/>
          <w:szCs w:val="23"/>
        </w:rPr>
        <w:t>其次是</w:t>
      </w:r>
      <w:r>
        <w:rPr>
          <w:rStyle w:val="ad"/>
          <w:rFonts w:ascii="微软雅黑" w:eastAsia="微软雅黑" w:hAnsi="微软雅黑"/>
          <w:color w:val="0A6EBF"/>
          <w:sz w:val="23"/>
          <w:szCs w:val="23"/>
        </w:rPr>
        <w:t>发烧和咳嗽</w:t>
      </w:r>
      <w:r>
        <w:rPr>
          <w:rFonts w:ascii="微软雅黑" w:eastAsia="微软雅黑" w:hAnsi="微软雅黑"/>
          <w:sz w:val="23"/>
          <w:szCs w:val="23"/>
        </w:rPr>
        <w:t>，占比都超过了50%，分别占了</w:t>
      </w:r>
      <w:r>
        <w:rPr>
          <w:rStyle w:val="ad"/>
          <w:rFonts w:ascii="微软雅黑" w:eastAsia="微软雅黑" w:hAnsi="微软雅黑"/>
          <w:color w:val="0A6EBF"/>
          <w:sz w:val="23"/>
          <w:szCs w:val="23"/>
        </w:rPr>
        <w:t>60%和56%</w:t>
      </w:r>
      <w:r>
        <w:rPr>
          <w:rFonts w:ascii="微软雅黑" w:eastAsia="微软雅黑" w:hAnsi="微软雅黑"/>
          <w:sz w:val="23"/>
          <w:szCs w:val="23"/>
        </w:rPr>
        <w:t>。（详见图三）</w:t>
      </w:r>
    </w:p>
    <w:p w14:paraId="7460179A"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108807A9" wp14:editId="4D9A9923">
            <wp:extent cx="3993515" cy="2616200"/>
            <wp:effectExtent l="0" t="0" r="6985" b="0"/>
            <wp:docPr id="66" name="图片 66" descr="C:\Users\Administrator\Documents\WeChat Files\ppdeboke\FileStorage\Temp\88fde42533db6bcd4ba1f868656f3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Documents\WeChat Files\ppdeboke\FileStorage\Temp\88fde42533db6bcd4ba1f868656f36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000735" cy="2620836"/>
                    </a:xfrm>
                    <a:prstGeom prst="rect">
                      <a:avLst/>
                    </a:prstGeom>
                    <a:noFill/>
                    <a:ln>
                      <a:noFill/>
                    </a:ln>
                  </pic:spPr>
                </pic:pic>
              </a:graphicData>
            </a:graphic>
          </wp:inline>
        </w:drawing>
      </w:r>
    </w:p>
    <w:p w14:paraId="25766F73"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04 儿童医院</w:t>
      </w:r>
    </w:p>
    <w:p w14:paraId="4B9E5609"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lastRenderedPageBreak/>
        <w:t>随着国家对儿童医疗事业的重视，我国儿童医院的数量和医疗水平也在不断提高，且明星医院不断涌现，据权威医院排名机构广州艾力彼医院管理研究中心统计，2021年全国得分位居前三的儿童医院是位居北京和上海两个直辖市的</w:t>
      </w:r>
      <w:r>
        <w:rPr>
          <w:rStyle w:val="ad"/>
          <w:rFonts w:ascii="微软雅黑" w:eastAsia="微软雅黑" w:hAnsi="微软雅黑"/>
          <w:color w:val="0A6EBF"/>
          <w:sz w:val="23"/>
          <w:szCs w:val="23"/>
        </w:rPr>
        <w:t>首都医科大学附属北京儿童医院、复旦大学附属儿科医院和上海交通大学医学院附属上海儿童医学中心。重庆医科大学附属儿童医院、浙江大学医学院附属儿童医院、广州市妇女儿童医疗中心、四川大学华西妇产儿童医院、首都儿科研究所附属儿童医院</w:t>
      </w:r>
      <w:r>
        <w:rPr>
          <w:rFonts w:ascii="微软雅黑" w:eastAsia="微软雅黑" w:hAnsi="微软雅黑"/>
          <w:sz w:val="23"/>
          <w:szCs w:val="23"/>
        </w:rPr>
        <w:t>，分别位居</w:t>
      </w:r>
      <w:r>
        <w:rPr>
          <w:rStyle w:val="ad"/>
          <w:rFonts w:ascii="微软雅黑" w:eastAsia="微软雅黑" w:hAnsi="微软雅黑"/>
          <w:color w:val="0A6EBF"/>
          <w:sz w:val="23"/>
          <w:szCs w:val="23"/>
        </w:rPr>
        <w:t>第3～8位。</w:t>
      </w:r>
      <w:r>
        <w:rPr>
          <w:rFonts w:ascii="微软雅黑" w:eastAsia="微软雅黑" w:hAnsi="微软雅黑"/>
          <w:sz w:val="23"/>
          <w:szCs w:val="23"/>
        </w:rPr>
        <w:t>（详见图四）</w:t>
      </w:r>
    </w:p>
    <w:p w14:paraId="14576725"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3EF1BD24" wp14:editId="5AF1D75B">
            <wp:extent cx="4074160" cy="2275205"/>
            <wp:effectExtent l="0" t="0" r="2540" b="0"/>
            <wp:docPr id="67" name="图片 67" descr="C:\Users\Administrator\Documents\WeChat Files\ppdeboke\FileStorage\Temp\c66f372bc24aa36143cd1cca55656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Documents\WeChat Files\ppdeboke\FileStorage\Temp\c66f372bc24aa36143cd1cca556561b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74607" cy="2275576"/>
                    </a:xfrm>
                    <a:prstGeom prst="rect">
                      <a:avLst/>
                    </a:prstGeom>
                    <a:noFill/>
                    <a:ln>
                      <a:noFill/>
                    </a:ln>
                  </pic:spPr>
                </pic:pic>
              </a:graphicData>
            </a:graphic>
          </wp:inline>
        </w:drawing>
      </w:r>
    </w:p>
    <w:p w14:paraId="781CC20A"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05 儿童药</w:t>
      </w:r>
    </w:p>
    <w:p w14:paraId="024D0467"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丰富了医疗资源后，还需有高质量的药品满足儿童疾病治疗的需要，长期以来，我国儿童专用药物剂型、适应症等非常缺乏，随着近年审评审批、医保和医疗等对儿童用药政策的倾斜，我国儿童用药品种不断丰富，儿童用药可及性不断提高。</w:t>
      </w:r>
    </w:p>
    <w:p w14:paraId="5FAEA62D" w14:textId="77777777" w:rsidR="00E75D8B" w:rsidRDefault="00000000">
      <w:pPr>
        <w:pStyle w:val="af2"/>
        <w:numPr>
          <w:ilvl w:val="0"/>
          <w:numId w:val="6"/>
        </w:numPr>
        <w:ind w:firstLineChars="0"/>
        <w:rPr>
          <w:rStyle w:val="ad"/>
          <w:rFonts w:ascii="微软雅黑" w:eastAsia="微软雅黑" w:hAnsi="微软雅黑"/>
          <w:color w:val="0A6EBF"/>
          <w:sz w:val="23"/>
          <w:szCs w:val="23"/>
        </w:rPr>
      </w:pPr>
      <w:r>
        <w:rPr>
          <w:rStyle w:val="ad"/>
          <w:rFonts w:ascii="微软雅黑" w:eastAsia="微软雅黑" w:hAnsi="微软雅黑"/>
          <w:color w:val="0A6EBF"/>
          <w:sz w:val="23"/>
          <w:szCs w:val="23"/>
        </w:rPr>
        <w:t>Top10药品</w:t>
      </w:r>
    </w:p>
    <w:p w14:paraId="4A2A067C"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2020年，Top10儿童药销售额都超过了10亿元，合计超200亿，占29.1%。其中，西药8个，中成药2个，2个中成药全部是独家产品，西药中仅东阳光的磷酸奥司他韦颗粒是独家。</w:t>
      </w:r>
    </w:p>
    <w:p w14:paraId="4947905F" w14:textId="77777777" w:rsidR="00E75D8B" w:rsidRDefault="00000000">
      <w:pPr>
        <w:ind w:firstLineChars="200" w:firstLine="460"/>
        <w:rPr>
          <w:rFonts w:ascii="微软雅黑" w:eastAsia="微软雅黑" w:hAnsi="微软雅黑"/>
          <w:spacing w:val="8"/>
          <w:sz w:val="23"/>
          <w:szCs w:val="23"/>
        </w:rPr>
      </w:pPr>
      <w:r>
        <w:rPr>
          <w:rFonts w:ascii="微软雅黑" w:eastAsia="微软雅黑" w:hAnsi="微软雅黑"/>
          <w:sz w:val="23"/>
          <w:szCs w:val="23"/>
        </w:rPr>
        <w:t>其中，销售额最大的是</w:t>
      </w:r>
      <w:r>
        <w:rPr>
          <w:rStyle w:val="ad"/>
          <w:rFonts w:ascii="微软雅黑" w:eastAsia="微软雅黑" w:hAnsi="微软雅黑"/>
          <w:color w:val="0A6EBF"/>
          <w:sz w:val="23"/>
          <w:szCs w:val="23"/>
        </w:rPr>
        <w:t>重组人生长激素注射剂、维生素D滴剂</w:t>
      </w:r>
      <w:r>
        <w:rPr>
          <w:rFonts w:ascii="微软雅黑" w:eastAsia="微软雅黑" w:hAnsi="微软雅黑"/>
          <w:sz w:val="23"/>
          <w:szCs w:val="23"/>
        </w:rPr>
        <w:t>，占比都在5%</w:t>
      </w:r>
      <w:r>
        <w:rPr>
          <w:rFonts w:ascii="微软雅黑" w:eastAsia="微软雅黑" w:hAnsi="微软雅黑"/>
          <w:sz w:val="23"/>
          <w:szCs w:val="23"/>
        </w:rPr>
        <w:lastRenderedPageBreak/>
        <w:t>以上，</w:t>
      </w:r>
      <w:r>
        <w:rPr>
          <w:rStyle w:val="ad"/>
          <w:rFonts w:ascii="微软雅黑" w:eastAsia="微软雅黑" w:hAnsi="微软雅黑"/>
          <w:color w:val="0A6EBF"/>
          <w:sz w:val="23"/>
          <w:szCs w:val="23"/>
        </w:rPr>
        <w:t>分别占了5.7%和5.3%</w:t>
      </w:r>
      <w:r>
        <w:rPr>
          <w:rFonts w:ascii="微软雅黑" w:eastAsia="微软雅黑" w:hAnsi="微软雅黑"/>
          <w:sz w:val="23"/>
          <w:szCs w:val="23"/>
        </w:rPr>
        <w:t>。两个中成药</w:t>
      </w:r>
      <w:r>
        <w:rPr>
          <w:rStyle w:val="ad"/>
          <w:rFonts w:ascii="微软雅黑" w:eastAsia="微软雅黑" w:hAnsi="微软雅黑"/>
          <w:color w:val="0A6EBF"/>
          <w:sz w:val="23"/>
          <w:szCs w:val="23"/>
        </w:rPr>
        <w:t>肠炎宁（康恩贝）和小儿豉翘清热颗粒（济川药业）</w:t>
      </w:r>
      <w:r>
        <w:rPr>
          <w:rFonts w:ascii="微软雅黑" w:eastAsia="微软雅黑" w:hAnsi="微软雅黑"/>
          <w:sz w:val="23"/>
          <w:szCs w:val="23"/>
        </w:rPr>
        <w:t>分别位居</w:t>
      </w:r>
      <w:r>
        <w:rPr>
          <w:rStyle w:val="ad"/>
          <w:rFonts w:ascii="微软雅黑" w:eastAsia="微软雅黑" w:hAnsi="微软雅黑"/>
          <w:color w:val="0A6EBF"/>
          <w:sz w:val="23"/>
          <w:szCs w:val="23"/>
        </w:rPr>
        <w:t>第9、10位</w:t>
      </w:r>
      <w:r>
        <w:rPr>
          <w:rFonts w:ascii="微软雅黑" w:eastAsia="微软雅黑" w:hAnsi="微软雅黑"/>
          <w:sz w:val="23"/>
          <w:szCs w:val="23"/>
        </w:rPr>
        <w:t>。</w:t>
      </w:r>
      <w:r>
        <w:rPr>
          <w:rFonts w:ascii="微软雅黑" w:eastAsia="微软雅黑" w:hAnsi="微软雅黑"/>
          <w:spacing w:val="8"/>
          <w:sz w:val="23"/>
          <w:szCs w:val="23"/>
        </w:rPr>
        <w:t>（详见图五）</w:t>
      </w:r>
    </w:p>
    <w:p w14:paraId="597A77BC"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0ADFB0A1" wp14:editId="4287B98D">
            <wp:extent cx="3913505" cy="2639060"/>
            <wp:effectExtent l="0" t="0" r="0" b="8890"/>
            <wp:docPr id="68" name="图片 68" descr="C:\Users\Administrator\Documents\WeChat Files\ppdeboke\FileStorage\Temp\541c7a384bae191561793306fceced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ocuments\WeChat Files\ppdeboke\FileStorage\Temp\541c7a384bae191561793306fceced2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17160" cy="2641542"/>
                    </a:xfrm>
                    <a:prstGeom prst="rect">
                      <a:avLst/>
                    </a:prstGeom>
                    <a:noFill/>
                    <a:ln>
                      <a:noFill/>
                    </a:ln>
                  </pic:spPr>
                </pic:pic>
              </a:graphicData>
            </a:graphic>
          </wp:inline>
        </w:drawing>
      </w:r>
    </w:p>
    <w:p w14:paraId="4A503E5D" w14:textId="77777777" w:rsidR="00E75D8B" w:rsidRDefault="00000000">
      <w:pPr>
        <w:pStyle w:val="af2"/>
        <w:numPr>
          <w:ilvl w:val="0"/>
          <w:numId w:val="6"/>
        </w:numPr>
        <w:ind w:firstLineChars="0"/>
        <w:rPr>
          <w:rStyle w:val="ad"/>
          <w:rFonts w:ascii="微软雅黑" w:eastAsia="微软雅黑" w:hAnsi="微软雅黑"/>
          <w:color w:val="0A6EBF"/>
          <w:sz w:val="23"/>
          <w:szCs w:val="23"/>
        </w:rPr>
      </w:pPr>
      <w:r>
        <w:rPr>
          <w:rStyle w:val="ad"/>
          <w:rFonts w:ascii="微软雅黑" w:eastAsia="微软雅黑" w:hAnsi="微软雅黑"/>
          <w:color w:val="0A6EBF"/>
          <w:sz w:val="23"/>
          <w:szCs w:val="23"/>
        </w:rPr>
        <w:t>Top企业</w:t>
      </w:r>
    </w:p>
    <w:p w14:paraId="0375522D"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2020年，在全国儿童药Top10企业中，</w:t>
      </w:r>
      <w:r>
        <w:rPr>
          <w:rStyle w:val="ad"/>
          <w:rFonts w:ascii="微软雅黑" w:eastAsia="微软雅黑" w:hAnsi="微软雅黑"/>
          <w:color w:val="0A6EBF"/>
          <w:sz w:val="23"/>
          <w:szCs w:val="23"/>
        </w:rPr>
        <w:t>中、西药平分秋色</w:t>
      </w:r>
      <w:r>
        <w:rPr>
          <w:rFonts w:ascii="微软雅黑" w:eastAsia="微软雅黑" w:hAnsi="微软雅黑"/>
          <w:sz w:val="23"/>
          <w:szCs w:val="23"/>
        </w:rPr>
        <w:t>，各占5家，销售额占比最大的是</w:t>
      </w:r>
      <w:r>
        <w:rPr>
          <w:rStyle w:val="ad"/>
          <w:rFonts w:ascii="微软雅黑" w:eastAsia="微软雅黑" w:hAnsi="微软雅黑"/>
          <w:color w:val="0A6EBF"/>
          <w:sz w:val="23"/>
          <w:szCs w:val="23"/>
        </w:rPr>
        <w:t>长春金赛药业</w:t>
      </w:r>
      <w:r>
        <w:rPr>
          <w:rFonts w:ascii="微软雅黑" w:eastAsia="微软雅黑" w:hAnsi="微软雅黑"/>
          <w:sz w:val="23"/>
          <w:szCs w:val="23"/>
        </w:rPr>
        <w:t>，其注射用重组人生长激素(赛增)成为行业经典，长期掌控儿童长高话语权。</w:t>
      </w:r>
      <w:r>
        <w:rPr>
          <w:rStyle w:val="ad"/>
          <w:rFonts w:ascii="微软雅黑" w:eastAsia="微软雅黑" w:hAnsi="微软雅黑"/>
          <w:color w:val="0A6EBF"/>
          <w:sz w:val="23"/>
          <w:szCs w:val="23"/>
        </w:rPr>
        <w:t>葵花、济川、江中、江西康恩贝和贵州健兴</w:t>
      </w:r>
      <w:r>
        <w:rPr>
          <w:rFonts w:ascii="微软雅黑" w:eastAsia="微软雅黑" w:hAnsi="微软雅黑"/>
          <w:sz w:val="23"/>
          <w:szCs w:val="23"/>
        </w:rPr>
        <w:t>等五家中药企业，成为全国2000多家中药企业中，为儿童药贡献最大的企业。（详见图六）</w:t>
      </w:r>
    </w:p>
    <w:p w14:paraId="46DE3A66"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6BE61E60" wp14:editId="76284601">
            <wp:extent cx="4242435" cy="2814955"/>
            <wp:effectExtent l="0" t="0" r="5715" b="4445"/>
            <wp:docPr id="69" name="图片 69" descr="C:\Users\Administrator\Documents\WeChat Files\ppdeboke\FileStorage\Temp\dd18b0c5472c787db3ca7f5b2a279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ocuments\WeChat Files\ppdeboke\FileStorage\Temp\dd18b0c5472c787db3ca7f5b2a27998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46346" cy="2817506"/>
                    </a:xfrm>
                    <a:prstGeom prst="rect">
                      <a:avLst/>
                    </a:prstGeom>
                    <a:noFill/>
                    <a:ln>
                      <a:noFill/>
                    </a:ln>
                  </pic:spPr>
                </pic:pic>
              </a:graphicData>
            </a:graphic>
          </wp:inline>
        </w:drawing>
      </w:r>
    </w:p>
    <w:p w14:paraId="567341C8" w14:textId="77777777" w:rsidR="00E75D8B" w:rsidRDefault="00000000">
      <w:pPr>
        <w:rPr>
          <w:rStyle w:val="ad"/>
          <w:rFonts w:ascii="微软雅黑" w:eastAsia="微软雅黑" w:hAnsi="微软雅黑"/>
          <w:color w:val="0A6EBF"/>
          <w:sz w:val="23"/>
          <w:szCs w:val="23"/>
        </w:rPr>
      </w:pPr>
      <w:r>
        <w:rPr>
          <w:rStyle w:val="ad"/>
          <w:rFonts w:ascii="微软雅黑" w:eastAsia="微软雅黑" w:hAnsi="微软雅黑"/>
          <w:color w:val="0A6EBF"/>
          <w:sz w:val="23"/>
          <w:szCs w:val="23"/>
        </w:rPr>
        <w:t>三、在研儿童药</w:t>
      </w:r>
    </w:p>
    <w:p w14:paraId="1EAF709F" w14:textId="77777777" w:rsidR="00E75D8B" w:rsidRDefault="00000000">
      <w:pPr>
        <w:ind w:firstLineChars="200" w:firstLine="460"/>
        <w:rPr>
          <w:rStyle w:val="ad"/>
          <w:rFonts w:ascii="微软雅黑" w:eastAsia="微软雅黑" w:hAnsi="微软雅黑"/>
          <w:color w:val="0A6EBF"/>
          <w:sz w:val="23"/>
          <w:szCs w:val="23"/>
        </w:rPr>
      </w:pPr>
      <w:r>
        <w:rPr>
          <w:rFonts w:ascii="微软雅黑" w:eastAsia="微软雅黑" w:hAnsi="微软雅黑"/>
          <w:sz w:val="23"/>
          <w:szCs w:val="23"/>
        </w:rPr>
        <w:lastRenderedPageBreak/>
        <w:t>2015年开始，我国迎来了医药创新的浪潮，儿童药尤为企业重视，从2014年至今年8月的近10年中，在儿童药临床试验Top30企业中，</w:t>
      </w:r>
      <w:r>
        <w:rPr>
          <w:rStyle w:val="ad"/>
          <w:rFonts w:ascii="微软雅黑" w:eastAsia="微软雅黑" w:hAnsi="微软雅黑"/>
          <w:color w:val="0A6EBF"/>
          <w:sz w:val="23"/>
          <w:szCs w:val="23"/>
        </w:rPr>
        <w:t>外企有9家，占了近三分之一。</w:t>
      </w:r>
      <w:r>
        <w:rPr>
          <w:rFonts w:ascii="微软雅黑" w:eastAsia="微软雅黑" w:hAnsi="微软雅黑"/>
          <w:sz w:val="23"/>
          <w:szCs w:val="23"/>
        </w:rPr>
        <w:t>其中，进行儿童药临床试验研究最多的企业是</w:t>
      </w:r>
      <w:r>
        <w:rPr>
          <w:rStyle w:val="ad"/>
          <w:rFonts w:ascii="微软雅黑" w:eastAsia="微软雅黑" w:hAnsi="微软雅黑"/>
          <w:color w:val="0A6EBF"/>
          <w:sz w:val="23"/>
          <w:szCs w:val="23"/>
        </w:rPr>
        <w:t>国药集团</w:t>
      </w:r>
      <w:r>
        <w:rPr>
          <w:rFonts w:ascii="微软雅黑" w:eastAsia="微软雅黑" w:hAnsi="微软雅黑"/>
          <w:color w:val="0A6EBF"/>
          <w:sz w:val="23"/>
          <w:szCs w:val="23"/>
        </w:rPr>
        <w:t>，</w:t>
      </w:r>
      <w:r>
        <w:rPr>
          <w:rFonts w:ascii="微软雅黑" w:eastAsia="微软雅黑" w:hAnsi="微软雅黑"/>
          <w:sz w:val="23"/>
          <w:szCs w:val="23"/>
        </w:rPr>
        <w:t>共有</w:t>
      </w:r>
      <w:r>
        <w:rPr>
          <w:rStyle w:val="ad"/>
          <w:rFonts w:ascii="微软雅黑" w:eastAsia="微软雅黑" w:hAnsi="微软雅黑"/>
          <w:color w:val="0A6EBF"/>
          <w:sz w:val="23"/>
          <w:szCs w:val="23"/>
        </w:rPr>
        <w:t>75个</w:t>
      </w:r>
      <w:r>
        <w:rPr>
          <w:rFonts w:ascii="微软雅黑" w:eastAsia="微软雅黑" w:hAnsi="微软雅黑"/>
          <w:sz w:val="23"/>
          <w:szCs w:val="23"/>
        </w:rPr>
        <w:t>儿童用药临床试验，其次是</w:t>
      </w:r>
      <w:r>
        <w:rPr>
          <w:rStyle w:val="ad"/>
          <w:rFonts w:ascii="微软雅黑" w:eastAsia="微软雅黑" w:hAnsi="微软雅黑"/>
          <w:color w:val="0A6EBF"/>
          <w:sz w:val="23"/>
          <w:szCs w:val="23"/>
        </w:rPr>
        <w:t>长春高新、科兴生物、智飞生物，</w:t>
      </w:r>
      <w:r>
        <w:rPr>
          <w:rFonts w:ascii="微软雅黑" w:eastAsia="微软雅黑" w:hAnsi="微软雅黑"/>
          <w:sz w:val="23"/>
          <w:szCs w:val="23"/>
        </w:rPr>
        <w:t>也都超过了30个，</w:t>
      </w:r>
      <w:r>
        <w:rPr>
          <w:rStyle w:val="ad"/>
          <w:rFonts w:ascii="微软雅黑" w:eastAsia="微软雅黑" w:hAnsi="微软雅黑"/>
          <w:color w:val="0A6EBF"/>
          <w:sz w:val="23"/>
          <w:szCs w:val="23"/>
        </w:rPr>
        <w:t>分别为41个、37个和31个。</w:t>
      </w:r>
    </w:p>
    <w:p w14:paraId="4B804ADE"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但没有中药企业，中药企业还只是凭传统产品在儿童药市场上取胜。（详见图七） </w:t>
      </w:r>
    </w:p>
    <w:p w14:paraId="13C50EF4"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02127B65" wp14:editId="1A147BE1">
            <wp:extent cx="3723005" cy="2450465"/>
            <wp:effectExtent l="0" t="0" r="0" b="6985"/>
            <wp:docPr id="70" name="图片 70" descr="C:\Users\Administrator\Documents\WeChat Files\ppdeboke\FileStorage\Temp\f326446a3d5b7a2d1bd6df3a9afda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ocuments\WeChat Files\ppdeboke\FileStorage\Temp\f326446a3d5b7a2d1bd6df3a9afda5e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23473" cy="2450816"/>
                    </a:xfrm>
                    <a:prstGeom prst="rect">
                      <a:avLst/>
                    </a:prstGeom>
                    <a:noFill/>
                    <a:ln>
                      <a:noFill/>
                    </a:ln>
                  </pic:spPr>
                </pic:pic>
              </a:graphicData>
            </a:graphic>
          </wp:inline>
        </w:drawing>
      </w:r>
    </w:p>
    <w:p w14:paraId="09DB5420"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儿童是祖国的未来，二十大报告提出</w:t>
      </w:r>
      <w:r>
        <w:rPr>
          <w:rStyle w:val="ad"/>
          <w:rFonts w:ascii="微软雅黑" w:eastAsia="微软雅黑" w:hAnsi="微软雅黑" w:hint="eastAsia"/>
          <w:b w:val="0"/>
          <w:bCs w:val="0"/>
          <w:color w:val="0A6EBF"/>
          <w:spacing w:val="8"/>
          <w:sz w:val="23"/>
          <w:szCs w:val="23"/>
        </w:rPr>
        <w:t>“优化人口发展战略，建立生育支持政策体系，降低生育、养育、教育成本”</w:t>
      </w:r>
      <w:r>
        <w:rPr>
          <w:rFonts w:ascii="微软雅黑" w:eastAsia="微软雅黑" w:hAnsi="微软雅黑" w:hint="eastAsia"/>
          <w:b/>
          <w:bCs/>
          <w:color w:val="222222"/>
          <w:spacing w:val="8"/>
          <w:sz w:val="23"/>
          <w:szCs w:val="23"/>
        </w:rPr>
        <w:t>，医药企业责无旁贷，应加大投入，研发更多适合儿童专用的适应症和剂型新药，为儿童的健康成长贡献力量。</w:t>
      </w:r>
    </w:p>
    <w:p w14:paraId="3E370CEB" w14:textId="77777777" w:rsidR="00E75D8B" w:rsidRDefault="00000000">
      <w:pPr>
        <w:pStyle w:val="2"/>
        <w:shd w:val="clear" w:color="auto" w:fill="FFFFFF"/>
        <w:spacing w:before="0" w:beforeAutospacing="0" w:after="0" w:afterAutospacing="0" w:line="420" w:lineRule="atLeast"/>
        <w:ind w:right="120"/>
        <w:jc w:val="center"/>
        <w:rPr>
          <w:rFonts w:ascii="微软雅黑" w:eastAsia="微软雅黑" w:hAnsi="微软雅黑"/>
          <w:bCs/>
          <w:color w:val="222222"/>
          <w:spacing w:val="8"/>
          <w:sz w:val="24"/>
          <w:szCs w:val="24"/>
        </w:rPr>
      </w:pPr>
      <w:r>
        <w:rPr>
          <w:rStyle w:val="ad"/>
          <w:rFonts w:ascii="微软雅黑" w:eastAsia="微软雅黑" w:hAnsi="微软雅黑" w:hint="eastAsia"/>
          <w:bCs w:val="0"/>
          <w:color w:val="0A6EBF"/>
          <w:spacing w:val="8"/>
          <w:sz w:val="23"/>
          <w:szCs w:val="23"/>
        </w:rPr>
        <w:t>第三篇、老年医药</w:t>
      </w:r>
    </w:p>
    <w:p w14:paraId="60F75D2C"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二十大报告“九、增进民生福祉，提高人民生活品质”部分，有9处提到老字，可见对老年人的重视，“完善基本</w:t>
      </w:r>
      <w:r>
        <w:rPr>
          <w:rStyle w:val="ad"/>
          <w:rFonts w:ascii="微软雅黑" w:eastAsia="微软雅黑" w:hAnsi="微软雅黑" w:hint="eastAsia"/>
          <w:b w:val="0"/>
          <w:bCs w:val="0"/>
          <w:color w:val="0A6EBF"/>
          <w:spacing w:val="8"/>
          <w:sz w:val="23"/>
          <w:szCs w:val="23"/>
        </w:rPr>
        <w:t>养老</w:t>
      </w:r>
      <w:r>
        <w:rPr>
          <w:rFonts w:ascii="微软雅黑" w:eastAsia="微软雅黑" w:hAnsi="微软雅黑" w:hint="eastAsia"/>
          <w:b/>
          <w:bCs/>
          <w:color w:val="222222"/>
          <w:spacing w:val="8"/>
          <w:sz w:val="23"/>
          <w:szCs w:val="23"/>
        </w:rPr>
        <w:t>保险全国统筹制度，发展多层次、多支柱</w:t>
      </w:r>
      <w:r>
        <w:rPr>
          <w:rStyle w:val="ad"/>
          <w:rFonts w:ascii="微软雅黑" w:eastAsia="微软雅黑" w:hAnsi="微软雅黑" w:hint="eastAsia"/>
          <w:b w:val="0"/>
          <w:bCs w:val="0"/>
          <w:color w:val="0A6EBF"/>
          <w:spacing w:val="8"/>
          <w:sz w:val="23"/>
          <w:szCs w:val="23"/>
        </w:rPr>
        <w:t>养老</w:t>
      </w:r>
      <w:r>
        <w:rPr>
          <w:rFonts w:ascii="微软雅黑" w:eastAsia="微软雅黑" w:hAnsi="微软雅黑" w:hint="eastAsia"/>
          <w:b/>
          <w:bCs/>
          <w:color w:val="222222"/>
          <w:spacing w:val="8"/>
          <w:sz w:val="23"/>
          <w:szCs w:val="23"/>
        </w:rPr>
        <w:t>保险体系”、“健全基本</w:t>
      </w:r>
      <w:r>
        <w:rPr>
          <w:rStyle w:val="ad"/>
          <w:rFonts w:ascii="微软雅黑" w:eastAsia="微软雅黑" w:hAnsi="微软雅黑" w:hint="eastAsia"/>
          <w:b w:val="0"/>
          <w:bCs w:val="0"/>
          <w:color w:val="0A6EBF"/>
          <w:spacing w:val="8"/>
          <w:sz w:val="23"/>
          <w:szCs w:val="23"/>
        </w:rPr>
        <w:t>养老</w:t>
      </w:r>
      <w:r>
        <w:rPr>
          <w:rFonts w:ascii="微软雅黑" w:eastAsia="微软雅黑" w:hAnsi="微软雅黑" w:hint="eastAsia"/>
          <w:b/>
          <w:bCs/>
          <w:color w:val="222222"/>
          <w:spacing w:val="8"/>
          <w:sz w:val="23"/>
          <w:szCs w:val="23"/>
        </w:rPr>
        <w:t>、基本医疗保险筹资和待遇调整机制”、“实施积极应对人口</w:t>
      </w:r>
      <w:r>
        <w:rPr>
          <w:rStyle w:val="ad"/>
          <w:rFonts w:ascii="微软雅黑" w:eastAsia="微软雅黑" w:hAnsi="微软雅黑" w:hint="eastAsia"/>
          <w:b w:val="0"/>
          <w:bCs w:val="0"/>
          <w:color w:val="0A6EBF"/>
          <w:spacing w:val="8"/>
          <w:sz w:val="23"/>
          <w:szCs w:val="23"/>
        </w:rPr>
        <w:t>老龄化</w:t>
      </w:r>
      <w:r>
        <w:rPr>
          <w:rFonts w:ascii="微软雅黑" w:eastAsia="微软雅黑" w:hAnsi="微软雅黑" w:hint="eastAsia"/>
          <w:b/>
          <w:bCs/>
          <w:color w:val="222222"/>
          <w:spacing w:val="8"/>
          <w:sz w:val="23"/>
          <w:szCs w:val="23"/>
        </w:rPr>
        <w:t>国家战略，发展</w:t>
      </w:r>
      <w:r>
        <w:rPr>
          <w:rStyle w:val="ad"/>
          <w:rFonts w:ascii="微软雅黑" w:eastAsia="微软雅黑" w:hAnsi="微软雅黑" w:hint="eastAsia"/>
          <w:b w:val="0"/>
          <w:bCs w:val="0"/>
          <w:color w:val="0A6EBF"/>
          <w:spacing w:val="8"/>
          <w:sz w:val="23"/>
          <w:szCs w:val="23"/>
        </w:rPr>
        <w:t>养老</w:t>
      </w:r>
      <w:r>
        <w:rPr>
          <w:rFonts w:ascii="微软雅黑" w:eastAsia="微软雅黑" w:hAnsi="微软雅黑" w:hint="eastAsia"/>
          <w:b/>
          <w:bCs/>
          <w:color w:val="222222"/>
          <w:spacing w:val="8"/>
          <w:sz w:val="23"/>
          <w:szCs w:val="23"/>
        </w:rPr>
        <w:t>事业和</w:t>
      </w:r>
      <w:r>
        <w:rPr>
          <w:rStyle w:val="ad"/>
          <w:rFonts w:ascii="微软雅黑" w:eastAsia="微软雅黑" w:hAnsi="微软雅黑" w:hint="eastAsia"/>
          <w:b w:val="0"/>
          <w:bCs w:val="0"/>
          <w:color w:val="0A6EBF"/>
          <w:spacing w:val="8"/>
          <w:sz w:val="23"/>
          <w:szCs w:val="23"/>
        </w:rPr>
        <w:t>养老</w:t>
      </w:r>
      <w:r>
        <w:rPr>
          <w:rFonts w:ascii="微软雅黑" w:eastAsia="微软雅黑" w:hAnsi="微软雅黑" w:hint="eastAsia"/>
          <w:b/>
          <w:bCs/>
          <w:color w:val="222222"/>
          <w:spacing w:val="8"/>
          <w:sz w:val="23"/>
          <w:szCs w:val="23"/>
        </w:rPr>
        <w:t>产业，优化孤寡老人服务，推动实现全体</w:t>
      </w:r>
      <w:r>
        <w:rPr>
          <w:rStyle w:val="ad"/>
          <w:rFonts w:ascii="微软雅黑" w:eastAsia="微软雅黑" w:hAnsi="微软雅黑" w:hint="eastAsia"/>
          <w:b w:val="0"/>
          <w:bCs w:val="0"/>
          <w:color w:val="0A6EBF"/>
          <w:spacing w:val="8"/>
          <w:sz w:val="23"/>
          <w:szCs w:val="23"/>
        </w:rPr>
        <w:t>老年人</w:t>
      </w:r>
      <w:r>
        <w:rPr>
          <w:rFonts w:ascii="微软雅黑" w:eastAsia="微软雅黑" w:hAnsi="微软雅黑" w:hint="eastAsia"/>
          <w:b/>
          <w:bCs/>
          <w:color w:val="222222"/>
          <w:spacing w:val="8"/>
          <w:sz w:val="23"/>
          <w:szCs w:val="23"/>
        </w:rPr>
        <w:t>享有基本</w:t>
      </w:r>
      <w:r>
        <w:rPr>
          <w:rStyle w:val="ad"/>
          <w:rFonts w:ascii="微软雅黑" w:eastAsia="微软雅黑" w:hAnsi="微软雅黑" w:hint="eastAsia"/>
          <w:b w:val="0"/>
          <w:bCs w:val="0"/>
          <w:color w:val="0A6EBF"/>
          <w:spacing w:val="8"/>
          <w:sz w:val="23"/>
          <w:szCs w:val="23"/>
        </w:rPr>
        <w:t>养老</w:t>
      </w:r>
      <w:r>
        <w:rPr>
          <w:rFonts w:ascii="微软雅黑" w:eastAsia="微软雅黑" w:hAnsi="微软雅黑" w:hint="eastAsia"/>
          <w:b/>
          <w:bCs/>
          <w:color w:val="222222"/>
          <w:spacing w:val="8"/>
          <w:sz w:val="23"/>
          <w:szCs w:val="23"/>
        </w:rPr>
        <w:t>服务。”</w:t>
      </w:r>
    </w:p>
    <w:p w14:paraId="0CBE5DF8"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lastRenderedPageBreak/>
        <w:t>本文将从</w:t>
      </w:r>
      <w:r>
        <w:rPr>
          <w:rStyle w:val="ad"/>
          <w:rFonts w:ascii="微软雅黑" w:eastAsia="微软雅黑" w:hAnsi="微软雅黑" w:hint="eastAsia"/>
          <w:b w:val="0"/>
          <w:bCs w:val="0"/>
          <w:color w:val="0A6EBF"/>
          <w:spacing w:val="8"/>
          <w:sz w:val="23"/>
          <w:szCs w:val="23"/>
        </w:rPr>
        <w:t>老龄化、患病率、慢病支出及慢病用药</w:t>
      </w:r>
      <w:r>
        <w:rPr>
          <w:rFonts w:ascii="微软雅黑" w:eastAsia="微软雅黑" w:hAnsi="微软雅黑" w:hint="eastAsia"/>
          <w:b/>
          <w:bCs/>
          <w:color w:val="222222"/>
          <w:spacing w:val="8"/>
          <w:sz w:val="23"/>
          <w:szCs w:val="23"/>
        </w:rPr>
        <w:t>等四个方面对老年病和老年人用药市场做一分析。</w:t>
      </w:r>
    </w:p>
    <w:p w14:paraId="7E27A5AB"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01 </w:t>
      </w:r>
      <w:r>
        <w:rPr>
          <w:rStyle w:val="ad"/>
          <w:rFonts w:ascii="微软雅黑" w:eastAsia="微软雅黑" w:hAnsi="微软雅黑" w:hint="eastAsia"/>
          <w:b w:val="0"/>
          <w:bCs w:val="0"/>
          <w:color w:val="0A6EBF"/>
          <w:spacing w:val="8"/>
          <w:sz w:val="24"/>
          <w:szCs w:val="24"/>
        </w:rPr>
        <w:t>老龄化</w:t>
      </w:r>
    </w:p>
    <w:p w14:paraId="520B8243"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近年来，我国人口老龄化程度不断提高，各省份之间还存在着较大差异。第七次人口普查（2020年）显示，全国共有人口14.05亿人，其中，≥65岁人口19064万人，占人口总数的</w:t>
      </w:r>
      <w:r>
        <w:rPr>
          <w:rStyle w:val="ad"/>
          <w:rFonts w:ascii="微软雅黑" w:eastAsia="微软雅黑" w:hAnsi="微软雅黑" w:hint="eastAsia"/>
          <w:b w:val="0"/>
          <w:bCs w:val="0"/>
          <w:color w:val="0A6EBF"/>
          <w:spacing w:val="8"/>
          <w:sz w:val="23"/>
          <w:szCs w:val="23"/>
        </w:rPr>
        <w:t>13.5%</w:t>
      </w:r>
      <w:r>
        <w:rPr>
          <w:rFonts w:ascii="微软雅黑" w:eastAsia="微软雅黑" w:hAnsi="微软雅黑" w:hint="eastAsia"/>
          <w:b/>
          <w:bCs/>
          <w:color w:val="222222"/>
          <w:spacing w:val="8"/>
          <w:sz w:val="23"/>
          <w:szCs w:val="23"/>
        </w:rPr>
        <w:t>。≥65岁人口占比最大的是</w:t>
      </w:r>
      <w:r>
        <w:rPr>
          <w:rStyle w:val="ad"/>
          <w:rFonts w:ascii="微软雅黑" w:eastAsia="微软雅黑" w:hAnsi="微软雅黑" w:hint="eastAsia"/>
          <w:b w:val="0"/>
          <w:bCs w:val="0"/>
          <w:color w:val="0A6EBF"/>
          <w:spacing w:val="8"/>
          <w:sz w:val="23"/>
          <w:szCs w:val="23"/>
        </w:rPr>
        <w:t>辽宁和重庆</w:t>
      </w:r>
      <w:r>
        <w:rPr>
          <w:rFonts w:ascii="微软雅黑" w:eastAsia="微软雅黑" w:hAnsi="微软雅黑" w:hint="eastAsia"/>
          <w:b/>
          <w:bCs/>
          <w:color w:val="222222"/>
          <w:spacing w:val="8"/>
          <w:sz w:val="23"/>
          <w:szCs w:val="23"/>
        </w:rPr>
        <w:t>，都超过了17%，占比分别为</w:t>
      </w:r>
      <w:r>
        <w:rPr>
          <w:rStyle w:val="ad"/>
          <w:rFonts w:ascii="微软雅黑" w:eastAsia="微软雅黑" w:hAnsi="微软雅黑" w:hint="eastAsia"/>
          <w:b w:val="0"/>
          <w:bCs w:val="0"/>
          <w:color w:val="0A6EBF"/>
          <w:spacing w:val="8"/>
          <w:sz w:val="23"/>
          <w:szCs w:val="23"/>
        </w:rPr>
        <w:t>17.4%和17.1%</w:t>
      </w:r>
      <w:r>
        <w:rPr>
          <w:rFonts w:ascii="微软雅黑" w:eastAsia="微软雅黑" w:hAnsi="微软雅黑" w:hint="eastAsia"/>
          <w:b/>
          <w:bCs/>
          <w:color w:val="222222"/>
          <w:spacing w:val="8"/>
          <w:sz w:val="23"/>
          <w:szCs w:val="23"/>
        </w:rPr>
        <w:t>，其次是</w:t>
      </w:r>
      <w:r>
        <w:rPr>
          <w:rStyle w:val="ad"/>
          <w:rFonts w:ascii="微软雅黑" w:eastAsia="微软雅黑" w:hAnsi="微软雅黑" w:hint="eastAsia"/>
          <w:b w:val="0"/>
          <w:bCs w:val="0"/>
          <w:color w:val="0A6EBF"/>
          <w:spacing w:val="8"/>
          <w:sz w:val="23"/>
          <w:szCs w:val="23"/>
        </w:rPr>
        <w:t>四川、上海和江苏</w:t>
      </w:r>
      <w:r>
        <w:rPr>
          <w:rFonts w:ascii="微软雅黑" w:eastAsia="微软雅黑" w:hAnsi="微软雅黑" w:hint="eastAsia"/>
          <w:b/>
          <w:bCs/>
          <w:color w:val="222222"/>
          <w:spacing w:val="8"/>
          <w:sz w:val="23"/>
          <w:szCs w:val="23"/>
        </w:rPr>
        <w:t>都超过了16%，占比</w:t>
      </w:r>
      <w:r>
        <w:rPr>
          <w:rStyle w:val="ad"/>
          <w:rFonts w:ascii="微软雅黑" w:eastAsia="微软雅黑" w:hAnsi="微软雅黑" w:hint="eastAsia"/>
          <w:b w:val="0"/>
          <w:bCs w:val="0"/>
          <w:color w:val="0A6EBF"/>
          <w:spacing w:val="8"/>
          <w:sz w:val="23"/>
          <w:szCs w:val="23"/>
        </w:rPr>
        <w:t>分别为16.9%、16.3%和16.2%</w:t>
      </w:r>
      <w:r>
        <w:rPr>
          <w:rFonts w:ascii="微软雅黑" w:eastAsia="微软雅黑" w:hAnsi="微软雅黑" w:hint="eastAsia"/>
          <w:b/>
          <w:bCs/>
          <w:color w:val="222222"/>
          <w:spacing w:val="8"/>
          <w:sz w:val="23"/>
          <w:szCs w:val="23"/>
        </w:rPr>
        <w:t>。≥65岁人口占比最小的是</w:t>
      </w:r>
      <w:r>
        <w:rPr>
          <w:rStyle w:val="ad"/>
          <w:rFonts w:ascii="微软雅黑" w:eastAsia="微软雅黑" w:hAnsi="微软雅黑" w:hint="eastAsia"/>
          <w:b w:val="0"/>
          <w:bCs w:val="0"/>
          <w:color w:val="0A6EBF"/>
          <w:spacing w:val="8"/>
          <w:sz w:val="23"/>
          <w:szCs w:val="23"/>
        </w:rPr>
        <w:t>西藏，只占5.7%，</w:t>
      </w:r>
      <w:r>
        <w:rPr>
          <w:rFonts w:ascii="微软雅黑" w:eastAsia="微软雅黑" w:hAnsi="微软雅黑" w:hint="eastAsia"/>
          <w:b/>
          <w:bCs/>
          <w:color w:val="222222"/>
          <w:spacing w:val="8"/>
          <w:sz w:val="23"/>
          <w:szCs w:val="23"/>
        </w:rPr>
        <w:t>占比小于10%的有</w:t>
      </w:r>
      <w:r>
        <w:rPr>
          <w:rStyle w:val="ad"/>
          <w:rFonts w:ascii="微软雅黑" w:eastAsia="微软雅黑" w:hAnsi="微软雅黑" w:hint="eastAsia"/>
          <w:b w:val="0"/>
          <w:bCs w:val="0"/>
          <w:color w:val="0A6EBF"/>
          <w:spacing w:val="8"/>
          <w:sz w:val="23"/>
          <w:szCs w:val="23"/>
        </w:rPr>
        <w:t>宁夏、青海、广东和新疆</w:t>
      </w:r>
      <w:r>
        <w:rPr>
          <w:rFonts w:ascii="微软雅黑" w:eastAsia="微软雅黑" w:hAnsi="微软雅黑" w:hint="eastAsia"/>
          <w:b/>
          <w:bCs/>
          <w:color w:val="222222"/>
          <w:spacing w:val="8"/>
          <w:sz w:val="23"/>
          <w:szCs w:val="23"/>
        </w:rPr>
        <w:t>，占比分别为</w:t>
      </w:r>
      <w:r>
        <w:rPr>
          <w:rStyle w:val="ad"/>
          <w:rFonts w:ascii="微软雅黑" w:eastAsia="微软雅黑" w:hAnsi="微软雅黑" w:hint="eastAsia"/>
          <w:b w:val="0"/>
          <w:bCs w:val="0"/>
          <w:color w:val="0A6EBF"/>
          <w:spacing w:val="8"/>
          <w:sz w:val="23"/>
          <w:szCs w:val="23"/>
        </w:rPr>
        <w:t>9.6%、8.7%、8.6%和7.7%</w:t>
      </w:r>
      <w:r>
        <w:rPr>
          <w:rFonts w:ascii="微软雅黑" w:eastAsia="微软雅黑" w:hAnsi="微软雅黑" w:hint="eastAsia"/>
          <w:b/>
          <w:bCs/>
          <w:color w:val="222222"/>
          <w:spacing w:val="8"/>
          <w:sz w:val="23"/>
          <w:szCs w:val="23"/>
        </w:rPr>
        <w:t>。</w:t>
      </w:r>
      <w:r>
        <w:rPr>
          <w:rStyle w:val="ad"/>
          <w:rFonts w:ascii="微软雅黑" w:eastAsia="微软雅黑" w:hAnsi="微软雅黑" w:hint="eastAsia"/>
          <w:b w:val="0"/>
          <w:bCs w:val="0"/>
          <w:color w:val="0A6EBF"/>
          <w:spacing w:val="8"/>
          <w:sz w:val="23"/>
          <w:szCs w:val="23"/>
        </w:rPr>
        <w:t>中位数是北京</w:t>
      </w:r>
      <w:r>
        <w:rPr>
          <w:rFonts w:ascii="微软雅黑" w:eastAsia="微软雅黑" w:hAnsi="微软雅黑" w:hint="eastAsia"/>
          <w:b/>
          <w:bCs/>
          <w:color w:val="222222"/>
          <w:spacing w:val="8"/>
          <w:sz w:val="23"/>
          <w:szCs w:val="23"/>
        </w:rPr>
        <w:t>，占比13.3%，略低于全国的13.5%。老龄化程度较高的地区也是应对人口老龄化任务较重的地区。</w:t>
      </w:r>
    </w:p>
    <w:p w14:paraId="1E9128F9"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1EE12456" wp14:editId="3E3BA732">
            <wp:extent cx="3942715" cy="2647315"/>
            <wp:effectExtent l="0" t="0" r="635" b="635"/>
            <wp:docPr id="71" name="图片 71" descr="C:\Users\Administrator\Documents\WeChat Files\ppdeboke\FileStorage\Temp\9925762efe9023a39294fe542154a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ocuments\WeChat Files\ppdeboke\FileStorage\Temp\9925762efe9023a39294fe542154a05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44576" cy="2649058"/>
                    </a:xfrm>
                    <a:prstGeom prst="rect">
                      <a:avLst/>
                    </a:prstGeom>
                    <a:noFill/>
                    <a:ln>
                      <a:noFill/>
                    </a:ln>
                  </pic:spPr>
                </pic:pic>
              </a:graphicData>
            </a:graphic>
          </wp:inline>
        </w:drawing>
      </w:r>
    </w:p>
    <w:p w14:paraId="41DD89C3"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02 </w:t>
      </w:r>
      <w:r>
        <w:rPr>
          <w:rStyle w:val="ad"/>
          <w:rFonts w:ascii="微软雅黑" w:eastAsia="微软雅黑" w:hAnsi="微软雅黑" w:hint="eastAsia"/>
          <w:b w:val="0"/>
          <w:bCs w:val="0"/>
          <w:color w:val="0A6EBF"/>
          <w:spacing w:val="8"/>
          <w:sz w:val="24"/>
          <w:szCs w:val="24"/>
        </w:rPr>
        <w:t>患病率</w:t>
      </w:r>
    </w:p>
    <w:p w14:paraId="6AFAC53F"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随着年龄的增加，自身抵抗力逐渐减弱，患病的几率也会相应的提高。</w:t>
      </w:r>
    </w:p>
    <w:p w14:paraId="316DDFB3"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《2018年国家卫生服务调查》显示，我国15-24岁青少年的患病率最低，只有</w:t>
      </w:r>
      <w:r>
        <w:rPr>
          <w:rStyle w:val="ad"/>
          <w:rFonts w:ascii="微软雅黑" w:eastAsia="微软雅黑" w:hAnsi="微软雅黑" w:hint="eastAsia"/>
          <w:b w:val="0"/>
          <w:bCs w:val="0"/>
          <w:color w:val="0A6EBF"/>
          <w:spacing w:val="8"/>
          <w:sz w:val="23"/>
          <w:szCs w:val="23"/>
        </w:rPr>
        <w:t>3.7%</w:t>
      </w:r>
      <w:r>
        <w:rPr>
          <w:rFonts w:ascii="微软雅黑" w:eastAsia="微软雅黑" w:hAnsi="微软雅黑" w:hint="eastAsia"/>
          <w:b/>
          <w:bCs/>
          <w:color w:val="222222"/>
          <w:spacing w:val="8"/>
          <w:sz w:val="23"/>
          <w:szCs w:val="23"/>
        </w:rPr>
        <w:t>，随着年龄的增加，患病率不断提高，55-64岁年龄段的人群患病</w:t>
      </w:r>
      <w:r>
        <w:rPr>
          <w:rFonts w:ascii="微软雅黑" w:eastAsia="微软雅黑" w:hAnsi="微软雅黑" w:hint="eastAsia"/>
          <w:b/>
          <w:bCs/>
          <w:color w:val="222222"/>
          <w:spacing w:val="8"/>
          <w:sz w:val="23"/>
          <w:szCs w:val="23"/>
        </w:rPr>
        <w:lastRenderedPageBreak/>
        <w:t>率已高达</w:t>
      </w:r>
      <w:r>
        <w:rPr>
          <w:rStyle w:val="ad"/>
          <w:rFonts w:ascii="微软雅黑" w:eastAsia="微软雅黑" w:hAnsi="微软雅黑" w:hint="eastAsia"/>
          <w:b w:val="0"/>
          <w:bCs w:val="0"/>
          <w:color w:val="0A6EBF"/>
          <w:spacing w:val="8"/>
          <w:sz w:val="23"/>
          <w:szCs w:val="23"/>
        </w:rPr>
        <w:t>48.4%</w:t>
      </w:r>
      <w:r>
        <w:rPr>
          <w:rFonts w:ascii="微软雅黑" w:eastAsia="微软雅黑" w:hAnsi="微软雅黑" w:hint="eastAsia"/>
          <w:b/>
          <w:bCs/>
          <w:color w:val="222222"/>
          <w:spacing w:val="8"/>
          <w:sz w:val="23"/>
          <w:szCs w:val="23"/>
        </w:rPr>
        <w:t>，≥65岁人群的患病率更高达</w:t>
      </w:r>
      <w:r>
        <w:rPr>
          <w:rStyle w:val="ad"/>
          <w:rFonts w:ascii="微软雅黑" w:eastAsia="微软雅黑" w:hAnsi="微软雅黑" w:hint="eastAsia"/>
          <w:b w:val="0"/>
          <w:bCs w:val="0"/>
          <w:color w:val="0A6EBF"/>
          <w:spacing w:val="8"/>
          <w:sz w:val="23"/>
          <w:szCs w:val="23"/>
        </w:rPr>
        <w:t>62.3%</w:t>
      </w:r>
      <w:r>
        <w:rPr>
          <w:rFonts w:ascii="微软雅黑" w:eastAsia="微软雅黑" w:hAnsi="微软雅黑" w:hint="eastAsia"/>
          <w:b/>
          <w:bCs/>
          <w:color w:val="222222"/>
          <w:spacing w:val="8"/>
          <w:sz w:val="23"/>
          <w:szCs w:val="23"/>
        </w:rPr>
        <w:t>。2021年，我国≥65岁的老人数量已超过2亿人（20056万人），占了全国人口总数的14.2%，比2020年又增加了992万人，我国正面对老年人高患病率的巨大挑战。2018年全国整体人群的患病率为</w:t>
      </w:r>
      <w:r>
        <w:rPr>
          <w:rStyle w:val="ad"/>
          <w:rFonts w:ascii="微软雅黑" w:eastAsia="微软雅黑" w:hAnsi="微软雅黑" w:hint="eastAsia"/>
          <w:b w:val="0"/>
          <w:bCs w:val="0"/>
          <w:color w:val="0A6EBF"/>
          <w:spacing w:val="8"/>
          <w:sz w:val="23"/>
          <w:szCs w:val="23"/>
        </w:rPr>
        <w:t>34.3%</w:t>
      </w:r>
      <w:r>
        <w:rPr>
          <w:rFonts w:ascii="微软雅黑" w:eastAsia="微软雅黑" w:hAnsi="微软雅黑" w:hint="eastAsia"/>
          <w:b/>
          <w:bCs/>
          <w:color w:val="222222"/>
          <w:spacing w:val="8"/>
          <w:sz w:val="23"/>
          <w:szCs w:val="23"/>
        </w:rPr>
        <w:t>，介于45-54 岁和55-64岁两个年龄段。</w:t>
      </w:r>
    </w:p>
    <w:p w14:paraId="5F2B9963"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drawing>
          <wp:inline distT="0" distB="0" distL="0" distR="0" wp14:anchorId="118A0C99" wp14:editId="7811FE7A">
            <wp:extent cx="4694555" cy="2713355"/>
            <wp:effectExtent l="0" t="0" r="0" b="0"/>
            <wp:docPr id="72" name="图片 72" descr="C:\Users\Administrator\Documents\WeChat Files\ppdeboke\FileStorage\Temp\c3d73c8cb789ae460599e3ab68922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Documents\WeChat Files\ppdeboke\FileStorage\Temp\c3d73c8cb789ae460599e3ab689223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05363" cy="2720108"/>
                    </a:xfrm>
                    <a:prstGeom prst="rect">
                      <a:avLst/>
                    </a:prstGeom>
                    <a:noFill/>
                    <a:ln>
                      <a:noFill/>
                    </a:ln>
                  </pic:spPr>
                </pic:pic>
              </a:graphicData>
            </a:graphic>
          </wp:inline>
        </w:drawing>
      </w:r>
    </w:p>
    <w:p w14:paraId="26A8501F" w14:textId="77777777" w:rsidR="00E75D8B" w:rsidRDefault="00000000">
      <w:pPr>
        <w:pStyle w:val="2"/>
        <w:shd w:val="clear" w:color="auto" w:fill="FFFFFF"/>
        <w:spacing w:before="0" w:beforeAutospacing="0" w:after="0" w:afterAutospacing="0"/>
        <w:jc w:val="both"/>
        <w:rPr>
          <w:rFonts w:ascii="微软雅黑" w:eastAsia="微软雅黑" w:hAnsi="微软雅黑"/>
          <w:b/>
          <w:bCs/>
          <w:color w:val="222222"/>
          <w:spacing w:val="8"/>
          <w:sz w:val="24"/>
          <w:szCs w:val="24"/>
        </w:rPr>
      </w:pPr>
      <w:r>
        <w:rPr>
          <w:rStyle w:val="ad"/>
          <w:rFonts w:ascii="微软雅黑" w:eastAsia="微软雅黑" w:hAnsi="微软雅黑" w:hint="eastAsia"/>
          <w:b w:val="0"/>
          <w:bCs w:val="0"/>
          <w:color w:val="0A6EBF"/>
          <w:spacing w:val="8"/>
        </w:rPr>
        <w:t>03 </w:t>
      </w:r>
      <w:r>
        <w:rPr>
          <w:rStyle w:val="ad"/>
          <w:rFonts w:ascii="微软雅黑" w:eastAsia="微软雅黑" w:hAnsi="微软雅黑" w:hint="eastAsia"/>
          <w:b w:val="0"/>
          <w:bCs w:val="0"/>
          <w:color w:val="0A6EBF"/>
          <w:spacing w:val="8"/>
          <w:sz w:val="24"/>
          <w:szCs w:val="24"/>
        </w:rPr>
        <w:t>慢病支出</w:t>
      </w:r>
    </w:p>
    <w:p w14:paraId="221670FB"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3"/>
          <w:szCs w:val="23"/>
        </w:rPr>
      </w:pPr>
      <w:r>
        <w:rPr>
          <w:rFonts w:ascii="微软雅黑" w:eastAsia="微软雅黑" w:hAnsi="微软雅黑" w:hint="eastAsia"/>
          <w:b/>
          <w:bCs/>
          <w:color w:val="222222"/>
          <w:spacing w:val="8"/>
          <w:sz w:val="23"/>
          <w:szCs w:val="23"/>
        </w:rPr>
        <w:t>老年人较易患慢性疾病。</w:t>
      </w:r>
    </w:p>
    <w:p w14:paraId="51F91E1B" w14:textId="77777777" w:rsidR="00E75D8B" w:rsidRDefault="00000000">
      <w:pPr>
        <w:pStyle w:val="2"/>
        <w:shd w:val="clear" w:color="auto" w:fill="FFFFFF"/>
        <w:spacing w:before="0" w:beforeAutospacing="0" w:after="0" w:afterAutospacing="0"/>
        <w:ind w:firstLineChars="200" w:firstLine="492"/>
        <w:jc w:val="both"/>
        <w:rPr>
          <w:rFonts w:ascii="微软雅黑" w:eastAsia="微软雅黑" w:hAnsi="微软雅黑"/>
          <w:b/>
          <w:bCs/>
          <w:color w:val="222222"/>
          <w:spacing w:val="8"/>
          <w:sz w:val="24"/>
          <w:szCs w:val="24"/>
        </w:rPr>
      </w:pPr>
      <w:r>
        <w:rPr>
          <w:rFonts w:ascii="微软雅黑" w:eastAsia="微软雅黑" w:hAnsi="微软雅黑" w:hint="eastAsia"/>
          <w:b/>
          <w:bCs/>
          <w:color w:val="222222"/>
          <w:spacing w:val="8"/>
          <w:sz w:val="23"/>
          <w:szCs w:val="23"/>
        </w:rPr>
        <w:t>据弗若斯特沙利文统计， 2016年，我国慢病相关医疗卫生支出为</w:t>
      </w:r>
      <w:r>
        <w:rPr>
          <w:rStyle w:val="ad"/>
          <w:rFonts w:ascii="微软雅黑" w:eastAsia="微软雅黑" w:hAnsi="微软雅黑" w:hint="eastAsia"/>
          <w:b w:val="0"/>
          <w:bCs w:val="0"/>
          <w:color w:val="0A6EBF"/>
          <w:spacing w:val="8"/>
          <w:sz w:val="23"/>
          <w:szCs w:val="23"/>
        </w:rPr>
        <w:t>2.4万亿元</w:t>
      </w:r>
      <w:r>
        <w:rPr>
          <w:rFonts w:ascii="微软雅黑" w:eastAsia="微软雅黑" w:hAnsi="微软雅黑" w:hint="eastAsia"/>
          <w:b/>
          <w:bCs/>
          <w:color w:val="222222"/>
          <w:spacing w:val="8"/>
          <w:sz w:val="23"/>
          <w:szCs w:val="23"/>
        </w:rPr>
        <w:t>，占当年全国总体相关医疗卫生支出的一半（51%），随着时间的推移，慢病相关医疗卫生支出额和占比都变得越来越大，到2019年，我国慢病相关医疗卫生支出增长到3.9万亿元，</w:t>
      </w:r>
      <w:r>
        <w:rPr>
          <w:rStyle w:val="ad"/>
          <w:rFonts w:ascii="微软雅黑" w:eastAsia="微软雅黑" w:hAnsi="微软雅黑" w:hint="eastAsia"/>
          <w:b w:val="0"/>
          <w:bCs w:val="0"/>
          <w:color w:val="0A6EBF"/>
          <w:spacing w:val="8"/>
          <w:sz w:val="23"/>
          <w:szCs w:val="23"/>
        </w:rPr>
        <w:t>3年增加了1.5万亿元，增加了63%</w:t>
      </w:r>
      <w:r>
        <w:rPr>
          <w:rFonts w:ascii="微软雅黑" w:eastAsia="微软雅黑" w:hAnsi="微软雅黑" w:hint="eastAsia"/>
          <w:b/>
          <w:bCs/>
          <w:color w:val="222222"/>
          <w:spacing w:val="8"/>
          <w:sz w:val="23"/>
          <w:szCs w:val="23"/>
        </w:rPr>
        <w:t>，占比也由2016年的51%提高到了2019年的59%，</w:t>
      </w:r>
      <w:r>
        <w:rPr>
          <w:rStyle w:val="ad"/>
          <w:rFonts w:ascii="微软雅黑" w:eastAsia="微软雅黑" w:hAnsi="微软雅黑" w:hint="eastAsia"/>
          <w:b w:val="0"/>
          <w:bCs w:val="0"/>
          <w:color w:val="0A6EBF"/>
          <w:spacing w:val="8"/>
          <w:sz w:val="23"/>
          <w:szCs w:val="23"/>
        </w:rPr>
        <w:t>3年增加了8个百分点</w:t>
      </w:r>
      <w:r>
        <w:rPr>
          <w:rFonts w:ascii="微软雅黑" w:eastAsia="微软雅黑" w:hAnsi="微软雅黑" w:hint="eastAsia"/>
          <w:b/>
          <w:bCs/>
          <w:color w:val="222222"/>
          <w:spacing w:val="8"/>
          <w:sz w:val="23"/>
          <w:szCs w:val="23"/>
        </w:rPr>
        <w:t>，2020年因新冠疫情爆发，占比略有下降。预计，到2025年，我国慢病相关医疗卫生支出将增加到7.8万亿元，</w:t>
      </w:r>
      <w:r>
        <w:rPr>
          <w:rStyle w:val="ad"/>
          <w:rFonts w:ascii="微软雅黑" w:eastAsia="微软雅黑" w:hAnsi="微软雅黑" w:hint="eastAsia"/>
          <w:b w:val="0"/>
          <w:bCs w:val="0"/>
          <w:color w:val="0A6EBF"/>
          <w:spacing w:val="8"/>
          <w:sz w:val="23"/>
          <w:szCs w:val="23"/>
        </w:rPr>
        <w:t>较2020年增加3.7万亿元，增加91%，占全国总体相关医疗卫生支出的比重也将提高到68%，较2020年增加11个百分点。</w:t>
      </w:r>
    </w:p>
    <w:p w14:paraId="5D04D23D" w14:textId="77777777" w:rsidR="00E75D8B" w:rsidRDefault="00000000">
      <w:pPr>
        <w:jc w:val="center"/>
        <w:rPr>
          <w:rStyle w:val="ad"/>
          <w:rFonts w:ascii="微软雅黑" w:eastAsia="微软雅黑" w:hAnsi="微软雅黑" w:cs="Helvetica"/>
          <w:b w:val="0"/>
          <w:spacing w:val="15"/>
          <w:sz w:val="23"/>
          <w:szCs w:val="23"/>
        </w:rPr>
      </w:pPr>
      <w:r>
        <w:rPr>
          <w:rFonts w:ascii="微软雅黑" w:eastAsia="微软雅黑" w:hAnsi="微软雅黑" w:cs="Helvetica"/>
          <w:bCs/>
          <w:noProof/>
          <w:spacing w:val="15"/>
          <w:sz w:val="23"/>
          <w:szCs w:val="23"/>
        </w:rPr>
        <w:lastRenderedPageBreak/>
        <w:drawing>
          <wp:inline distT="0" distB="0" distL="0" distR="0" wp14:anchorId="655C97A9" wp14:editId="2C332CA6">
            <wp:extent cx="4204970" cy="2282190"/>
            <wp:effectExtent l="0" t="0" r="5080" b="3810"/>
            <wp:docPr id="73" name="图片 73" descr="C:\Users\Administrator\Documents\WeChat Files\ppdeboke\FileStorage\Temp\f06ca713c1543cf278025e7720898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ocuments\WeChat Files\ppdeboke\FileStorage\Temp\f06ca713c1543cf278025e7720898d1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11462" cy="2285579"/>
                    </a:xfrm>
                    <a:prstGeom prst="rect">
                      <a:avLst/>
                    </a:prstGeom>
                    <a:noFill/>
                    <a:ln>
                      <a:noFill/>
                    </a:ln>
                  </pic:spPr>
                </pic:pic>
              </a:graphicData>
            </a:graphic>
          </wp:inline>
        </w:drawing>
      </w:r>
    </w:p>
    <w:p w14:paraId="1D026599" w14:textId="77777777" w:rsidR="00E75D8B" w:rsidRDefault="00000000">
      <w:pPr>
        <w:widowControl/>
        <w:shd w:val="clear" w:color="auto" w:fill="FFFFFF"/>
        <w:jc w:val="left"/>
        <w:outlineLvl w:val="1"/>
        <w:rPr>
          <w:rFonts w:ascii="微软雅黑" w:eastAsia="微软雅黑" w:hAnsi="微软雅黑" w:cs="宋体"/>
          <w:color w:val="222222"/>
          <w:spacing w:val="8"/>
          <w:kern w:val="0"/>
          <w:sz w:val="24"/>
          <w:szCs w:val="24"/>
        </w:rPr>
      </w:pPr>
      <w:r>
        <w:rPr>
          <w:rFonts w:ascii="微软雅黑" w:eastAsia="微软雅黑" w:hAnsi="微软雅黑" w:cs="宋体" w:hint="eastAsia"/>
          <w:b/>
          <w:bCs/>
          <w:color w:val="0A6EBF"/>
          <w:spacing w:val="8"/>
          <w:kern w:val="0"/>
          <w:sz w:val="36"/>
          <w:szCs w:val="36"/>
        </w:rPr>
        <w:t>04 </w:t>
      </w:r>
      <w:r>
        <w:rPr>
          <w:rFonts w:ascii="微软雅黑" w:eastAsia="微软雅黑" w:hAnsi="微软雅黑" w:cs="宋体" w:hint="eastAsia"/>
          <w:b/>
          <w:bCs/>
          <w:color w:val="0A6EBF"/>
          <w:spacing w:val="8"/>
          <w:kern w:val="0"/>
          <w:sz w:val="24"/>
          <w:szCs w:val="24"/>
        </w:rPr>
        <w:t>慢病用药</w:t>
      </w:r>
    </w:p>
    <w:p w14:paraId="00006698" w14:textId="77777777" w:rsidR="00E75D8B" w:rsidRDefault="00000000">
      <w:pPr>
        <w:ind w:firstLineChars="200" w:firstLine="492"/>
        <w:rPr>
          <w:rFonts w:ascii="微软雅黑" w:eastAsia="微软雅黑" w:hAnsi="微软雅黑" w:cs="宋体"/>
          <w:bCs/>
          <w:color w:val="222222"/>
          <w:spacing w:val="8"/>
          <w:kern w:val="0"/>
          <w:sz w:val="23"/>
          <w:szCs w:val="23"/>
        </w:rPr>
      </w:pPr>
      <w:r>
        <w:rPr>
          <w:rFonts w:ascii="微软雅黑" w:eastAsia="微软雅黑" w:hAnsi="微软雅黑" w:cs="宋体" w:hint="eastAsia"/>
          <w:bCs/>
          <w:color w:val="222222"/>
          <w:spacing w:val="8"/>
          <w:kern w:val="0"/>
          <w:sz w:val="23"/>
          <w:szCs w:val="23"/>
        </w:rPr>
        <w:t>5月20日，《国务院办公厅关于印发“十四五”国民健康规划的通知》要求，“强化慢性病综合防控和伤害预防干预”，“提高心脑血管疾病、癌症、慢性呼吸系统疾病、糖尿病等重大慢性病综合防治能力”，“推进三高”（高血压、高血糖、高血脂）共管，高血压、Ⅱ型糖尿病患者基层规范管理服务率达到65%以上”，防控慢性病首次提升到了国家战略。慢性病用药在防控慢病中起着至关重要的作用。</w:t>
      </w:r>
    </w:p>
    <w:p w14:paraId="2A6C77B0" w14:textId="77777777" w:rsidR="00E75D8B" w:rsidRDefault="00000000">
      <w:pPr>
        <w:ind w:firstLineChars="200" w:firstLine="492"/>
        <w:rPr>
          <w:rFonts w:ascii="微软雅黑" w:eastAsia="微软雅黑" w:hAnsi="微软雅黑" w:cs="宋体"/>
          <w:color w:val="0A6EBF"/>
          <w:spacing w:val="8"/>
          <w:kern w:val="0"/>
          <w:sz w:val="23"/>
          <w:szCs w:val="23"/>
        </w:rPr>
      </w:pPr>
      <w:r>
        <w:rPr>
          <w:rFonts w:ascii="微软雅黑" w:eastAsia="微软雅黑" w:hAnsi="微软雅黑" w:cs="宋体" w:hint="eastAsia"/>
          <w:bCs/>
          <w:color w:val="222222"/>
          <w:spacing w:val="8"/>
          <w:kern w:val="0"/>
          <w:sz w:val="23"/>
          <w:szCs w:val="23"/>
        </w:rPr>
        <w:t>2020年，全国城市实体药店（不含县乡村药店）的5大慢病用药规模达</w:t>
      </w:r>
      <w:r>
        <w:rPr>
          <w:rFonts w:ascii="微软雅黑" w:eastAsia="微软雅黑" w:hAnsi="微软雅黑" w:cs="宋体" w:hint="eastAsia"/>
          <w:color w:val="0A6EBF"/>
          <w:spacing w:val="8"/>
          <w:kern w:val="0"/>
          <w:sz w:val="23"/>
          <w:szCs w:val="23"/>
        </w:rPr>
        <w:t>467亿元</w:t>
      </w:r>
      <w:r>
        <w:rPr>
          <w:rFonts w:ascii="微软雅黑" w:eastAsia="微软雅黑" w:hAnsi="微软雅黑" w:cs="宋体" w:hint="eastAsia"/>
          <w:bCs/>
          <w:color w:val="222222"/>
          <w:spacing w:val="8"/>
          <w:kern w:val="0"/>
          <w:sz w:val="23"/>
          <w:szCs w:val="23"/>
        </w:rPr>
        <w:t>，其中，降压药规模最大，为</w:t>
      </w:r>
      <w:r>
        <w:rPr>
          <w:rFonts w:ascii="微软雅黑" w:eastAsia="微软雅黑" w:hAnsi="微软雅黑" w:cs="宋体" w:hint="eastAsia"/>
          <w:color w:val="0A6EBF"/>
          <w:spacing w:val="8"/>
          <w:kern w:val="0"/>
          <w:sz w:val="23"/>
          <w:szCs w:val="23"/>
        </w:rPr>
        <w:t>150亿元</w:t>
      </w:r>
      <w:r>
        <w:rPr>
          <w:rFonts w:ascii="微软雅黑" w:eastAsia="微软雅黑" w:hAnsi="微软雅黑" w:cs="宋体" w:hint="eastAsia"/>
          <w:bCs/>
          <w:color w:val="222222"/>
          <w:spacing w:val="8"/>
          <w:kern w:val="0"/>
          <w:sz w:val="23"/>
          <w:szCs w:val="23"/>
        </w:rPr>
        <w:t>，占了近三分之一（</w:t>
      </w:r>
      <w:r>
        <w:rPr>
          <w:rFonts w:ascii="微软雅黑" w:eastAsia="微软雅黑" w:hAnsi="微软雅黑" w:cs="宋体" w:hint="eastAsia"/>
          <w:color w:val="0A6EBF"/>
          <w:spacing w:val="8"/>
          <w:kern w:val="0"/>
          <w:sz w:val="23"/>
          <w:szCs w:val="23"/>
        </w:rPr>
        <w:t>32.1%</w:t>
      </w:r>
      <w:r>
        <w:rPr>
          <w:rFonts w:ascii="微软雅黑" w:eastAsia="微软雅黑" w:hAnsi="微软雅黑" w:cs="宋体" w:hint="eastAsia"/>
          <w:bCs/>
          <w:color w:val="222222"/>
          <w:spacing w:val="8"/>
          <w:kern w:val="0"/>
          <w:sz w:val="23"/>
          <w:szCs w:val="23"/>
        </w:rPr>
        <w:t>），其次是心脑血管药、降糖药和降脂药，</w:t>
      </w:r>
      <w:r>
        <w:rPr>
          <w:rFonts w:ascii="微软雅黑" w:eastAsia="微软雅黑" w:hAnsi="微软雅黑" w:cs="宋体" w:hint="eastAsia"/>
          <w:color w:val="0A6EBF"/>
          <w:spacing w:val="8"/>
          <w:kern w:val="0"/>
          <w:sz w:val="23"/>
          <w:szCs w:val="23"/>
        </w:rPr>
        <w:t>为130亿元、100亿元和55亿元，分别占了27.9%、21.5%和11.7%。</w:t>
      </w:r>
    </w:p>
    <w:p w14:paraId="1E3863B2"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4244B89E" wp14:editId="616B56D8">
            <wp:extent cx="3079115" cy="1858010"/>
            <wp:effectExtent l="0" t="0" r="6985" b="8890"/>
            <wp:docPr id="74" name="图片 74" descr="C:\Users\Administrator\Documents\WeChat Files\ppdeboke\FileStorage\Temp\30712543366e7a35b49a9501fce23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ocuments\WeChat Files\ppdeboke\FileStorage\Temp\30712543366e7a35b49a9501fce23dd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760" cy="1862321"/>
                    </a:xfrm>
                    <a:prstGeom prst="rect">
                      <a:avLst/>
                    </a:prstGeom>
                    <a:noFill/>
                    <a:ln>
                      <a:noFill/>
                    </a:ln>
                  </pic:spPr>
                </pic:pic>
              </a:graphicData>
            </a:graphic>
          </wp:inline>
        </w:drawing>
      </w:r>
    </w:p>
    <w:p w14:paraId="7455733C"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lastRenderedPageBreak/>
        <w:t>2020年，在全国城市实体药店销售额Top10心脑血管药中，</w:t>
      </w:r>
      <w:r>
        <w:rPr>
          <w:rStyle w:val="ad"/>
          <w:rFonts w:ascii="微软雅黑" w:eastAsia="微软雅黑" w:hAnsi="微软雅黑"/>
          <w:color w:val="0A6EBF"/>
          <w:sz w:val="23"/>
          <w:szCs w:val="23"/>
        </w:rPr>
        <w:t>只有两款西药</w:t>
      </w:r>
      <w:r>
        <w:rPr>
          <w:rFonts w:ascii="微软雅黑" w:eastAsia="微软雅黑" w:hAnsi="微软雅黑"/>
          <w:sz w:val="23"/>
          <w:szCs w:val="23"/>
        </w:rPr>
        <w:t>（石药的丁苯酞、威玛舒培的银杏叶提取物片），其他8款全部是中成药，其中包括3家企业（北京同仁堂、广誉远、南京同仁堂）的安宫牛黄丸，</w:t>
      </w:r>
      <w:r>
        <w:rPr>
          <w:rStyle w:val="ad"/>
          <w:rFonts w:ascii="微软雅黑" w:eastAsia="微软雅黑" w:hAnsi="微软雅黑"/>
          <w:color w:val="0A6EBF"/>
          <w:sz w:val="23"/>
          <w:szCs w:val="23"/>
        </w:rPr>
        <w:t>进口药只有一款</w:t>
      </w:r>
      <w:r>
        <w:rPr>
          <w:rFonts w:ascii="微软雅黑" w:eastAsia="微软雅黑" w:hAnsi="微软雅黑"/>
          <w:sz w:val="23"/>
          <w:szCs w:val="23"/>
        </w:rPr>
        <w:t>（威玛舒培的银杏叶提取物片）。</w:t>
      </w:r>
    </w:p>
    <w:p w14:paraId="0D32C142" w14:textId="77777777" w:rsidR="00E75D8B" w:rsidRDefault="00000000">
      <w:pPr>
        <w:ind w:firstLineChars="200" w:firstLine="460"/>
        <w:rPr>
          <w:rStyle w:val="ad"/>
          <w:rFonts w:ascii="微软雅黑" w:eastAsia="微软雅黑" w:hAnsi="微软雅黑"/>
          <w:color w:val="0A6EBF"/>
          <w:sz w:val="23"/>
          <w:szCs w:val="23"/>
        </w:rPr>
      </w:pPr>
      <w:r>
        <w:rPr>
          <w:rFonts w:ascii="微软雅黑" w:eastAsia="微软雅黑" w:hAnsi="微软雅黑"/>
          <w:sz w:val="23"/>
          <w:szCs w:val="23"/>
        </w:rPr>
        <w:t>销售额最大的是北京同仁堂的</w:t>
      </w:r>
      <w:r>
        <w:rPr>
          <w:rStyle w:val="ad"/>
          <w:rFonts w:ascii="微软雅黑" w:eastAsia="微软雅黑" w:hAnsi="微软雅黑"/>
          <w:color w:val="0A6EBF"/>
          <w:sz w:val="23"/>
          <w:szCs w:val="23"/>
        </w:rPr>
        <w:t>安宫牛黄丸</w:t>
      </w:r>
      <w:r>
        <w:rPr>
          <w:rFonts w:ascii="微软雅黑" w:eastAsia="微软雅黑" w:hAnsi="微软雅黑"/>
          <w:sz w:val="23"/>
          <w:szCs w:val="23"/>
        </w:rPr>
        <w:t>，2020年在城市实体药店卖了</w:t>
      </w:r>
      <w:r>
        <w:rPr>
          <w:rStyle w:val="ad"/>
          <w:rFonts w:ascii="微软雅黑" w:eastAsia="微软雅黑" w:hAnsi="微软雅黑"/>
          <w:color w:val="0A6EBF"/>
          <w:sz w:val="23"/>
          <w:szCs w:val="23"/>
        </w:rPr>
        <w:t>18.7亿元</w:t>
      </w:r>
      <w:r>
        <w:rPr>
          <w:rFonts w:ascii="微软雅黑" w:eastAsia="微软雅黑" w:hAnsi="微软雅黑"/>
          <w:sz w:val="23"/>
          <w:szCs w:val="23"/>
        </w:rPr>
        <w:t>，其次是</w:t>
      </w:r>
      <w:r>
        <w:rPr>
          <w:rStyle w:val="ad"/>
          <w:rFonts w:ascii="微软雅黑" w:eastAsia="微软雅黑" w:hAnsi="微软雅黑"/>
          <w:color w:val="0A6EBF"/>
          <w:sz w:val="23"/>
          <w:szCs w:val="23"/>
        </w:rPr>
        <w:t>复方丹参滴丸（天士力）、步长脑心通和复方丹参片（白云山），分别卖了6.4亿元、4.9亿元和4.2亿元。</w:t>
      </w:r>
    </w:p>
    <w:p w14:paraId="6F2CA936"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步长有两个产品同时进入Top10，除</w:t>
      </w:r>
      <w:r>
        <w:rPr>
          <w:rStyle w:val="ad"/>
          <w:rFonts w:ascii="微软雅黑" w:eastAsia="微软雅黑" w:hAnsi="微软雅黑"/>
          <w:color w:val="0A6EBF"/>
          <w:sz w:val="23"/>
          <w:szCs w:val="23"/>
        </w:rPr>
        <w:t>脑心通胶囊</w:t>
      </w:r>
      <w:r>
        <w:rPr>
          <w:rFonts w:ascii="微软雅黑" w:eastAsia="微软雅黑" w:hAnsi="微软雅黑"/>
          <w:sz w:val="23"/>
          <w:szCs w:val="23"/>
        </w:rPr>
        <w:t>外，还有</w:t>
      </w:r>
      <w:r>
        <w:rPr>
          <w:rStyle w:val="ad"/>
          <w:rFonts w:ascii="微软雅黑" w:eastAsia="微软雅黑" w:hAnsi="微软雅黑"/>
          <w:color w:val="0A6EBF"/>
          <w:sz w:val="23"/>
          <w:szCs w:val="23"/>
        </w:rPr>
        <w:t>稳心颗粒</w:t>
      </w:r>
      <w:r>
        <w:rPr>
          <w:rFonts w:ascii="微软雅黑" w:eastAsia="微软雅黑" w:hAnsi="微软雅黑"/>
          <w:sz w:val="23"/>
          <w:szCs w:val="23"/>
        </w:rPr>
        <w:t>。</w:t>
      </w:r>
    </w:p>
    <w:p w14:paraId="1F646B37"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6DEF8750" wp14:editId="19270904">
            <wp:extent cx="3642360" cy="2359025"/>
            <wp:effectExtent l="0" t="0" r="0" b="3175"/>
            <wp:docPr id="75" name="图片 75" descr="C:\Users\Administrator\Documents\WeChat Files\ppdeboke\FileStorage\Temp\e744438c7ed3d54eab99711ca3a86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Documents\WeChat Files\ppdeboke\FileStorage\Temp\e744438c7ed3d54eab99711ca3a86f6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46343" cy="2361844"/>
                    </a:xfrm>
                    <a:prstGeom prst="rect">
                      <a:avLst/>
                    </a:prstGeom>
                    <a:noFill/>
                    <a:ln>
                      <a:noFill/>
                    </a:ln>
                  </pic:spPr>
                </pic:pic>
              </a:graphicData>
            </a:graphic>
          </wp:inline>
        </w:drawing>
      </w:r>
    </w:p>
    <w:p w14:paraId="6A71D45A" w14:textId="77777777" w:rsidR="00E75D8B" w:rsidRDefault="00000000">
      <w:pPr>
        <w:pStyle w:val="ab"/>
        <w:shd w:val="clear" w:color="auto" w:fill="FFFFFF"/>
        <w:spacing w:before="0" w:beforeAutospacing="0" w:after="0" w:afterAutospacing="0" w:line="420" w:lineRule="atLeast"/>
        <w:ind w:firstLineChars="200" w:firstLine="492"/>
        <w:jc w:val="both"/>
        <w:rPr>
          <w:rFonts w:ascii="微软雅黑" w:eastAsia="微软雅黑" w:hAnsi="微软雅黑"/>
          <w:color w:val="222222"/>
          <w:spacing w:val="8"/>
        </w:rPr>
      </w:pPr>
      <w:r>
        <w:rPr>
          <w:rFonts w:ascii="微软雅黑" w:eastAsia="微软雅黑" w:hAnsi="微软雅黑" w:hint="eastAsia"/>
          <w:color w:val="222222"/>
          <w:spacing w:val="8"/>
          <w:sz w:val="23"/>
          <w:szCs w:val="23"/>
        </w:rPr>
        <w:t>面对老龄化，二十大报告已明确</w:t>
      </w:r>
      <w:r>
        <w:rPr>
          <w:rStyle w:val="ad"/>
          <w:rFonts w:ascii="微软雅黑" w:eastAsia="微软雅黑" w:hAnsi="微软雅黑" w:hint="eastAsia"/>
          <w:color w:val="0A6EBF"/>
          <w:spacing w:val="8"/>
          <w:sz w:val="23"/>
          <w:szCs w:val="23"/>
        </w:rPr>
        <w:t>“实施积极应对人口老龄化国家战略，发展养老事业和养老产业”</w:t>
      </w:r>
      <w:r>
        <w:rPr>
          <w:rFonts w:ascii="微软雅黑" w:eastAsia="微软雅黑" w:hAnsi="微软雅黑" w:hint="eastAsia"/>
          <w:color w:val="222222"/>
          <w:spacing w:val="8"/>
          <w:sz w:val="23"/>
          <w:szCs w:val="23"/>
        </w:rPr>
        <w:t>，其中老年疾病的治疗和老人用药是重要任务之一，对医药企业而言，既责无旁贷，也是商机，药企应积极调整战略，顺势而为，为老年人的健康事业发展做出应有的贡献。</w:t>
      </w:r>
    </w:p>
    <w:p w14:paraId="2BEC6374" w14:textId="77777777" w:rsidR="00E75D8B" w:rsidRDefault="00000000">
      <w:pPr>
        <w:widowControl/>
        <w:jc w:val="center"/>
        <w:rPr>
          <w:rFonts w:ascii="微软雅黑" w:eastAsia="微软雅黑" w:hAnsi="微软雅黑" w:cs="宋体"/>
          <w:kern w:val="0"/>
          <w:sz w:val="23"/>
          <w:szCs w:val="23"/>
        </w:rPr>
      </w:pPr>
      <w:r>
        <w:rPr>
          <w:rFonts w:ascii="微软雅黑" w:eastAsia="微软雅黑" w:hAnsi="微软雅黑" w:cs="宋体"/>
          <w:b/>
          <w:bCs/>
          <w:color w:val="0A6EBF"/>
          <w:spacing w:val="8"/>
          <w:kern w:val="0"/>
          <w:sz w:val="23"/>
          <w:szCs w:val="23"/>
        </w:rPr>
        <w:t>第四篇、商业健康保险</w:t>
      </w:r>
    </w:p>
    <w:p w14:paraId="26B01C0E" w14:textId="77777777" w:rsidR="00E75D8B" w:rsidRDefault="00000000">
      <w:pPr>
        <w:widowControl/>
        <w:shd w:val="clear" w:color="auto" w:fill="FFFFFF"/>
        <w:spacing w:line="420" w:lineRule="atLeast"/>
        <w:ind w:firstLineChars="200" w:firstLine="492"/>
        <w:rPr>
          <w:rFonts w:ascii="微软雅黑" w:eastAsia="微软雅黑" w:hAnsi="微软雅黑" w:cs="宋体"/>
          <w:color w:val="222222"/>
          <w:spacing w:val="8"/>
          <w:kern w:val="0"/>
          <w:sz w:val="23"/>
          <w:szCs w:val="23"/>
        </w:rPr>
      </w:pPr>
      <w:r>
        <w:rPr>
          <w:rFonts w:ascii="微软雅黑" w:eastAsia="微软雅黑" w:hAnsi="微软雅黑" w:cs="宋体" w:hint="eastAsia"/>
          <w:color w:val="222222"/>
          <w:spacing w:val="8"/>
          <w:kern w:val="0"/>
          <w:sz w:val="23"/>
          <w:szCs w:val="23"/>
        </w:rPr>
        <w:t>二十大报告将“健全社会保障体系”专门设立一节（九（三）），用多达383字的篇幅专门论述。提出“健全覆盖全民、统筹城乡、公平统一、安全规范、可持续的多层次社会保障体系”，“促进多层次医疗保障有序衔接，完善</w:t>
      </w:r>
      <w:r>
        <w:rPr>
          <w:rFonts w:ascii="微软雅黑" w:eastAsia="微软雅黑" w:hAnsi="微软雅黑" w:cs="宋体" w:hint="eastAsia"/>
          <w:color w:val="222222"/>
          <w:spacing w:val="8"/>
          <w:kern w:val="0"/>
          <w:sz w:val="23"/>
          <w:szCs w:val="23"/>
        </w:rPr>
        <w:lastRenderedPageBreak/>
        <w:t>大病保险和医疗救助制度，落实异地就医结算，建立长期护理保险制度，积极发展</w:t>
      </w:r>
      <w:r>
        <w:rPr>
          <w:rFonts w:ascii="微软雅黑" w:eastAsia="微软雅黑" w:hAnsi="微软雅黑" w:cs="宋体" w:hint="eastAsia"/>
          <w:b/>
          <w:bCs/>
          <w:color w:val="0A6EBF"/>
          <w:spacing w:val="8"/>
          <w:kern w:val="0"/>
          <w:sz w:val="23"/>
          <w:szCs w:val="23"/>
        </w:rPr>
        <w:t>商业医疗保险”</w:t>
      </w:r>
      <w:r>
        <w:rPr>
          <w:rFonts w:ascii="微软雅黑" w:eastAsia="微软雅黑" w:hAnsi="微软雅黑" w:cs="宋体" w:hint="eastAsia"/>
          <w:color w:val="222222"/>
          <w:spacing w:val="8"/>
          <w:kern w:val="0"/>
          <w:sz w:val="23"/>
          <w:szCs w:val="23"/>
        </w:rPr>
        <w:t>。</w:t>
      </w:r>
    </w:p>
    <w:p w14:paraId="4D31006E"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本文将从</w:t>
      </w:r>
      <w:r>
        <w:rPr>
          <w:rFonts w:ascii="微软雅黑" w:eastAsia="微软雅黑" w:hAnsi="微软雅黑" w:cs="宋体"/>
          <w:b/>
          <w:bCs/>
          <w:color w:val="0A6EBF"/>
          <w:kern w:val="0"/>
          <w:sz w:val="23"/>
          <w:szCs w:val="23"/>
        </w:rPr>
        <w:t>规模、组成、分布、保险密度和深度</w:t>
      </w:r>
      <w:r>
        <w:rPr>
          <w:rFonts w:ascii="微软雅黑" w:eastAsia="微软雅黑" w:hAnsi="微软雅黑" w:cs="宋体"/>
          <w:kern w:val="0"/>
          <w:sz w:val="23"/>
          <w:szCs w:val="23"/>
        </w:rPr>
        <w:t>五个方面进行解读。</w:t>
      </w:r>
    </w:p>
    <w:p w14:paraId="6BEA5067"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二十大报告将促进商业医疗保险乃至商业健康保险的快速发展。</w:t>
      </w:r>
    </w:p>
    <w:p w14:paraId="171B7475"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2020年2月，党中央、国务院印发《关于深化医疗保障制度改革的意见》，提出</w:t>
      </w:r>
      <w:r>
        <w:rPr>
          <w:rFonts w:ascii="微软雅黑" w:eastAsia="微软雅黑" w:hAnsi="微软雅黑" w:cs="宋体"/>
          <w:b/>
          <w:bCs/>
          <w:color w:val="0A6EBF"/>
          <w:kern w:val="0"/>
          <w:sz w:val="23"/>
          <w:szCs w:val="23"/>
        </w:rPr>
        <w:t>“促进多层次医疗保障体系发展”，“促进各类医疗保障互补衔接”</w:t>
      </w:r>
      <w:r>
        <w:rPr>
          <w:rFonts w:ascii="微软雅黑" w:eastAsia="微软雅黑" w:hAnsi="微软雅黑" w:cs="宋体"/>
          <w:kern w:val="0"/>
          <w:sz w:val="23"/>
          <w:szCs w:val="23"/>
        </w:rPr>
        <w:t>。</w:t>
      </w:r>
    </w:p>
    <w:p w14:paraId="134F7BDB"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2021年9月，国务院办公厅印发的《“十四五”全民医疗保障规划》，进一步鼓励</w:t>
      </w:r>
      <w:r>
        <w:rPr>
          <w:rFonts w:ascii="微软雅黑" w:eastAsia="微软雅黑" w:hAnsi="微软雅黑" w:cs="宋体"/>
          <w:b/>
          <w:bCs/>
          <w:color w:val="0A6EBF"/>
          <w:kern w:val="0"/>
          <w:sz w:val="23"/>
          <w:szCs w:val="23"/>
        </w:rPr>
        <w:t>支持商业保险机构开发与基本医保相衔接</w:t>
      </w:r>
      <w:r>
        <w:rPr>
          <w:rFonts w:ascii="微软雅黑" w:eastAsia="微软雅黑" w:hAnsi="微软雅黑" w:cs="宋体"/>
          <w:kern w:val="0"/>
          <w:sz w:val="23"/>
          <w:szCs w:val="23"/>
        </w:rPr>
        <w:t>的商业健康保险产品，更好覆盖基本医保不予支付的费用。</w:t>
      </w:r>
    </w:p>
    <w:p w14:paraId="6B4F41BE" w14:textId="77777777" w:rsidR="00E75D8B" w:rsidRDefault="00000000">
      <w:pPr>
        <w:ind w:firstLineChars="200" w:firstLine="460"/>
        <w:rPr>
          <w:rFonts w:ascii="微软雅黑" w:eastAsia="微软雅黑" w:hAnsi="微软雅黑" w:cs="宋体"/>
          <w:b/>
          <w:bCs/>
          <w:color w:val="0A6EBF"/>
          <w:kern w:val="0"/>
          <w:sz w:val="23"/>
          <w:szCs w:val="23"/>
        </w:rPr>
      </w:pPr>
      <w:r>
        <w:rPr>
          <w:rFonts w:ascii="微软雅黑" w:eastAsia="微软雅黑" w:hAnsi="微软雅黑" w:cs="宋体"/>
          <w:kern w:val="0"/>
          <w:sz w:val="23"/>
          <w:szCs w:val="23"/>
        </w:rPr>
        <w:t>2022年国务院办公厅印发的《“十四五”国民健康规划》再度明确，</w:t>
      </w:r>
      <w:r>
        <w:rPr>
          <w:rFonts w:ascii="微软雅黑" w:eastAsia="微软雅黑" w:hAnsi="微软雅黑" w:cs="宋体"/>
          <w:b/>
          <w:bCs/>
          <w:color w:val="0A6EBF"/>
          <w:kern w:val="0"/>
          <w:sz w:val="23"/>
          <w:szCs w:val="23"/>
        </w:rPr>
        <w:t>“增加商业健康保险供给”。</w:t>
      </w:r>
    </w:p>
    <w:p w14:paraId="5A9A1746" w14:textId="77777777" w:rsidR="00E75D8B" w:rsidRDefault="00000000">
      <w:pPr>
        <w:ind w:firstLineChars="200" w:firstLine="492"/>
        <w:rPr>
          <w:rFonts w:ascii="微软雅黑" w:eastAsia="微软雅黑" w:hAnsi="微软雅黑" w:cs="宋体"/>
          <w:b/>
          <w:bCs/>
          <w:color w:val="0A6EBF"/>
          <w:spacing w:val="8"/>
          <w:kern w:val="0"/>
          <w:sz w:val="23"/>
          <w:szCs w:val="23"/>
        </w:rPr>
      </w:pPr>
      <w:r>
        <w:rPr>
          <w:rFonts w:ascii="微软雅黑" w:eastAsia="微软雅黑" w:hAnsi="微软雅黑" w:cs="宋体" w:hint="eastAsia"/>
          <w:b/>
          <w:bCs/>
          <w:color w:val="0A6EBF"/>
          <w:spacing w:val="8"/>
          <w:kern w:val="0"/>
          <w:sz w:val="23"/>
          <w:szCs w:val="23"/>
        </w:rPr>
        <w:t>01 规模</w:t>
      </w:r>
    </w:p>
    <w:p w14:paraId="647BBF01" w14:textId="77777777" w:rsidR="00E75D8B" w:rsidRDefault="00000000">
      <w:pPr>
        <w:ind w:firstLineChars="200" w:firstLine="460"/>
        <w:rPr>
          <w:rFonts w:ascii="微软雅黑" w:eastAsia="微软雅黑" w:hAnsi="微软雅黑" w:cs="宋体"/>
          <w:b/>
          <w:bCs/>
          <w:color w:val="0A6EBF"/>
          <w:kern w:val="0"/>
          <w:sz w:val="23"/>
          <w:szCs w:val="23"/>
        </w:rPr>
      </w:pPr>
      <w:r>
        <w:rPr>
          <w:rFonts w:ascii="微软雅黑" w:eastAsia="微软雅黑" w:hAnsi="微软雅黑" w:cs="宋体"/>
          <w:kern w:val="0"/>
          <w:sz w:val="23"/>
          <w:szCs w:val="23"/>
        </w:rPr>
        <w:t>我国的商业健康保险（下文简称</w:t>
      </w:r>
      <w:r>
        <w:rPr>
          <w:rFonts w:ascii="微软雅黑" w:eastAsia="微软雅黑" w:hAnsi="微软雅黑" w:cs="宋体"/>
          <w:b/>
          <w:bCs/>
          <w:color w:val="0A6EBF"/>
          <w:kern w:val="0"/>
          <w:sz w:val="23"/>
          <w:szCs w:val="23"/>
        </w:rPr>
        <w:t>“商业健保”</w:t>
      </w:r>
      <w:r>
        <w:rPr>
          <w:rFonts w:ascii="微软雅黑" w:eastAsia="微软雅黑" w:hAnsi="微软雅黑" w:cs="宋体"/>
          <w:kern w:val="0"/>
          <w:sz w:val="23"/>
          <w:szCs w:val="23"/>
        </w:rPr>
        <w:t>）的保费收入由2007年的384.17亿元增加到了2021年的8803.6亿元，</w:t>
      </w:r>
      <w:r>
        <w:rPr>
          <w:rFonts w:ascii="微软雅黑" w:eastAsia="微软雅黑" w:hAnsi="微软雅黑" w:cs="宋体"/>
          <w:b/>
          <w:bCs/>
          <w:color w:val="0A6EBF"/>
          <w:kern w:val="0"/>
          <w:sz w:val="23"/>
          <w:szCs w:val="23"/>
        </w:rPr>
        <w:t>14年增加了22倍，</w:t>
      </w:r>
      <w:r>
        <w:rPr>
          <w:rFonts w:ascii="微软雅黑" w:eastAsia="微软雅黑" w:hAnsi="微软雅黑" w:cs="宋体"/>
          <w:kern w:val="0"/>
          <w:sz w:val="23"/>
          <w:szCs w:val="23"/>
        </w:rPr>
        <w:t>2021年较上年</w:t>
      </w:r>
      <w:r>
        <w:rPr>
          <w:rFonts w:ascii="微软雅黑" w:eastAsia="微软雅黑" w:hAnsi="微软雅黑" w:cs="宋体"/>
          <w:b/>
          <w:bCs/>
          <w:color w:val="0A6EBF"/>
          <w:kern w:val="0"/>
          <w:sz w:val="23"/>
          <w:szCs w:val="23"/>
        </w:rPr>
        <w:t>又增加了40%。</w:t>
      </w:r>
    </w:p>
    <w:p w14:paraId="7A5B7CC0"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我国商业健保的理赔金额增长更快，由2007年的116.86亿元增加到了2021年的4085.3亿元，</w:t>
      </w:r>
      <w:r>
        <w:rPr>
          <w:rFonts w:ascii="微软雅黑" w:eastAsia="微软雅黑" w:hAnsi="微软雅黑" w:cs="宋体"/>
          <w:b/>
          <w:bCs/>
          <w:color w:val="0A6EBF"/>
          <w:kern w:val="0"/>
          <w:sz w:val="23"/>
          <w:szCs w:val="23"/>
        </w:rPr>
        <w:t>14年增加了33倍</w:t>
      </w:r>
      <w:r>
        <w:rPr>
          <w:rFonts w:ascii="微软雅黑" w:eastAsia="微软雅黑" w:hAnsi="微软雅黑" w:cs="宋体"/>
          <w:kern w:val="0"/>
          <w:sz w:val="23"/>
          <w:szCs w:val="23"/>
        </w:rPr>
        <w:t>，2021年较2020年</w:t>
      </w:r>
      <w:r>
        <w:rPr>
          <w:rFonts w:ascii="微软雅黑" w:eastAsia="微软雅黑" w:hAnsi="微软雅黑" w:cs="宋体"/>
          <w:b/>
          <w:bCs/>
          <w:color w:val="0A6EBF"/>
          <w:kern w:val="0"/>
          <w:sz w:val="23"/>
          <w:szCs w:val="23"/>
        </w:rPr>
        <w:t>又增长了7.7%</w:t>
      </w:r>
      <w:r>
        <w:rPr>
          <w:rFonts w:ascii="微软雅黑" w:eastAsia="微软雅黑" w:hAnsi="微软雅黑" w:cs="宋体"/>
          <w:kern w:val="0"/>
          <w:sz w:val="23"/>
          <w:szCs w:val="23"/>
        </w:rPr>
        <w:t>，商业健保购买者获益感越来越强。（详见图一）</w:t>
      </w:r>
    </w:p>
    <w:p w14:paraId="22CDC777"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0991A929" wp14:editId="3413410B">
            <wp:extent cx="3350260" cy="1659255"/>
            <wp:effectExtent l="0" t="0" r="2540" b="0"/>
            <wp:docPr id="76" name="图片 76" descr="C:\Users\Administrator\Documents\WeChat Files\ppdeboke\FileStorage\Temp\036f7058060f87b832566c9b921cd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ocuments\WeChat Files\ppdeboke\FileStorage\Temp\036f7058060f87b832566c9b921cd1b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50362" cy="1659557"/>
                    </a:xfrm>
                    <a:prstGeom prst="rect">
                      <a:avLst/>
                    </a:prstGeom>
                    <a:noFill/>
                    <a:ln>
                      <a:noFill/>
                    </a:ln>
                  </pic:spPr>
                </pic:pic>
              </a:graphicData>
            </a:graphic>
          </wp:inline>
        </w:drawing>
      </w:r>
    </w:p>
    <w:p w14:paraId="4B69E17E"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lastRenderedPageBreak/>
        <w:t>02 产品组成</w:t>
      </w:r>
    </w:p>
    <w:p w14:paraId="37FC80A1"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目前，我国的商业健保主要由</w:t>
      </w:r>
      <w:r>
        <w:rPr>
          <w:rStyle w:val="ad"/>
          <w:rFonts w:ascii="微软雅黑" w:eastAsia="微软雅黑" w:hAnsi="微软雅黑"/>
          <w:color w:val="0A6EBF"/>
          <w:sz w:val="23"/>
          <w:szCs w:val="23"/>
        </w:rPr>
        <w:t>医疗保险、疾病保险、护理险、失能收入损失保险</w:t>
      </w:r>
      <w:r>
        <w:rPr>
          <w:rFonts w:ascii="微软雅黑" w:eastAsia="微软雅黑" w:hAnsi="微软雅黑"/>
          <w:sz w:val="23"/>
          <w:szCs w:val="23"/>
        </w:rPr>
        <w:t>等险种组成，2020年，上述险种市场份额分别为</w:t>
      </w:r>
      <w:r>
        <w:rPr>
          <w:rStyle w:val="ad"/>
          <w:rFonts w:ascii="微软雅黑" w:eastAsia="微软雅黑" w:hAnsi="微软雅黑"/>
          <w:color w:val="0A6EBF"/>
          <w:sz w:val="23"/>
          <w:szCs w:val="23"/>
        </w:rPr>
        <w:t>53.3%、43.9%、2.1%和0.6%。</w:t>
      </w:r>
      <w:r>
        <w:rPr>
          <w:rFonts w:ascii="微软雅黑" w:eastAsia="微软雅黑" w:hAnsi="微软雅黑"/>
          <w:sz w:val="23"/>
          <w:szCs w:val="23"/>
        </w:rPr>
        <w:t>（详见图二）</w:t>
      </w:r>
    </w:p>
    <w:p w14:paraId="6CDF82DE"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61B310D8" wp14:editId="2D9A241C">
            <wp:extent cx="3686810" cy="2466340"/>
            <wp:effectExtent l="0" t="0" r="0" b="0"/>
            <wp:docPr id="77" name="图片 77" descr="C:\Users\Administrator\Documents\WeChat Files\ppdeboke\FileStorage\Temp\e641869f1e971a1f9377414307c321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ocuments\WeChat Files\ppdeboke\FileStorage\Temp\e641869f1e971a1f9377414307c321a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92396" cy="2470519"/>
                    </a:xfrm>
                    <a:prstGeom prst="rect">
                      <a:avLst/>
                    </a:prstGeom>
                    <a:noFill/>
                    <a:ln>
                      <a:noFill/>
                    </a:ln>
                  </pic:spPr>
                </pic:pic>
              </a:graphicData>
            </a:graphic>
          </wp:inline>
        </w:drawing>
      </w:r>
    </w:p>
    <w:p w14:paraId="55AC6B71"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03 分布</w:t>
      </w:r>
    </w:p>
    <w:p w14:paraId="52A2C45D" w14:textId="77777777" w:rsidR="00E75D8B" w:rsidRDefault="00000000">
      <w:pPr>
        <w:pStyle w:val="af2"/>
        <w:numPr>
          <w:ilvl w:val="0"/>
          <w:numId w:val="7"/>
        </w:numPr>
        <w:ind w:firstLineChars="0"/>
        <w:rPr>
          <w:rStyle w:val="ad"/>
          <w:rFonts w:ascii="微软雅黑" w:eastAsia="微软雅黑" w:hAnsi="微软雅黑"/>
          <w:sz w:val="23"/>
          <w:szCs w:val="23"/>
        </w:rPr>
      </w:pPr>
      <w:r>
        <w:rPr>
          <w:rStyle w:val="ad"/>
          <w:rFonts w:ascii="微软雅黑" w:eastAsia="微软雅黑" w:hAnsi="微软雅黑"/>
          <w:sz w:val="23"/>
          <w:szCs w:val="23"/>
        </w:rPr>
        <w:t>区域分布</w:t>
      </w:r>
    </w:p>
    <w:p w14:paraId="4953F65B"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目前，我国商业健保在各地的分布还很不均衡。</w:t>
      </w:r>
    </w:p>
    <w:p w14:paraId="351EE158"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2020年，我国商业健保保费收入最大的依次</w:t>
      </w:r>
      <w:r>
        <w:rPr>
          <w:rStyle w:val="ad"/>
          <w:rFonts w:ascii="微软雅黑" w:eastAsia="微软雅黑" w:hAnsi="微软雅黑"/>
          <w:color w:val="0A6EBF"/>
          <w:sz w:val="23"/>
          <w:szCs w:val="23"/>
        </w:rPr>
        <w:t>是广东、山东</w:t>
      </w:r>
      <w:r>
        <w:rPr>
          <w:rFonts w:ascii="微软雅黑" w:eastAsia="微软雅黑" w:hAnsi="微软雅黑"/>
          <w:sz w:val="23"/>
          <w:szCs w:val="23"/>
        </w:rPr>
        <w:t>，都超过了600亿元，分别为</w:t>
      </w:r>
      <w:r>
        <w:rPr>
          <w:rStyle w:val="ad"/>
          <w:rFonts w:ascii="微软雅黑" w:eastAsia="微软雅黑" w:hAnsi="微软雅黑"/>
          <w:color w:val="0A6EBF"/>
          <w:sz w:val="23"/>
          <w:szCs w:val="23"/>
        </w:rPr>
        <w:t>694亿元和609亿元</w:t>
      </w:r>
      <w:r>
        <w:rPr>
          <w:rFonts w:ascii="微软雅黑" w:eastAsia="微软雅黑" w:hAnsi="微软雅黑"/>
          <w:sz w:val="23"/>
          <w:szCs w:val="23"/>
        </w:rPr>
        <w:t>，这两个省也是人口最多、经济发达的地区。</w:t>
      </w:r>
    </w:p>
    <w:p w14:paraId="7CB7B01A"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超过400亿元的有4个省份，分别是</w:t>
      </w:r>
      <w:r>
        <w:rPr>
          <w:rStyle w:val="ad"/>
          <w:rFonts w:ascii="微软雅黑" w:eastAsia="微软雅黑" w:hAnsi="微软雅黑"/>
          <w:color w:val="0A6EBF"/>
          <w:sz w:val="23"/>
          <w:szCs w:val="23"/>
        </w:rPr>
        <w:t>江苏（586亿元）、河南（515亿元）、北京（462亿元）和四川（409亿元）</w:t>
      </w:r>
      <w:r>
        <w:rPr>
          <w:rFonts w:ascii="微软雅黑" w:eastAsia="微软雅黑" w:hAnsi="微软雅黑"/>
          <w:sz w:val="23"/>
          <w:szCs w:val="23"/>
        </w:rPr>
        <w:t>，上述6省份占了全国的43%。</w:t>
      </w:r>
    </w:p>
    <w:p w14:paraId="2DEBCC0F"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西藏最少，只有4亿元，不足100亿元的还有5个省份，即</w:t>
      </w:r>
      <w:r>
        <w:rPr>
          <w:rStyle w:val="ad"/>
          <w:rFonts w:ascii="微软雅黑" w:eastAsia="微软雅黑" w:hAnsi="微软雅黑"/>
          <w:color w:val="0A6EBF"/>
          <w:sz w:val="23"/>
          <w:szCs w:val="23"/>
        </w:rPr>
        <w:t>青海（17亿元）、海南（38亿元）、宁夏（40亿元）、贵州（84亿元）和甘肃（89亿元）。</w:t>
      </w:r>
      <w:r>
        <w:rPr>
          <w:rFonts w:ascii="微软雅黑" w:eastAsia="微软雅黑" w:hAnsi="微软雅黑"/>
          <w:sz w:val="23"/>
          <w:szCs w:val="23"/>
        </w:rPr>
        <w:t>（详见图三）</w:t>
      </w:r>
    </w:p>
    <w:p w14:paraId="4A00239B" w14:textId="77777777" w:rsidR="00E75D8B" w:rsidRDefault="00000000">
      <w:pPr>
        <w:ind w:firstLineChars="200" w:firstLine="460"/>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lastRenderedPageBreak/>
        <w:drawing>
          <wp:inline distT="0" distB="0" distL="0" distR="0" wp14:anchorId="0D680065" wp14:editId="69E3DB56">
            <wp:extent cx="4081780" cy="2724150"/>
            <wp:effectExtent l="0" t="0" r="0" b="0"/>
            <wp:docPr id="78" name="图片 78" descr="C:\Users\Administrator\Documents\WeChat Files\ppdeboke\FileStorage\Temp\e5ce6ae04ed07c53b89ba0a20282c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ocuments\WeChat Files\ppdeboke\FileStorage\Temp\e5ce6ae04ed07c53b89ba0a20282c04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083510" cy="2725287"/>
                    </a:xfrm>
                    <a:prstGeom prst="rect">
                      <a:avLst/>
                    </a:prstGeom>
                    <a:noFill/>
                    <a:ln>
                      <a:noFill/>
                    </a:ln>
                  </pic:spPr>
                </pic:pic>
              </a:graphicData>
            </a:graphic>
          </wp:inline>
        </w:drawing>
      </w:r>
    </w:p>
    <w:p w14:paraId="0262C814" w14:textId="77777777" w:rsidR="00E75D8B" w:rsidRDefault="00000000">
      <w:pPr>
        <w:pStyle w:val="af2"/>
        <w:numPr>
          <w:ilvl w:val="0"/>
          <w:numId w:val="7"/>
        </w:numPr>
        <w:ind w:firstLineChars="0"/>
        <w:rPr>
          <w:rStyle w:val="ad"/>
          <w:rFonts w:ascii="微软雅黑" w:eastAsia="微软雅黑" w:hAnsi="微软雅黑"/>
          <w:spacing w:val="8"/>
          <w:sz w:val="23"/>
          <w:szCs w:val="23"/>
        </w:rPr>
      </w:pPr>
      <w:r>
        <w:rPr>
          <w:rStyle w:val="ad"/>
          <w:rFonts w:ascii="微软雅黑" w:eastAsia="微软雅黑" w:hAnsi="微软雅黑"/>
          <w:spacing w:val="8"/>
          <w:sz w:val="23"/>
          <w:szCs w:val="23"/>
        </w:rPr>
        <w:t>机构分布</w:t>
      </w:r>
    </w:p>
    <w:p w14:paraId="22A267C8"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根据中国银行业监督管理委员会数据，开展商业健保的机构数量由2007年的62家增加到了2020年的158家，13年增加了1.5倍。（详见图四）</w:t>
      </w:r>
    </w:p>
    <w:p w14:paraId="4B742632"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6562585E" wp14:editId="08E4FE18">
            <wp:extent cx="3627755" cy="2448560"/>
            <wp:effectExtent l="0" t="0" r="0" b="8890"/>
            <wp:docPr id="79" name="图片 79" descr="C:\Users\Administrator\Documents\WeChat Files\ppdeboke\FileStorage\Temp\7801f4ae04736402fa95357817e14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Documents\WeChat Files\ppdeboke\FileStorage\Temp\7801f4ae04736402fa95357817e147e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28374" cy="2449211"/>
                    </a:xfrm>
                    <a:prstGeom prst="rect">
                      <a:avLst/>
                    </a:prstGeom>
                    <a:noFill/>
                    <a:ln>
                      <a:noFill/>
                    </a:ln>
                  </pic:spPr>
                </pic:pic>
              </a:graphicData>
            </a:graphic>
          </wp:inline>
        </w:drawing>
      </w:r>
    </w:p>
    <w:p w14:paraId="41EA2208"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04 密度、深度</w:t>
      </w:r>
    </w:p>
    <w:p w14:paraId="4E286CE4" w14:textId="77777777" w:rsidR="00E75D8B" w:rsidRDefault="00000000">
      <w:pPr>
        <w:pStyle w:val="af2"/>
        <w:numPr>
          <w:ilvl w:val="0"/>
          <w:numId w:val="8"/>
        </w:numPr>
        <w:ind w:firstLineChars="0"/>
        <w:rPr>
          <w:rStyle w:val="ad"/>
          <w:rFonts w:ascii="微软雅黑" w:eastAsia="微软雅黑" w:hAnsi="微软雅黑"/>
          <w:sz w:val="23"/>
          <w:szCs w:val="23"/>
        </w:rPr>
      </w:pPr>
      <w:r>
        <w:rPr>
          <w:rStyle w:val="ad"/>
          <w:rFonts w:ascii="微软雅黑" w:eastAsia="微软雅黑" w:hAnsi="微软雅黑"/>
          <w:sz w:val="23"/>
          <w:szCs w:val="23"/>
        </w:rPr>
        <w:t>国际差距</w:t>
      </w:r>
    </w:p>
    <w:p w14:paraId="7FE63473"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目前，我国的整体保险的深度和密度与发达国家相比还有一定差距。</w:t>
      </w:r>
    </w:p>
    <w:p w14:paraId="3D7726E0" w14:textId="77777777" w:rsidR="00E75D8B" w:rsidRDefault="00000000">
      <w:pPr>
        <w:ind w:firstLineChars="200" w:firstLine="460"/>
        <w:rPr>
          <w:rStyle w:val="ad"/>
          <w:rFonts w:ascii="微软雅黑" w:eastAsia="微软雅黑" w:hAnsi="微软雅黑"/>
          <w:color w:val="0A6EBF"/>
          <w:sz w:val="23"/>
          <w:szCs w:val="23"/>
        </w:rPr>
      </w:pPr>
      <w:r>
        <w:rPr>
          <w:rFonts w:ascii="微软雅黑" w:eastAsia="微软雅黑" w:hAnsi="微软雅黑"/>
          <w:sz w:val="23"/>
          <w:szCs w:val="23"/>
        </w:rPr>
        <w:t>2016年，</w:t>
      </w:r>
      <w:r>
        <w:rPr>
          <w:rStyle w:val="ad"/>
          <w:rFonts w:ascii="微软雅黑" w:eastAsia="微软雅黑" w:hAnsi="微软雅黑"/>
          <w:color w:val="0A6EBF"/>
          <w:sz w:val="23"/>
          <w:szCs w:val="23"/>
        </w:rPr>
        <w:t>美国、英国、日本、法国</w:t>
      </w:r>
      <w:r>
        <w:rPr>
          <w:rFonts w:ascii="微软雅黑" w:eastAsia="微软雅黑" w:hAnsi="微软雅黑"/>
          <w:sz w:val="23"/>
          <w:szCs w:val="23"/>
        </w:rPr>
        <w:t>等国保险的密度都超过了3000美元，分别高达</w:t>
      </w:r>
      <w:r>
        <w:rPr>
          <w:rStyle w:val="ad"/>
          <w:rFonts w:ascii="微软雅黑" w:eastAsia="微软雅黑" w:hAnsi="微软雅黑"/>
          <w:color w:val="0A6EBF"/>
          <w:sz w:val="23"/>
          <w:szCs w:val="23"/>
        </w:rPr>
        <w:t>4174美元、4064美元、3732美元和3395美元</w:t>
      </w:r>
      <w:r>
        <w:rPr>
          <w:rFonts w:ascii="微软雅黑" w:eastAsia="微软雅黑" w:hAnsi="微软雅黑"/>
          <w:sz w:val="23"/>
          <w:szCs w:val="23"/>
        </w:rPr>
        <w:t>，而我国的只有</w:t>
      </w:r>
      <w:r>
        <w:rPr>
          <w:rStyle w:val="ad"/>
          <w:rFonts w:ascii="微软雅黑" w:eastAsia="微软雅黑" w:hAnsi="微软雅黑"/>
          <w:color w:val="0A6EBF"/>
          <w:sz w:val="23"/>
          <w:szCs w:val="23"/>
        </w:rPr>
        <w:t>337美元，只有美国的8%。</w:t>
      </w:r>
    </w:p>
    <w:p w14:paraId="1F1B2609"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lastRenderedPageBreak/>
        <w:t>2016年，</w:t>
      </w:r>
      <w:r>
        <w:rPr>
          <w:rStyle w:val="ad"/>
          <w:rFonts w:ascii="微软雅黑" w:eastAsia="微软雅黑" w:hAnsi="微软雅黑"/>
          <w:color w:val="0A6EBF"/>
          <w:sz w:val="23"/>
          <w:szCs w:val="23"/>
        </w:rPr>
        <w:t>英国、日本、法国和美国</w:t>
      </w:r>
      <w:r>
        <w:rPr>
          <w:rFonts w:ascii="微软雅黑" w:eastAsia="微软雅黑" w:hAnsi="微软雅黑"/>
          <w:sz w:val="23"/>
          <w:szCs w:val="23"/>
        </w:rPr>
        <w:t>保险的深度都在7%以上，分别为1</w:t>
      </w:r>
      <w:r>
        <w:rPr>
          <w:rStyle w:val="ad"/>
          <w:rFonts w:ascii="微软雅黑" w:eastAsia="微软雅黑" w:hAnsi="微软雅黑"/>
          <w:color w:val="0A6EBF"/>
          <w:sz w:val="23"/>
          <w:szCs w:val="23"/>
        </w:rPr>
        <w:t>0.2%、9.5%、9.2%和7.3%</w:t>
      </w:r>
      <w:r>
        <w:rPr>
          <w:rFonts w:ascii="微软雅黑" w:eastAsia="微软雅黑" w:hAnsi="微软雅黑"/>
          <w:sz w:val="23"/>
          <w:szCs w:val="23"/>
        </w:rPr>
        <w:t>，而我国的</w:t>
      </w:r>
      <w:r>
        <w:rPr>
          <w:rStyle w:val="ad"/>
          <w:rFonts w:ascii="微软雅黑" w:eastAsia="微软雅黑" w:hAnsi="微软雅黑"/>
          <w:color w:val="0A6EBF"/>
          <w:sz w:val="23"/>
          <w:szCs w:val="23"/>
        </w:rPr>
        <w:t>只有4.1%。</w:t>
      </w:r>
      <w:r>
        <w:rPr>
          <w:rFonts w:ascii="微软雅黑" w:eastAsia="微软雅黑" w:hAnsi="微软雅黑"/>
          <w:sz w:val="23"/>
          <w:szCs w:val="23"/>
        </w:rPr>
        <w:t>（详见图五）</w:t>
      </w:r>
    </w:p>
    <w:p w14:paraId="6F8EE5C2"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53F4A06E" wp14:editId="6ABB8143">
            <wp:extent cx="3884295" cy="2612390"/>
            <wp:effectExtent l="0" t="0" r="1905" b="0"/>
            <wp:docPr id="80" name="图片 80" descr="C:\Users\Administrator\Documents\WeChat Files\ppdeboke\FileStorage\Temp\886dc10bd3a8a3df98e3efb7f8379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strator\Documents\WeChat Files\ppdeboke\FileStorage\Temp\886dc10bd3a8a3df98e3efb7f83793d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84409" cy="2612485"/>
                    </a:xfrm>
                    <a:prstGeom prst="rect">
                      <a:avLst/>
                    </a:prstGeom>
                    <a:noFill/>
                    <a:ln>
                      <a:noFill/>
                    </a:ln>
                  </pic:spPr>
                </pic:pic>
              </a:graphicData>
            </a:graphic>
          </wp:inline>
        </w:drawing>
      </w:r>
    </w:p>
    <w:p w14:paraId="5811300C"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我国的保险发展潜力很大。</w:t>
      </w:r>
    </w:p>
    <w:p w14:paraId="266D1DD8"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注：保险密度=某地区当年保险收入/某地区当年常驻人口数，即按限定的统计区域内常住人口平均保险费的数额。   </w:t>
      </w:r>
      <w:r>
        <w:rPr>
          <w:rFonts w:ascii="微软雅黑" w:eastAsia="微软雅黑" w:hAnsi="微软雅黑"/>
          <w:spacing w:val="8"/>
          <w:sz w:val="23"/>
          <w:szCs w:val="23"/>
        </w:rPr>
        <w:t>保险深度=某地保费收入/国内生产总值，即某地保费收入占该地国内生产总值（GDP）之比。</w:t>
      </w:r>
      <w:r>
        <w:rPr>
          <w:rFonts w:ascii="微软雅黑" w:eastAsia="微软雅黑" w:hAnsi="微软雅黑"/>
          <w:sz w:val="23"/>
          <w:szCs w:val="23"/>
        </w:rPr>
        <w:t> </w:t>
      </w:r>
    </w:p>
    <w:p w14:paraId="431EA702" w14:textId="77777777" w:rsidR="00E75D8B" w:rsidRDefault="00000000">
      <w:pPr>
        <w:pStyle w:val="af2"/>
        <w:numPr>
          <w:ilvl w:val="0"/>
          <w:numId w:val="8"/>
        </w:numPr>
        <w:ind w:firstLineChars="0"/>
        <w:rPr>
          <w:rStyle w:val="ad"/>
          <w:rFonts w:ascii="微软雅黑" w:eastAsia="微软雅黑" w:hAnsi="微软雅黑"/>
          <w:sz w:val="23"/>
          <w:szCs w:val="23"/>
        </w:rPr>
      </w:pPr>
      <w:r>
        <w:rPr>
          <w:rStyle w:val="ad"/>
          <w:rFonts w:ascii="微软雅黑" w:eastAsia="微软雅黑" w:hAnsi="微软雅黑"/>
          <w:sz w:val="23"/>
          <w:szCs w:val="23"/>
        </w:rPr>
        <w:t>进步很快</w:t>
      </w:r>
    </w:p>
    <w:p w14:paraId="09F9D2C5" w14:textId="77777777" w:rsidR="00E75D8B" w:rsidRDefault="00000000">
      <w:pPr>
        <w:ind w:firstLineChars="200" w:firstLine="460"/>
        <w:rPr>
          <w:rStyle w:val="ad"/>
          <w:rFonts w:ascii="微软雅黑" w:eastAsia="微软雅黑" w:hAnsi="微软雅黑"/>
          <w:color w:val="0A6EBF"/>
          <w:sz w:val="23"/>
          <w:szCs w:val="23"/>
        </w:rPr>
      </w:pPr>
      <w:r>
        <w:rPr>
          <w:rFonts w:ascii="微软雅黑" w:eastAsia="微软雅黑" w:hAnsi="微软雅黑"/>
          <w:sz w:val="23"/>
          <w:szCs w:val="23"/>
        </w:rPr>
        <w:t>尽管与发达国家还有一定差距，但近年来我国商业健保的发展也很快，我国商业健保的密度由2011年的51元增加到了2020年的582元，</w:t>
      </w:r>
      <w:r>
        <w:rPr>
          <w:rStyle w:val="ad"/>
          <w:rFonts w:ascii="微软雅黑" w:eastAsia="微软雅黑" w:hAnsi="微软雅黑"/>
          <w:color w:val="0A6EBF"/>
          <w:sz w:val="23"/>
          <w:szCs w:val="23"/>
        </w:rPr>
        <w:t>9年增长了10倍。</w:t>
      </w:r>
    </w:p>
    <w:p w14:paraId="50177747" w14:textId="77777777" w:rsidR="00E75D8B" w:rsidRDefault="00000000">
      <w:pPr>
        <w:rPr>
          <w:rFonts w:ascii="微软雅黑" w:eastAsia="微软雅黑" w:hAnsi="微软雅黑"/>
          <w:sz w:val="23"/>
          <w:szCs w:val="23"/>
        </w:rPr>
      </w:pPr>
      <w:r>
        <w:rPr>
          <w:rFonts w:ascii="微软雅黑" w:eastAsia="微软雅黑" w:hAnsi="微软雅黑"/>
          <w:sz w:val="23"/>
          <w:szCs w:val="23"/>
        </w:rPr>
        <w:t>我国商业健保的深度也</w:t>
      </w:r>
      <w:r>
        <w:rPr>
          <w:rStyle w:val="ad"/>
          <w:rFonts w:ascii="微软雅黑" w:eastAsia="微软雅黑" w:hAnsi="微软雅黑"/>
          <w:color w:val="0A6EBF"/>
          <w:sz w:val="23"/>
          <w:szCs w:val="23"/>
        </w:rPr>
        <w:t>由2013年的0.19%增加到了2020年的0.8%。</w:t>
      </w:r>
      <w:r>
        <w:rPr>
          <w:rFonts w:ascii="微软雅黑" w:eastAsia="微软雅黑" w:hAnsi="微软雅黑"/>
          <w:sz w:val="23"/>
          <w:szCs w:val="23"/>
        </w:rPr>
        <w:t>（详见图六）</w:t>
      </w:r>
    </w:p>
    <w:p w14:paraId="2F47C2F9"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365AD75C" wp14:editId="5604AD1A">
            <wp:extent cx="3664585" cy="1916430"/>
            <wp:effectExtent l="0" t="0" r="0" b="7620"/>
            <wp:docPr id="81" name="图片 81" descr="C:\Users\Administrator\Documents\WeChat Files\ppdeboke\FileStorage\Temp\e9ccfde5abf2314a8c79546780c66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Documents\WeChat Files\ppdeboke\FileStorage\Temp\e9ccfde5abf2314a8c79546780c66c9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679303" cy="1924106"/>
                    </a:xfrm>
                    <a:prstGeom prst="rect">
                      <a:avLst/>
                    </a:prstGeom>
                    <a:noFill/>
                    <a:ln>
                      <a:noFill/>
                    </a:ln>
                  </pic:spPr>
                </pic:pic>
              </a:graphicData>
            </a:graphic>
          </wp:inline>
        </w:drawing>
      </w:r>
    </w:p>
    <w:p w14:paraId="6F0F9EAD" w14:textId="77777777" w:rsidR="00E75D8B" w:rsidRDefault="00000000">
      <w:pPr>
        <w:widowControl/>
        <w:ind w:firstLineChars="200" w:firstLine="460"/>
        <w:jc w:val="left"/>
        <w:rPr>
          <w:rFonts w:ascii="微软雅黑" w:eastAsia="微软雅黑" w:hAnsi="微软雅黑" w:cs="宋体"/>
          <w:b/>
          <w:bCs/>
          <w:color w:val="0A6EBF"/>
          <w:kern w:val="0"/>
          <w:sz w:val="23"/>
          <w:szCs w:val="23"/>
        </w:rPr>
      </w:pPr>
      <w:r>
        <w:rPr>
          <w:rFonts w:ascii="微软雅黑" w:eastAsia="微软雅黑" w:hAnsi="微软雅黑" w:cs="宋体"/>
          <w:kern w:val="0"/>
          <w:sz w:val="23"/>
          <w:szCs w:val="23"/>
        </w:rPr>
        <w:lastRenderedPageBreak/>
        <w:t>二十大的召开，必将推动我国商业健保以更快的速度发展。2020年银保监会等13部门联合发布的《关于促进社会服务领域商业保险发展的意见》预计，健康险市场规模力争</w:t>
      </w:r>
      <w:r>
        <w:rPr>
          <w:rFonts w:ascii="微软雅黑" w:eastAsia="微软雅黑" w:hAnsi="微软雅黑" w:cs="宋体"/>
          <w:b/>
          <w:bCs/>
          <w:color w:val="0A6EBF"/>
          <w:kern w:val="0"/>
          <w:sz w:val="23"/>
          <w:szCs w:val="23"/>
        </w:rPr>
        <w:t>5年后超过2万亿元。</w:t>
      </w:r>
    </w:p>
    <w:p w14:paraId="454732FB" w14:textId="77777777" w:rsidR="00E75D8B" w:rsidRDefault="00000000">
      <w:pPr>
        <w:widowControl/>
        <w:ind w:firstLineChars="200" w:firstLine="460"/>
        <w:jc w:val="left"/>
        <w:rPr>
          <w:rFonts w:ascii="微软雅黑" w:eastAsia="微软雅黑" w:hAnsi="微软雅黑" w:cs="宋体"/>
          <w:kern w:val="0"/>
          <w:sz w:val="23"/>
          <w:szCs w:val="23"/>
        </w:rPr>
      </w:pPr>
      <w:r>
        <w:rPr>
          <w:rFonts w:ascii="微软雅黑" w:eastAsia="微软雅黑" w:hAnsi="微软雅黑" w:cs="宋体"/>
          <w:kern w:val="0"/>
          <w:sz w:val="23"/>
          <w:szCs w:val="23"/>
        </w:rPr>
        <w:t>《关于促进社会服务领域商业保险发展的意见》指出：第一，进一步深化保险机构体制机制改革。比较而言，可降低保险公司运营管理成本，提高保险公司承保能力；第二，加大保险产品创新，增加保险产品供给能力。更多通过科技赋能来推动商业健康保险的创新；第三，加大对外开放。中国商业保险发展历史比较短，通过扩大对外开放，可引进先进的管理经验、先进技术和优秀人才；第四，积极争取政策支持。近几年来，国家对商业保险提供了很多政策支持，下一步要继续把这些政策用好，同时积极争取其他方面的政策支持。</w:t>
      </w:r>
    </w:p>
    <w:p w14:paraId="577BA2D2" w14:textId="77777777" w:rsidR="00E75D8B" w:rsidRDefault="00000000">
      <w:pPr>
        <w:widowControl/>
        <w:jc w:val="center"/>
        <w:rPr>
          <w:rFonts w:ascii="微软雅黑" w:eastAsia="微软雅黑" w:hAnsi="微软雅黑" w:cs="宋体"/>
          <w:b/>
          <w:bCs/>
          <w:color w:val="0A6EBF"/>
          <w:spacing w:val="8"/>
          <w:kern w:val="0"/>
          <w:sz w:val="23"/>
          <w:szCs w:val="23"/>
        </w:rPr>
      </w:pPr>
      <w:r>
        <w:rPr>
          <w:rFonts w:ascii="微软雅黑" w:eastAsia="微软雅黑" w:hAnsi="微软雅黑" w:cs="宋体" w:hint="eastAsia"/>
          <w:b/>
          <w:bCs/>
          <w:color w:val="0A6EBF"/>
          <w:spacing w:val="8"/>
          <w:kern w:val="0"/>
          <w:sz w:val="23"/>
          <w:szCs w:val="23"/>
        </w:rPr>
        <w:t>第五篇、中医药</w:t>
      </w:r>
    </w:p>
    <w:p w14:paraId="3D2231C0" w14:textId="77777777" w:rsidR="00E75D8B" w:rsidRDefault="00000000">
      <w:pPr>
        <w:widowControl/>
        <w:jc w:val="left"/>
        <w:rPr>
          <w:rFonts w:ascii="微软雅黑" w:eastAsia="微软雅黑" w:hAnsi="微软雅黑" w:cs="宋体"/>
          <w:b/>
          <w:bCs/>
          <w:color w:val="0A6EBF"/>
          <w:kern w:val="0"/>
          <w:sz w:val="23"/>
          <w:szCs w:val="23"/>
        </w:rPr>
      </w:pPr>
      <w:r>
        <w:rPr>
          <w:rFonts w:ascii="微软雅黑" w:eastAsia="微软雅黑" w:hAnsi="微软雅黑" w:cs="宋体"/>
          <w:b/>
          <w:bCs/>
          <w:color w:val="0A6EBF"/>
          <w:kern w:val="0"/>
          <w:sz w:val="23"/>
          <w:szCs w:val="23"/>
        </w:rPr>
        <w:t>二十大报告指出“促进中医药传承创新发展”。</w:t>
      </w:r>
    </w:p>
    <w:p w14:paraId="63DB55F5" w14:textId="77777777" w:rsidR="00E75D8B" w:rsidRDefault="00000000">
      <w:pPr>
        <w:widowControl/>
        <w:jc w:val="left"/>
        <w:rPr>
          <w:rFonts w:ascii="微软雅黑" w:eastAsia="微软雅黑" w:hAnsi="微软雅黑" w:cs="宋体"/>
          <w:kern w:val="0"/>
          <w:sz w:val="23"/>
          <w:szCs w:val="23"/>
        </w:rPr>
      </w:pPr>
      <w:r>
        <w:rPr>
          <w:rFonts w:ascii="微软雅黑" w:eastAsia="微软雅黑" w:hAnsi="微软雅黑" w:cs="宋体"/>
          <w:kern w:val="0"/>
          <w:sz w:val="23"/>
          <w:szCs w:val="23"/>
        </w:rPr>
        <w:t>本文将从传承、创新两个方面进行解读。</w:t>
      </w:r>
    </w:p>
    <w:p w14:paraId="707D9595" w14:textId="77777777" w:rsidR="00E75D8B" w:rsidRDefault="00000000">
      <w:pPr>
        <w:widowControl/>
        <w:shd w:val="clear" w:color="auto" w:fill="FFFFFF"/>
        <w:outlineLvl w:val="1"/>
        <w:rPr>
          <w:rFonts w:ascii="微软雅黑" w:eastAsia="微软雅黑" w:hAnsi="微软雅黑" w:cs="宋体"/>
          <w:color w:val="222222"/>
          <w:spacing w:val="8"/>
          <w:kern w:val="0"/>
          <w:sz w:val="23"/>
          <w:szCs w:val="23"/>
        </w:rPr>
      </w:pPr>
      <w:r>
        <w:rPr>
          <w:rFonts w:ascii="微软雅黑" w:eastAsia="微软雅黑" w:hAnsi="微软雅黑" w:cs="宋体" w:hint="eastAsia"/>
          <w:b/>
          <w:bCs/>
          <w:color w:val="0A6EBF"/>
          <w:spacing w:val="8"/>
          <w:kern w:val="0"/>
          <w:sz w:val="23"/>
          <w:szCs w:val="23"/>
        </w:rPr>
        <w:t>01 传承</w:t>
      </w:r>
    </w:p>
    <w:p w14:paraId="1CE05F74"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我国中医药文化历史悠久，博大精深，几千年来，经过各种各样的方式、渠道才传承至今，现择其部分阐释如下。</w:t>
      </w:r>
    </w:p>
    <w:p w14:paraId="66BAB563" w14:textId="77777777" w:rsidR="00E75D8B" w:rsidRDefault="00000000">
      <w:pPr>
        <w:pStyle w:val="af2"/>
        <w:numPr>
          <w:ilvl w:val="0"/>
          <w:numId w:val="9"/>
        </w:numPr>
        <w:ind w:firstLineChars="0"/>
        <w:rPr>
          <w:rFonts w:ascii="微软雅黑" w:eastAsia="微软雅黑" w:hAnsi="微软雅黑" w:cs="宋体"/>
          <w:b/>
          <w:bCs/>
          <w:kern w:val="0"/>
          <w:sz w:val="23"/>
          <w:szCs w:val="23"/>
        </w:rPr>
      </w:pPr>
      <w:r>
        <w:rPr>
          <w:rFonts w:ascii="微软雅黑" w:eastAsia="微软雅黑" w:hAnsi="微软雅黑" w:cs="宋体"/>
          <w:b/>
          <w:bCs/>
          <w:kern w:val="0"/>
          <w:sz w:val="23"/>
          <w:szCs w:val="23"/>
        </w:rPr>
        <w:t>非遗</w:t>
      </w:r>
    </w:p>
    <w:p w14:paraId="23CD8569"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b/>
          <w:bCs/>
          <w:color w:val="0A6EBF"/>
          <w:kern w:val="0"/>
          <w:sz w:val="23"/>
          <w:szCs w:val="23"/>
        </w:rPr>
        <w:t>中医针灸、藏医药浴法、太极拳</w:t>
      </w:r>
      <w:r>
        <w:rPr>
          <w:rFonts w:ascii="微软雅黑" w:eastAsia="微软雅黑" w:hAnsi="微软雅黑" w:cs="宋体"/>
          <w:kern w:val="0"/>
          <w:sz w:val="23"/>
          <w:szCs w:val="23"/>
        </w:rPr>
        <w:t>先后被联合国教科文组织纳入</w:t>
      </w:r>
      <w:r>
        <w:rPr>
          <w:rFonts w:ascii="微软雅黑" w:eastAsia="微软雅黑" w:hAnsi="微软雅黑" w:cs="宋体"/>
          <w:b/>
          <w:bCs/>
          <w:color w:val="0A6EBF"/>
          <w:kern w:val="0"/>
          <w:sz w:val="23"/>
          <w:szCs w:val="23"/>
        </w:rPr>
        <w:t>人类非物质文化遗产代表作名录</w:t>
      </w:r>
      <w:r>
        <w:rPr>
          <w:rFonts w:ascii="微软雅黑" w:eastAsia="微软雅黑" w:hAnsi="微软雅黑" w:cs="宋体"/>
          <w:kern w:val="0"/>
          <w:sz w:val="23"/>
          <w:szCs w:val="23"/>
        </w:rPr>
        <w:t>，</w:t>
      </w:r>
      <w:r>
        <w:rPr>
          <w:rFonts w:ascii="微软雅黑" w:eastAsia="微软雅黑" w:hAnsi="微软雅黑" w:cs="宋体"/>
          <w:b/>
          <w:bCs/>
          <w:color w:val="0A6EBF"/>
          <w:kern w:val="0"/>
          <w:sz w:val="23"/>
          <w:szCs w:val="23"/>
        </w:rPr>
        <w:t>《黄帝内经》和《本草纲目》</w:t>
      </w:r>
      <w:r>
        <w:rPr>
          <w:rFonts w:ascii="微软雅黑" w:eastAsia="微软雅黑" w:hAnsi="微软雅黑" w:cs="宋体"/>
          <w:kern w:val="0"/>
          <w:sz w:val="23"/>
          <w:szCs w:val="23"/>
        </w:rPr>
        <w:t>被纳入</w:t>
      </w:r>
      <w:r>
        <w:rPr>
          <w:rFonts w:ascii="微软雅黑" w:eastAsia="微软雅黑" w:hAnsi="微软雅黑" w:cs="宋体"/>
          <w:b/>
          <w:bCs/>
          <w:color w:val="0A6EBF"/>
          <w:kern w:val="0"/>
          <w:sz w:val="23"/>
          <w:szCs w:val="23"/>
        </w:rPr>
        <w:t>世界记忆名录</w:t>
      </w:r>
      <w:r>
        <w:rPr>
          <w:rFonts w:ascii="微软雅黑" w:eastAsia="微软雅黑" w:hAnsi="微软雅黑" w:cs="宋体"/>
          <w:kern w:val="0"/>
          <w:sz w:val="23"/>
          <w:szCs w:val="23"/>
        </w:rPr>
        <w:t>，我国中医药不断被国际认可，为中医药文化的传承和传播起到了巨大的推动作用。</w:t>
      </w:r>
    </w:p>
    <w:p w14:paraId="1E83DCF2" w14:textId="77777777" w:rsidR="00E75D8B" w:rsidRDefault="00000000">
      <w:pPr>
        <w:pStyle w:val="af2"/>
        <w:numPr>
          <w:ilvl w:val="0"/>
          <w:numId w:val="9"/>
        </w:numPr>
        <w:ind w:firstLineChars="0"/>
        <w:rPr>
          <w:rFonts w:ascii="微软雅黑" w:eastAsia="微软雅黑" w:hAnsi="微软雅黑" w:cs="宋体"/>
          <w:b/>
          <w:bCs/>
          <w:kern w:val="0"/>
          <w:sz w:val="23"/>
          <w:szCs w:val="23"/>
        </w:rPr>
      </w:pPr>
      <w:r>
        <w:rPr>
          <w:rFonts w:ascii="微软雅黑" w:eastAsia="微软雅黑" w:hAnsi="微软雅黑" w:cs="宋体"/>
          <w:b/>
          <w:bCs/>
          <w:kern w:val="0"/>
          <w:sz w:val="23"/>
          <w:szCs w:val="23"/>
        </w:rPr>
        <w:t>博物馆</w:t>
      </w:r>
    </w:p>
    <w:p w14:paraId="43BFF48C"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中医药（含民族医药）博物馆是中医药文化的重要传承载体，全国各地都建有</w:t>
      </w:r>
      <w:r>
        <w:rPr>
          <w:rFonts w:ascii="微软雅黑" w:eastAsia="微软雅黑" w:hAnsi="微软雅黑" w:cs="宋体"/>
          <w:kern w:val="0"/>
          <w:sz w:val="23"/>
          <w:szCs w:val="23"/>
        </w:rPr>
        <w:lastRenderedPageBreak/>
        <w:t>很多中医药博物馆。</w:t>
      </w:r>
    </w:p>
    <w:p w14:paraId="36158763"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kern w:val="0"/>
          <w:sz w:val="23"/>
          <w:szCs w:val="23"/>
        </w:rPr>
        <w:t>较知名的如</w:t>
      </w:r>
      <w:r>
        <w:rPr>
          <w:rFonts w:ascii="微软雅黑" w:eastAsia="微软雅黑" w:hAnsi="微软雅黑" w:cs="宋体"/>
          <w:b/>
          <w:bCs/>
          <w:color w:val="0A6EBF"/>
          <w:kern w:val="0"/>
          <w:sz w:val="23"/>
          <w:szCs w:val="23"/>
        </w:rPr>
        <w:t>北京同仁堂博物馆</w:t>
      </w:r>
      <w:r>
        <w:rPr>
          <w:rFonts w:ascii="微软雅黑" w:eastAsia="微软雅黑" w:hAnsi="微软雅黑" w:cs="宋体"/>
          <w:kern w:val="0"/>
          <w:sz w:val="23"/>
          <w:szCs w:val="23"/>
        </w:rPr>
        <w:t>，位于北京市崇文门商圈内东兴隆街的一个四合院，曾是清代太监李连英的住宅，由历经188年为8代皇帝供奉御药的北京同仁堂集团所建，博物馆藏品丰富，镇馆之宝为</w:t>
      </w:r>
      <w:r>
        <w:rPr>
          <w:rFonts w:ascii="微软雅黑" w:eastAsia="微软雅黑" w:hAnsi="微软雅黑" w:cs="宋体"/>
          <w:b/>
          <w:bCs/>
          <w:color w:val="0A6EBF"/>
          <w:kern w:val="0"/>
          <w:sz w:val="23"/>
          <w:szCs w:val="23"/>
        </w:rPr>
        <w:t>明针灸腧穴铜人</w:t>
      </w:r>
      <w:r>
        <w:rPr>
          <w:rFonts w:ascii="微软雅黑" w:eastAsia="微软雅黑" w:hAnsi="微软雅黑" w:cs="宋体"/>
          <w:kern w:val="0"/>
          <w:sz w:val="23"/>
          <w:szCs w:val="23"/>
        </w:rPr>
        <w:t>，系乐家祖传。</w:t>
      </w:r>
    </w:p>
    <w:p w14:paraId="72F7A359"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b/>
          <w:bCs/>
          <w:color w:val="0A6EBF"/>
          <w:kern w:val="0"/>
          <w:sz w:val="23"/>
          <w:szCs w:val="23"/>
        </w:rPr>
        <w:t>陈李济博物馆</w:t>
      </w:r>
      <w:r>
        <w:rPr>
          <w:rFonts w:ascii="微软雅黑" w:eastAsia="微软雅黑" w:hAnsi="微软雅黑" w:cs="宋体"/>
          <w:kern w:val="0"/>
          <w:sz w:val="23"/>
          <w:szCs w:val="23"/>
        </w:rPr>
        <w:t>位于广州市海珠区广州大道南1688号，占地2000多平米，由具有400多年历史的“广州陈李济药厂”建立，是岭南地区首家中药行业博物馆，</w:t>
      </w:r>
      <w:r>
        <w:rPr>
          <w:rFonts w:ascii="微软雅黑" w:eastAsia="微软雅黑" w:hAnsi="微软雅黑" w:cs="宋体"/>
          <w:b/>
          <w:bCs/>
          <w:color w:val="0A6EBF"/>
          <w:kern w:val="0"/>
          <w:sz w:val="23"/>
          <w:szCs w:val="23"/>
        </w:rPr>
        <w:t>百年陈皮</w:t>
      </w:r>
      <w:r>
        <w:rPr>
          <w:rFonts w:ascii="微软雅黑" w:eastAsia="微软雅黑" w:hAnsi="微软雅黑" w:cs="宋体"/>
          <w:kern w:val="0"/>
          <w:sz w:val="23"/>
          <w:szCs w:val="23"/>
        </w:rPr>
        <w:t>是镇馆之宝，陈李济首创的</w:t>
      </w:r>
      <w:r>
        <w:rPr>
          <w:rFonts w:ascii="微软雅黑" w:eastAsia="微软雅黑" w:hAnsi="微软雅黑" w:cs="宋体"/>
          <w:b/>
          <w:bCs/>
          <w:color w:val="0A6EBF"/>
          <w:kern w:val="0"/>
          <w:sz w:val="23"/>
          <w:szCs w:val="23"/>
        </w:rPr>
        <w:t>蜡壳包装工艺</w:t>
      </w:r>
      <w:r>
        <w:rPr>
          <w:rFonts w:ascii="微软雅黑" w:eastAsia="微软雅黑" w:hAnsi="微软雅黑" w:cs="宋体"/>
          <w:kern w:val="0"/>
          <w:sz w:val="23"/>
          <w:szCs w:val="23"/>
        </w:rPr>
        <w:t>颇具特色。</w:t>
      </w:r>
    </w:p>
    <w:p w14:paraId="21428AFD"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b/>
          <w:bCs/>
          <w:color w:val="0A6EBF"/>
          <w:kern w:val="0"/>
          <w:sz w:val="23"/>
          <w:szCs w:val="23"/>
        </w:rPr>
        <w:t>上海中医药博物馆</w:t>
      </w:r>
      <w:r>
        <w:rPr>
          <w:rFonts w:ascii="微软雅黑" w:eastAsia="微软雅黑" w:hAnsi="微软雅黑" w:cs="宋体"/>
          <w:kern w:val="0"/>
          <w:sz w:val="23"/>
          <w:szCs w:val="23"/>
        </w:rPr>
        <w:t>即建在上海中医药大学院内，镇馆之宝为</w:t>
      </w:r>
      <w:r>
        <w:rPr>
          <w:rFonts w:ascii="微软雅黑" w:eastAsia="微软雅黑" w:hAnsi="微软雅黑" w:cs="宋体"/>
          <w:b/>
          <w:bCs/>
          <w:color w:val="0A6EBF"/>
          <w:kern w:val="0"/>
          <w:sz w:val="23"/>
          <w:szCs w:val="23"/>
        </w:rPr>
        <w:t>乾隆九年御制针灸铜人</w:t>
      </w:r>
      <w:r>
        <w:rPr>
          <w:rFonts w:ascii="微软雅黑" w:eastAsia="微软雅黑" w:hAnsi="微软雅黑" w:cs="宋体"/>
          <w:kern w:val="0"/>
          <w:sz w:val="23"/>
          <w:szCs w:val="23"/>
        </w:rPr>
        <w:t>，还有</w:t>
      </w:r>
      <w:r>
        <w:rPr>
          <w:rFonts w:ascii="微软雅黑" w:eastAsia="微软雅黑" w:hAnsi="微软雅黑" w:cs="宋体"/>
          <w:b/>
          <w:bCs/>
          <w:color w:val="0A6EBF"/>
          <w:kern w:val="0"/>
          <w:sz w:val="23"/>
          <w:szCs w:val="23"/>
        </w:rPr>
        <w:t>马王堆汉墓医书</w:t>
      </w:r>
      <w:r>
        <w:rPr>
          <w:rFonts w:ascii="微软雅黑" w:eastAsia="微软雅黑" w:hAnsi="微软雅黑" w:cs="宋体"/>
          <w:kern w:val="0"/>
          <w:sz w:val="23"/>
          <w:szCs w:val="23"/>
        </w:rPr>
        <w:t>等。</w:t>
      </w:r>
    </w:p>
    <w:p w14:paraId="10DAD6EB"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b/>
          <w:bCs/>
          <w:color w:val="0A6EBF"/>
          <w:kern w:val="0"/>
          <w:sz w:val="23"/>
          <w:szCs w:val="23"/>
        </w:rPr>
        <w:t>藏医药文化博物馆</w:t>
      </w:r>
      <w:r>
        <w:rPr>
          <w:rFonts w:ascii="微软雅黑" w:eastAsia="微软雅黑" w:hAnsi="微软雅黑" w:cs="宋体"/>
          <w:kern w:val="0"/>
          <w:sz w:val="23"/>
          <w:szCs w:val="23"/>
        </w:rPr>
        <w:t>位于青海省会西宁市，镇馆之宝为载入吉尼斯世界纪录的</w:t>
      </w:r>
      <w:r>
        <w:rPr>
          <w:rFonts w:ascii="微软雅黑" w:eastAsia="微软雅黑" w:hAnsi="微软雅黑" w:cs="宋体"/>
          <w:b/>
          <w:bCs/>
          <w:color w:val="0A6EBF"/>
          <w:kern w:val="0"/>
          <w:sz w:val="23"/>
          <w:szCs w:val="23"/>
        </w:rPr>
        <w:t>618米长唐卡《中国藏族文化艺术彩绘大观》</w:t>
      </w:r>
      <w:r>
        <w:rPr>
          <w:rFonts w:ascii="微软雅黑" w:eastAsia="微软雅黑" w:hAnsi="微软雅黑" w:cs="宋体"/>
          <w:kern w:val="0"/>
          <w:sz w:val="23"/>
          <w:szCs w:val="23"/>
        </w:rPr>
        <w:t>。</w:t>
      </w:r>
    </w:p>
    <w:p w14:paraId="3673A207" w14:textId="77777777" w:rsidR="00E75D8B" w:rsidRDefault="00000000">
      <w:pPr>
        <w:ind w:firstLineChars="200" w:firstLine="460"/>
        <w:rPr>
          <w:rFonts w:ascii="微软雅黑" w:eastAsia="微软雅黑" w:hAnsi="微软雅黑" w:cs="宋体"/>
          <w:kern w:val="0"/>
          <w:sz w:val="23"/>
          <w:szCs w:val="23"/>
        </w:rPr>
      </w:pPr>
      <w:r>
        <w:rPr>
          <w:rFonts w:ascii="微软雅黑" w:eastAsia="微软雅黑" w:hAnsi="微软雅黑" w:cs="宋体"/>
          <w:b/>
          <w:bCs/>
          <w:color w:val="0A6EBF"/>
          <w:kern w:val="0"/>
          <w:sz w:val="23"/>
          <w:szCs w:val="23"/>
        </w:rPr>
        <w:t>内蒙古博物院</w:t>
      </w:r>
      <w:r>
        <w:rPr>
          <w:rFonts w:ascii="微软雅黑" w:eastAsia="微软雅黑" w:hAnsi="微软雅黑" w:cs="宋体"/>
          <w:kern w:val="0"/>
          <w:sz w:val="23"/>
          <w:szCs w:val="23"/>
        </w:rPr>
        <w:t>位于内蒙古首府呼和浩特，2008年由内蒙古博物馆改名而来，镇馆之宝为战国时期的</w:t>
      </w:r>
      <w:r>
        <w:rPr>
          <w:rFonts w:ascii="微软雅黑" w:eastAsia="微软雅黑" w:hAnsi="微软雅黑" w:cs="宋体"/>
          <w:b/>
          <w:bCs/>
          <w:color w:val="0A6EBF"/>
          <w:kern w:val="0"/>
          <w:sz w:val="23"/>
          <w:szCs w:val="23"/>
        </w:rPr>
        <w:t>匈奴王金冠</w:t>
      </w:r>
      <w:r>
        <w:rPr>
          <w:rFonts w:ascii="微软雅黑" w:eastAsia="微软雅黑" w:hAnsi="微软雅黑" w:cs="宋体"/>
          <w:kern w:val="0"/>
          <w:sz w:val="23"/>
          <w:szCs w:val="23"/>
        </w:rPr>
        <w:t>。（详见图一）</w:t>
      </w:r>
    </w:p>
    <w:p w14:paraId="0D1BCA47"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0C719FA1" wp14:editId="7E05AD84">
            <wp:extent cx="4260850" cy="2867025"/>
            <wp:effectExtent l="0" t="0" r="6350" b="9525"/>
            <wp:docPr id="82" name="图片 82" descr="C:\Users\Administrator\Documents\WeChat Files\ppdeboke\FileStorage\Temp\da6464911c2b351cc3b9c662030ce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ocuments\WeChat Files\ppdeboke\FileStorage\Temp\da6464911c2b351cc3b9c662030ceda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61301" cy="2867815"/>
                    </a:xfrm>
                    <a:prstGeom prst="rect">
                      <a:avLst/>
                    </a:prstGeom>
                    <a:noFill/>
                    <a:ln>
                      <a:noFill/>
                    </a:ln>
                  </pic:spPr>
                </pic:pic>
              </a:graphicData>
            </a:graphic>
          </wp:inline>
        </w:drawing>
      </w:r>
    </w:p>
    <w:p w14:paraId="7E2BB033" w14:textId="77777777" w:rsidR="00E75D8B" w:rsidRDefault="00000000">
      <w:pPr>
        <w:pStyle w:val="af2"/>
        <w:numPr>
          <w:ilvl w:val="0"/>
          <w:numId w:val="9"/>
        </w:numPr>
        <w:ind w:firstLineChars="0"/>
        <w:rPr>
          <w:rFonts w:ascii="微软雅黑" w:eastAsia="微软雅黑" w:hAnsi="微软雅黑"/>
          <w:sz w:val="23"/>
          <w:szCs w:val="23"/>
        </w:rPr>
      </w:pPr>
      <w:r>
        <w:rPr>
          <w:rStyle w:val="ad"/>
          <w:rFonts w:ascii="微软雅黑" w:eastAsia="微软雅黑" w:hAnsi="微软雅黑"/>
          <w:sz w:val="23"/>
          <w:szCs w:val="23"/>
        </w:rPr>
        <w:t>老字号</w:t>
      </w:r>
    </w:p>
    <w:p w14:paraId="6D138D62" w14:textId="77777777" w:rsidR="00E75D8B" w:rsidRDefault="00000000">
      <w:pPr>
        <w:ind w:left="460"/>
        <w:rPr>
          <w:rFonts w:ascii="微软雅黑" w:eastAsia="微软雅黑" w:hAnsi="微软雅黑"/>
          <w:sz w:val="23"/>
          <w:szCs w:val="23"/>
        </w:rPr>
      </w:pPr>
      <w:r>
        <w:rPr>
          <w:rFonts w:ascii="微软雅黑" w:eastAsia="微软雅黑" w:hAnsi="微软雅黑"/>
          <w:sz w:val="23"/>
          <w:szCs w:val="23"/>
        </w:rPr>
        <w:t>医药行业的中华老字号是中医药文化的精粹。</w:t>
      </w:r>
    </w:p>
    <w:p w14:paraId="2223E85B"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lastRenderedPageBreak/>
        <w:t>在国家商务部前两批认定的中华老字号中，医药行业共有</w:t>
      </w:r>
      <w:r>
        <w:rPr>
          <w:rStyle w:val="ad"/>
          <w:rFonts w:ascii="微软雅黑" w:eastAsia="微软雅黑" w:hAnsi="微软雅黑"/>
          <w:color w:val="0A6EBF"/>
          <w:sz w:val="23"/>
          <w:szCs w:val="23"/>
        </w:rPr>
        <w:t>122个</w:t>
      </w:r>
      <w:r>
        <w:rPr>
          <w:rFonts w:ascii="微软雅黑" w:eastAsia="微软雅黑" w:hAnsi="微软雅黑"/>
          <w:sz w:val="23"/>
          <w:szCs w:val="23"/>
        </w:rPr>
        <w:t>。</w:t>
      </w:r>
    </w:p>
    <w:p w14:paraId="5695B95C"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拥有中华老字号最多的是广东省，共有</w:t>
      </w:r>
      <w:r>
        <w:rPr>
          <w:rStyle w:val="ad"/>
          <w:rFonts w:ascii="微软雅黑" w:eastAsia="微软雅黑" w:hAnsi="微软雅黑"/>
          <w:color w:val="0A6EBF"/>
          <w:sz w:val="23"/>
          <w:szCs w:val="23"/>
        </w:rPr>
        <w:t>17个</w:t>
      </w:r>
      <w:r>
        <w:rPr>
          <w:rFonts w:ascii="微软雅黑" w:eastAsia="微软雅黑" w:hAnsi="微软雅黑"/>
          <w:sz w:val="23"/>
          <w:szCs w:val="23"/>
        </w:rPr>
        <w:t>，其中14个为广药集团所有，如</w:t>
      </w:r>
      <w:r>
        <w:rPr>
          <w:rStyle w:val="ad"/>
          <w:rFonts w:ascii="微软雅黑" w:eastAsia="微软雅黑" w:hAnsi="微软雅黑"/>
          <w:color w:val="0A6EBF"/>
          <w:sz w:val="23"/>
          <w:szCs w:val="23"/>
        </w:rPr>
        <w:t>陈李济、王老吉、何济公、敬修堂</w:t>
      </w:r>
      <w:r>
        <w:rPr>
          <w:rFonts w:ascii="微软雅黑" w:eastAsia="微软雅黑" w:hAnsi="微软雅黑"/>
          <w:sz w:val="23"/>
          <w:szCs w:val="23"/>
        </w:rPr>
        <w:t>等，是岭南中医药文化的重要标志。</w:t>
      </w:r>
    </w:p>
    <w:p w14:paraId="48F4D124"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其次是长三角的浙江、上海和江苏，都超过了10个，分别有</w:t>
      </w:r>
      <w:r>
        <w:rPr>
          <w:rStyle w:val="ad"/>
          <w:rFonts w:ascii="微软雅黑" w:eastAsia="微软雅黑" w:hAnsi="微软雅黑"/>
          <w:color w:val="0A6EBF"/>
          <w:sz w:val="23"/>
          <w:szCs w:val="23"/>
        </w:rPr>
        <w:t>15个、12个和11个</w:t>
      </w:r>
      <w:r>
        <w:rPr>
          <w:rFonts w:ascii="微软雅黑" w:eastAsia="微软雅黑" w:hAnsi="微软雅黑"/>
          <w:sz w:val="23"/>
          <w:szCs w:val="23"/>
        </w:rPr>
        <w:t>，浙江的如</w:t>
      </w:r>
      <w:r>
        <w:rPr>
          <w:rStyle w:val="ad"/>
          <w:rFonts w:ascii="微软雅黑" w:eastAsia="微软雅黑" w:hAnsi="微软雅黑"/>
          <w:color w:val="0A6EBF"/>
          <w:sz w:val="23"/>
          <w:szCs w:val="23"/>
        </w:rPr>
        <w:t>方回春堂、胡庆余堂、寿仙谷、朱养心</w:t>
      </w:r>
      <w:r>
        <w:rPr>
          <w:rFonts w:ascii="微软雅黑" w:eastAsia="微软雅黑" w:hAnsi="微软雅黑"/>
          <w:sz w:val="23"/>
          <w:szCs w:val="23"/>
        </w:rPr>
        <w:t>等；上海的如</w:t>
      </w:r>
      <w:r>
        <w:rPr>
          <w:rStyle w:val="ad"/>
          <w:rFonts w:ascii="微软雅黑" w:eastAsia="微软雅黑" w:hAnsi="微软雅黑"/>
          <w:color w:val="0A6EBF"/>
          <w:sz w:val="23"/>
          <w:szCs w:val="23"/>
        </w:rPr>
        <w:t>雷允上（商业）、龙虎、童涵春堂、余天成和中亚</w:t>
      </w:r>
      <w:r>
        <w:rPr>
          <w:rFonts w:ascii="微软雅黑" w:eastAsia="微软雅黑" w:hAnsi="微软雅黑"/>
          <w:sz w:val="23"/>
          <w:szCs w:val="23"/>
        </w:rPr>
        <w:t>等；江苏的有</w:t>
      </w:r>
      <w:r>
        <w:rPr>
          <w:rStyle w:val="ad"/>
          <w:rFonts w:ascii="微软雅黑" w:eastAsia="微软雅黑" w:hAnsi="微软雅黑"/>
          <w:color w:val="0A6EBF"/>
          <w:sz w:val="23"/>
          <w:szCs w:val="23"/>
        </w:rPr>
        <w:t>白敬宇、宁远堂和致和堂</w:t>
      </w:r>
      <w:r>
        <w:rPr>
          <w:rFonts w:ascii="微软雅黑" w:eastAsia="微软雅黑" w:hAnsi="微软雅黑"/>
          <w:sz w:val="23"/>
          <w:szCs w:val="23"/>
        </w:rPr>
        <w:t>等。</w:t>
      </w:r>
    </w:p>
    <w:p w14:paraId="7308404B" w14:textId="77777777" w:rsidR="00E75D8B" w:rsidRDefault="00000000">
      <w:pPr>
        <w:ind w:firstLineChars="200" w:firstLine="460"/>
        <w:rPr>
          <w:rFonts w:ascii="微软雅黑" w:eastAsia="微软雅黑" w:hAnsi="微软雅黑"/>
          <w:spacing w:val="8"/>
          <w:sz w:val="23"/>
          <w:szCs w:val="23"/>
        </w:rPr>
      </w:pPr>
      <w:r>
        <w:rPr>
          <w:rFonts w:ascii="微软雅黑" w:eastAsia="微软雅黑" w:hAnsi="微软雅黑"/>
          <w:sz w:val="23"/>
          <w:szCs w:val="23"/>
        </w:rPr>
        <w:t>最少的7个省份只有1个，即甘肃（</w:t>
      </w:r>
      <w:r>
        <w:rPr>
          <w:rStyle w:val="ad"/>
          <w:rFonts w:ascii="微软雅黑" w:eastAsia="微软雅黑" w:hAnsi="微软雅黑"/>
          <w:color w:val="0A6EBF"/>
          <w:sz w:val="23"/>
          <w:szCs w:val="23"/>
        </w:rPr>
        <w:t>佛慈</w:t>
      </w:r>
      <w:r>
        <w:rPr>
          <w:rFonts w:ascii="微软雅黑" w:eastAsia="微软雅黑" w:hAnsi="微软雅黑"/>
          <w:sz w:val="23"/>
          <w:szCs w:val="23"/>
        </w:rPr>
        <w:t>）、河南（</w:t>
      </w:r>
      <w:r>
        <w:rPr>
          <w:rStyle w:val="ad"/>
          <w:rFonts w:ascii="微软雅黑" w:eastAsia="微软雅黑" w:hAnsi="微软雅黑"/>
          <w:color w:val="0A6EBF"/>
          <w:sz w:val="23"/>
          <w:szCs w:val="23"/>
        </w:rPr>
        <w:t>四知堂</w:t>
      </w:r>
      <w:r>
        <w:rPr>
          <w:rFonts w:ascii="微软雅黑" w:eastAsia="微软雅黑" w:hAnsi="微软雅黑"/>
          <w:sz w:val="23"/>
          <w:szCs w:val="23"/>
        </w:rPr>
        <w:t>）、湖南（</w:t>
      </w:r>
      <w:r>
        <w:rPr>
          <w:rStyle w:val="ad"/>
          <w:rFonts w:ascii="微软雅黑" w:eastAsia="微软雅黑" w:hAnsi="微软雅黑"/>
          <w:color w:val="0A6EBF"/>
          <w:sz w:val="23"/>
          <w:szCs w:val="23"/>
        </w:rPr>
        <w:t>九芝堂</w:t>
      </w:r>
      <w:r>
        <w:rPr>
          <w:rFonts w:ascii="微软雅黑" w:eastAsia="微软雅黑" w:hAnsi="微软雅黑"/>
          <w:sz w:val="23"/>
          <w:szCs w:val="23"/>
        </w:rPr>
        <w:t>）、宁夏（</w:t>
      </w:r>
      <w:r>
        <w:rPr>
          <w:rStyle w:val="ad"/>
          <w:rFonts w:ascii="微软雅黑" w:eastAsia="微软雅黑" w:hAnsi="微软雅黑"/>
          <w:color w:val="0A6EBF"/>
          <w:sz w:val="23"/>
          <w:szCs w:val="23"/>
        </w:rPr>
        <w:t>协力厚</w:t>
      </w:r>
      <w:r>
        <w:rPr>
          <w:rFonts w:ascii="微软雅黑" w:eastAsia="微软雅黑" w:hAnsi="微软雅黑"/>
          <w:sz w:val="23"/>
          <w:szCs w:val="23"/>
        </w:rPr>
        <w:t>）、山西（</w:t>
      </w:r>
      <w:r>
        <w:rPr>
          <w:rStyle w:val="ad"/>
          <w:rFonts w:ascii="微软雅黑" w:eastAsia="微软雅黑" w:hAnsi="微软雅黑"/>
          <w:color w:val="0A6EBF"/>
          <w:sz w:val="23"/>
          <w:szCs w:val="23"/>
        </w:rPr>
        <w:t>广誉远</w:t>
      </w:r>
      <w:r>
        <w:rPr>
          <w:rFonts w:ascii="微软雅黑" w:eastAsia="微软雅黑" w:hAnsi="微软雅黑"/>
          <w:sz w:val="23"/>
          <w:szCs w:val="23"/>
        </w:rPr>
        <w:t>）、陕西（</w:t>
      </w:r>
      <w:r>
        <w:rPr>
          <w:rStyle w:val="ad"/>
          <w:rFonts w:ascii="微软雅黑" w:eastAsia="微软雅黑" w:hAnsi="微软雅黑"/>
          <w:color w:val="0A6EBF"/>
          <w:sz w:val="23"/>
          <w:szCs w:val="23"/>
        </w:rPr>
        <w:t>藻露堂</w:t>
      </w:r>
      <w:r>
        <w:rPr>
          <w:rFonts w:ascii="微软雅黑" w:eastAsia="微软雅黑" w:hAnsi="微软雅黑"/>
          <w:sz w:val="23"/>
          <w:szCs w:val="23"/>
        </w:rPr>
        <w:t>）和重庆（</w:t>
      </w:r>
      <w:r>
        <w:rPr>
          <w:rStyle w:val="ad"/>
          <w:rFonts w:ascii="微软雅黑" w:eastAsia="微软雅黑" w:hAnsi="微软雅黑"/>
          <w:color w:val="0A6EBF"/>
          <w:sz w:val="23"/>
          <w:szCs w:val="23"/>
        </w:rPr>
        <w:t>桐君阁</w:t>
      </w:r>
      <w:r>
        <w:rPr>
          <w:rFonts w:ascii="微软雅黑" w:eastAsia="微软雅黑" w:hAnsi="微软雅黑"/>
          <w:sz w:val="23"/>
          <w:szCs w:val="23"/>
        </w:rPr>
        <w:t>）。</w:t>
      </w:r>
      <w:r>
        <w:rPr>
          <w:rFonts w:ascii="微软雅黑" w:eastAsia="微软雅黑" w:hAnsi="微软雅黑"/>
          <w:spacing w:val="8"/>
          <w:sz w:val="23"/>
          <w:szCs w:val="23"/>
        </w:rPr>
        <w:t>青海、新疆、海南和内蒙古4个省份暂为空白。（详见图二）</w:t>
      </w:r>
    </w:p>
    <w:p w14:paraId="1E9784DE"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3ADE8C7A" wp14:editId="06BFF0FA">
            <wp:extent cx="3342640" cy="2243455"/>
            <wp:effectExtent l="0" t="0" r="0" b="4445"/>
            <wp:docPr id="83" name="图片 83" descr="C:\Users\Administrator\Documents\WeChat Files\ppdeboke\FileStorage\Temp\1047d990984c02ef25bd345fc3d63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Documents\WeChat Files\ppdeboke\FileStorage\Temp\1047d990984c02ef25bd345fc3d6313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352948" cy="2250388"/>
                    </a:xfrm>
                    <a:prstGeom prst="rect">
                      <a:avLst/>
                    </a:prstGeom>
                    <a:noFill/>
                    <a:ln>
                      <a:noFill/>
                    </a:ln>
                  </pic:spPr>
                </pic:pic>
              </a:graphicData>
            </a:graphic>
          </wp:inline>
        </w:drawing>
      </w:r>
    </w:p>
    <w:p w14:paraId="35D109CC" w14:textId="77777777" w:rsidR="00E75D8B" w:rsidRDefault="00000000">
      <w:pPr>
        <w:pStyle w:val="af2"/>
        <w:numPr>
          <w:ilvl w:val="0"/>
          <w:numId w:val="9"/>
        </w:numPr>
        <w:ind w:firstLineChars="0"/>
        <w:rPr>
          <w:rStyle w:val="ad"/>
          <w:rFonts w:ascii="微软雅黑" w:eastAsia="微软雅黑" w:hAnsi="微软雅黑"/>
          <w:sz w:val="23"/>
          <w:szCs w:val="23"/>
        </w:rPr>
      </w:pPr>
      <w:r>
        <w:rPr>
          <w:rStyle w:val="ad"/>
          <w:rFonts w:ascii="微软雅黑" w:eastAsia="微软雅黑" w:hAnsi="微软雅黑"/>
          <w:sz w:val="23"/>
          <w:szCs w:val="23"/>
        </w:rPr>
        <w:t>传承人</w:t>
      </w:r>
    </w:p>
    <w:p w14:paraId="2F71A616"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传承人是中医药文化传承的执行者，如纳入首批国家级非遗的“</w:t>
      </w:r>
      <w:r>
        <w:rPr>
          <w:rStyle w:val="ad"/>
          <w:rFonts w:ascii="微软雅黑" w:eastAsia="微软雅黑" w:hAnsi="微软雅黑"/>
          <w:color w:val="0A6EBF"/>
          <w:sz w:val="23"/>
          <w:szCs w:val="23"/>
        </w:rPr>
        <w:t>中药炮制技术</w:t>
      </w:r>
      <w:r>
        <w:rPr>
          <w:rFonts w:ascii="微软雅黑" w:eastAsia="微软雅黑" w:hAnsi="微软雅黑"/>
          <w:sz w:val="23"/>
          <w:szCs w:val="23"/>
        </w:rPr>
        <w:t>”，其传承人就是大名鼎鼎的</w:t>
      </w:r>
      <w:r>
        <w:rPr>
          <w:rStyle w:val="ad"/>
          <w:rFonts w:ascii="微软雅黑" w:eastAsia="微软雅黑" w:hAnsi="微软雅黑"/>
          <w:color w:val="0A6EBF"/>
          <w:sz w:val="23"/>
          <w:szCs w:val="23"/>
        </w:rPr>
        <w:t>金世元</w:t>
      </w:r>
      <w:r>
        <w:rPr>
          <w:rFonts w:ascii="微软雅黑" w:eastAsia="微软雅黑" w:hAnsi="微软雅黑"/>
          <w:sz w:val="23"/>
          <w:szCs w:val="23"/>
        </w:rPr>
        <w:t>国医大师和中华中医药学会炮制分会名誉主任</w:t>
      </w:r>
      <w:r>
        <w:rPr>
          <w:rStyle w:val="ad"/>
          <w:rFonts w:ascii="微软雅黑" w:eastAsia="微软雅黑" w:hAnsi="微软雅黑"/>
          <w:color w:val="0A6EBF"/>
          <w:sz w:val="23"/>
          <w:szCs w:val="23"/>
        </w:rPr>
        <w:t>王孝涛</w:t>
      </w:r>
      <w:r>
        <w:rPr>
          <w:rFonts w:ascii="微软雅黑" w:eastAsia="微软雅黑" w:hAnsi="微软雅黑"/>
          <w:sz w:val="23"/>
          <w:szCs w:val="23"/>
        </w:rPr>
        <w:t>教授。</w:t>
      </w:r>
    </w:p>
    <w:p w14:paraId="35FD5EB4"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全国老中医药专家学术经验继承人的数量由1994年的627人增加到了2020年的8572人，26年增加了</w:t>
      </w:r>
      <w:r>
        <w:rPr>
          <w:rStyle w:val="ad"/>
          <w:rFonts w:ascii="微软雅黑" w:eastAsia="微软雅黑" w:hAnsi="微软雅黑"/>
          <w:color w:val="0A6EBF"/>
          <w:sz w:val="23"/>
          <w:szCs w:val="23"/>
        </w:rPr>
        <w:t>13倍</w:t>
      </w:r>
      <w:r>
        <w:rPr>
          <w:rFonts w:ascii="微软雅黑" w:eastAsia="微软雅黑" w:hAnsi="微软雅黑"/>
          <w:sz w:val="23"/>
          <w:szCs w:val="23"/>
        </w:rPr>
        <w:t>，为中医药文化的传承奠定了人才基础。</w:t>
      </w:r>
    </w:p>
    <w:p w14:paraId="5426E885"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今年5月，国家中医药管理局又公布了第七批继承工作继承人</w:t>
      </w:r>
      <w:r>
        <w:rPr>
          <w:rStyle w:val="ad"/>
          <w:rFonts w:ascii="微软雅黑" w:eastAsia="微软雅黑" w:hAnsi="微软雅黑"/>
          <w:color w:val="0A6EBF"/>
          <w:sz w:val="23"/>
          <w:szCs w:val="23"/>
        </w:rPr>
        <w:t>2605</w:t>
      </w:r>
      <w:r>
        <w:rPr>
          <w:rFonts w:ascii="微软雅黑" w:eastAsia="微软雅黑" w:hAnsi="微软雅黑"/>
          <w:sz w:val="23"/>
          <w:szCs w:val="23"/>
        </w:rPr>
        <w:t>人，第七</w:t>
      </w:r>
      <w:r>
        <w:rPr>
          <w:rFonts w:ascii="微软雅黑" w:eastAsia="微软雅黑" w:hAnsi="微软雅黑"/>
          <w:sz w:val="23"/>
          <w:szCs w:val="23"/>
        </w:rPr>
        <w:lastRenderedPageBreak/>
        <w:t>批继承工作指导老师</w:t>
      </w:r>
      <w:r>
        <w:rPr>
          <w:rStyle w:val="ad"/>
          <w:rFonts w:ascii="微软雅黑" w:eastAsia="微软雅黑" w:hAnsi="微软雅黑"/>
          <w:color w:val="0A6EBF"/>
          <w:sz w:val="23"/>
          <w:szCs w:val="23"/>
        </w:rPr>
        <w:t>1299</w:t>
      </w:r>
      <w:r>
        <w:rPr>
          <w:rFonts w:ascii="微软雅黑" w:eastAsia="微软雅黑" w:hAnsi="微软雅黑"/>
          <w:sz w:val="23"/>
          <w:szCs w:val="23"/>
        </w:rPr>
        <w:t>人。中医药传承队伍不断壮大。（详见图三）</w:t>
      </w:r>
    </w:p>
    <w:p w14:paraId="73B31AF1"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0C8C5355" wp14:editId="7E65934E">
            <wp:extent cx="3787775" cy="2552700"/>
            <wp:effectExtent l="0" t="0" r="3175" b="0"/>
            <wp:docPr id="84" name="图片 84" descr="C:\Users\Administrator\Documents\WeChat Files\ppdeboke\FileStorage\Temp\183c310da5b7762c19bb9a717f27df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Documents\WeChat Files\ppdeboke\FileStorage\Temp\183c310da5b7762c19bb9a717f27df6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788011" cy="2553030"/>
                    </a:xfrm>
                    <a:prstGeom prst="rect">
                      <a:avLst/>
                    </a:prstGeom>
                    <a:noFill/>
                    <a:ln>
                      <a:noFill/>
                    </a:ln>
                  </pic:spPr>
                </pic:pic>
              </a:graphicData>
            </a:graphic>
          </wp:inline>
        </w:drawing>
      </w:r>
    </w:p>
    <w:p w14:paraId="391D8D95" w14:textId="77777777" w:rsidR="00E75D8B" w:rsidRDefault="00000000">
      <w:pPr>
        <w:rPr>
          <w:rStyle w:val="ad"/>
          <w:rFonts w:ascii="微软雅黑" w:eastAsia="微软雅黑" w:hAnsi="微软雅黑"/>
          <w:color w:val="0A6EBF"/>
          <w:spacing w:val="8"/>
          <w:sz w:val="23"/>
          <w:szCs w:val="23"/>
        </w:rPr>
      </w:pPr>
      <w:r>
        <w:rPr>
          <w:rStyle w:val="ad"/>
          <w:rFonts w:ascii="微软雅黑" w:eastAsia="微软雅黑" w:hAnsi="微软雅黑" w:hint="eastAsia"/>
          <w:color w:val="0A6EBF"/>
          <w:spacing w:val="8"/>
          <w:sz w:val="23"/>
          <w:szCs w:val="23"/>
        </w:rPr>
        <w:t>02 创新</w:t>
      </w:r>
    </w:p>
    <w:p w14:paraId="3DCD54B0" w14:textId="77777777" w:rsidR="00E75D8B" w:rsidRDefault="00000000">
      <w:pPr>
        <w:pStyle w:val="af2"/>
        <w:numPr>
          <w:ilvl w:val="0"/>
          <w:numId w:val="10"/>
        </w:numPr>
        <w:ind w:firstLineChars="0"/>
        <w:rPr>
          <w:rStyle w:val="ad"/>
          <w:rFonts w:ascii="微软雅黑" w:eastAsia="微软雅黑" w:hAnsi="微软雅黑"/>
          <w:sz w:val="23"/>
          <w:szCs w:val="23"/>
        </w:rPr>
      </w:pPr>
      <w:r>
        <w:rPr>
          <w:rStyle w:val="ad"/>
          <w:rFonts w:ascii="微软雅黑" w:eastAsia="微软雅黑" w:hAnsi="微软雅黑"/>
          <w:sz w:val="23"/>
          <w:szCs w:val="23"/>
        </w:rPr>
        <w:t>创新政策</w:t>
      </w:r>
    </w:p>
    <w:p w14:paraId="0936A953"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2020年12月，国家药监局发布的《关于促进中药传承创新发展的实施意见》要求“优化具有人用经验的中药新药审评审批，对符合条件的</w:t>
      </w:r>
      <w:r>
        <w:rPr>
          <w:rStyle w:val="ad"/>
          <w:rFonts w:ascii="微软雅黑" w:eastAsia="微软雅黑" w:hAnsi="微软雅黑"/>
          <w:color w:val="0A6EBF"/>
          <w:sz w:val="23"/>
          <w:szCs w:val="23"/>
        </w:rPr>
        <w:t>中药创新药、中药改良型新药、古代经典名方、同名同方药</w:t>
      </w:r>
      <w:r>
        <w:rPr>
          <w:rFonts w:ascii="微软雅黑" w:eastAsia="微软雅黑" w:hAnsi="微软雅黑"/>
          <w:sz w:val="23"/>
          <w:szCs w:val="23"/>
        </w:rPr>
        <w:t>等，研究依法依规实施</w:t>
      </w:r>
      <w:r>
        <w:rPr>
          <w:rStyle w:val="ad"/>
          <w:rFonts w:ascii="微软雅黑" w:eastAsia="微软雅黑" w:hAnsi="微软雅黑"/>
          <w:color w:val="0A6EBF"/>
          <w:sz w:val="23"/>
          <w:szCs w:val="23"/>
        </w:rPr>
        <w:t>豁免非临床安全性研究及部分临床试验</w:t>
      </w:r>
      <w:r>
        <w:rPr>
          <w:rFonts w:ascii="微软雅黑" w:eastAsia="微软雅黑" w:hAnsi="微软雅黑"/>
          <w:sz w:val="23"/>
          <w:szCs w:val="23"/>
        </w:rPr>
        <w:t>的管理机制。充分利用数据科学等现代技术手段，建立</w:t>
      </w:r>
      <w:r>
        <w:rPr>
          <w:rStyle w:val="ad"/>
          <w:rFonts w:ascii="微软雅黑" w:eastAsia="微软雅黑" w:hAnsi="微软雅黑"/>
          <w:color w:val="0A6EBF"/>
          <w:sz w:val="23"/>
          <w:szCs w:val="23"/>
        </w:rPr>
        <w:t>中医药理论、人用经验、临床试验</w:t>
      </w:r>
      <w:r>
        <w:rPr>
          <w:rFonts w:ascii="微软雅黑" w:eastAsia="微软雅黑" w:hAnsi="微软雅黑"/>
          <w:sz w:val="23"/>
          <w:szCs w:val="23"/>
        </w:rPr>
        <w:t>“三结合”的中药注册审评证据体系，积极探索建立中药</w:t>
      </w:r>
      <w:r>
        <w:rPr>
          <w:rStyle w:val="ad"/>
          <w:rFonts w:ascii="微软雅黑" w:eastAsia="微软雅黑" w:hAnsi="微软雅黑"/>
          <w:color w:val="0A6EBF"/>
          <w:sz w:val="23"/>
          <w:szCs w:val="23"/>
        </w:rPr>
        <w:t>真实世界研究证据体系</w:t>
      </w:r>
      <w:r>
        <w:rPr>
          <w:rFonts w:ascii="微软雅黑" w:eastAsia="微软雅黑" w:hAnsi="微软雅黑"/>
          <w:sz w:val="23"/>
          <w:szCs w:val="23"/>
        </w:rPr>
        <w:t>”。</w:t>
      </w:r>
    </w:p>
    <w:p w14:paraId="110A9046"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2021年2月，国务院办公厅印发的《关于加快中医药特色发展若干政策措施的通知》提出“建立科技、医疗、中医药等部门推荐符合条件的中药新药进入</w:t>
      </w:r>
      <w:r>
        <w:rPr>
          <w:rStyle w:val="ad"/>
          <w:rFonts w:ascii="微软雅黑" w:eastAsia="微软雅黑" w:hAnsi="微软雅黑"/>
          <w:color w:val="0A6EBF"/>
          <w:sz w:val="23"/>
          <w:szCs w:val="23"/>
        </w:rPr>
        <w:t>快速审评审批通道</w:t>
      </w:r>
      <w:r>
        <w:rPr>
          <w:rFonts w:ascii="微软雅黑" w:eastAsia="微软雅黑" w:hAnsi="微软雅黑"/>
          <w:sz w:val="23"/>
          <w:szCs w:val="23"/>
        </w:rPr>
        <w:t>的有效机制”，“探索授予</w:t>
      </w:r>
      <w:r>
        <w:rPr>
          <w:rStyle w:val="ad"/>
          <w:rFonts w:ascii="微软雅黑" w:eastAsia="微软雅黑" w:hAnsi="微软雅黑"/>
          <w:color w:val="0A6EBF"/>
          <w:sz w:val="23"/>
          <w:szCs w:val="23"/>
        </w:rPr>
        <w:t>第三方中医药研究平台</w:t>
      </w:r>
      <w:r>
        <w:rPr>
          <w:rFonts w:ascii="微软雅黑" w:eastAsia="微软雅黑" w:hAnsi="微软雅黑"/>
          <w:sz w:val="23"/>
          <w:szCs w:val="23"/>
        </w:rPr>
        <w:t>专业资质，承担国家级中医药技术评估工作”，“</w:t>
      </w:r>
      <w:r>
        <w:rPr>
          <w:rStyle w:val="ad"/>
          <w:rFonts w:ascii="微软雅黑" w:eastAsia="微软雅黑" w:hAnsi="微软雅黑"/>
          <w:color w:val="0A6EBF"/>
          <w:sz w:val="23"/>
          <w:szCs w:val="23"/>
        </w:rPr>
        <w:t>优化古代经典名方中药复方</w:t>
      </w:r>
      <w:r>
        <w:rPr>
          <w:rFonts w:ascii="微软雅黑" w:eastAsia="微软雅黑" w:hAnsi="微软雅黑"/>
          <w:sz w:val="23"/>
          <w:szCs w:val="23"/>
        </w:rPr>
        <w:t>制剂注册审批”。</w:t>
      </w:r>
    </w:p>
    <w:p w14:paraId="5D4D8CF8"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建立适合中医药规律的独特的中药审评审批体系，国家的导向越来越明确。</w:t>
      </w:r>
    </w:p>
    <w:p w14:paraId="0325E123"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各地也相继出台了鼓励中药创新的政策，如河北省对新获得中药4类、5类新药证书，给予不超过项目固定资产投资</w:t>
      </w:r>
      <w:r>
        <w:rPr>
          <w:rStyle w:val="ad"/>
          <w:rFonts w:ascii="微软雅黑" w:eastAsia="微软雅黑" w:hAnsi="微软雅黑"/>
          <w:color w:val="0A6EBF"/>
          <w:sz w:val="23"/>
          <w:szCs w:val="23"/>
        </w:rPr>
        <w:t>20%</w:t>
      </w:r>
      <w:r>
        <w:rPr>
          <w:rFonts w:ascii="微软雅黑" w:eastAsia="微软雅黑" w:hAnsi="微软雅黑"/>
          <w:sz w:val="23"/>
          <w:szCs w:val="23"/>
        </w:rPr>
        <w:t>、最高不超过</w:t>
      </w:r>
      <w:r>
        <w:rPr>
          <w:rStyle w:val="ad"/>
          <w:rFonts w:ascii="微软雅黑" w:eastAsia="微软雅黑" w:hAnsi="微软雅黑"/>
          <w:color w:val="0A6EBF"/>
          <w:sz w:val="23"/>
          <w:szCs w:val="23"/>
        </w:rPr>
        <w:t>1000万元</w:t>
      </w:r>
      <w:r>
        <w:rPr>
          <w:rFonts w:ascii="微软雅黑" w:eastAsia="微软雅黑" w:hAnsi="微软雅黑"/>
          <w:sz w:val="23"/>
          <w:szCs w:val="23"/>
        </w:rPr>
        <w:t>的省战略性新</w:t>
      </w:r>
      <w:r>
        <w:rPr>
          <w:rFonts w:ascii="微软雅黑" w:eastAsia="微软雅黑" w:hAnsi="微软雅黑"/>
          <w:sz w:val="23"/>
          <w:szCs w:val="23"/>
        </w:rPr>
        <w:lastRenderedPageBreak/>
        <w:t>兴产业专项资金补助。安徽亳州对古代经典名方</w:t>
      </w:r>
      <w:r>
        <w:rPr>
          <w:rStyle w:val="ad"/>
          <w:rFonts w:ascii="微软雅黑" w:eastAsia="微软雅黑" w:hAnsi="微软雅黑"/>
          <w:color w:val="0A6EBF"/>
          <w:sz w:val="23"/>
          <w:szCs w:val="23"/>
        </w:rPr>
        <w:t>中药复方制剂、同名同方中药</w:t>
      </w:r>
      <w:r>
        <w:rPr>
          <w:rFonts w:ascii="微软雅黑" w:eastAsia="微软雅黑" w:hAnsi="微软雅黑"/>
          <w:sz w:val="23"/>
          <w:szCs w:val="23"/>
        </w:rPr>
        <w:t>研发，按研发费用的</w:t>
      </w:r>
      <w:r>
        <w:rPr>
          <w:rStyle w:val="ad"/>
          <w:rFonts w:ascii="微软雅黑" w:eastAsia="微软雅黑" w:hAnsi="微软雅黑"/>
          <w:color w:val="0A6EBF"/>
          <w:sz w:val="23"/>
          <w:szCs w:val="23"/>
        </w:rPr>
        <w:t>50%</w:t>
      </w:r>
      <w:r>
        <w:rPr>
          <w:rFonts w:ascii="微软雅黑" w:eastAsia="微软雅黑" w:hAnsi="微软雅黑"/>
          <w:sz w:val="23"/>
          <w:szCs w:val="23"/>
        </w:rPr>
        <w:t>予以扶持，单个品种给予最高不超过</w:t>
      </w:r>
      <w:r>
        <w:rPr>
          <w:rStyle w:val="ad"/>
          <w:rFonts w:ascii="微软雅黑" w:eastAsia="微软雅黑" w:hAnsi="微软雅黑"/>
          <w:color w:val="0A6EBF"/>
          <w:sz w:val="23"/>
          <w:szCs w:val="23"/>
        </w:rPr>
        <w:t>500万元</w:t>
      </w:r>
      <w:r>
        <w:rPr>
          <w:rFonts w:ascii="微软雅黑" w:eastAsia="微软雅黑" w:hAnsi="微软雅黑"/>
          <w:sz w:val="23"/>
          <w:szCs w:val="23"/>
        </w:rPr>
        <w:t>的扶持。</w:t>
      </w:r>
    </w:p>
    <w:p w14:paraId="5F3AA36D" w14:textId="77777777" w:rsidR="00E75D8B" w:rsidRDefault="00000000">
      <w:pPr>
        <w:pStyle w:val="af2"/>
        <w:numPr>
          <w:ilvl w:val="0"/>
          <w:numId w:val="10"/>
        </w:numPr>
        <w:ind w:firstLineChars="0"/>
        <w:rPr>
          <w:rStyle w:val="ad"/>
          <w:rFonts w:ascii="微软雅黑" w:eastAsia="微软雅黑" w:hAnsi="微软雅黑"/>
          <w:sz w:val="23"/>
          <w:szCs w:val="23"/>
        </w:rPr>
      </w:pPr>
      <w:r>
        <w:rPr>
          <w:rStyle w:val="ad"/>
          <w:rFonts w:ascii="微软雅黑" w:eastAsia="微软雅黑" w:hAnsi="微软雅黑"/>
          <w:sz w:val="23"/>
          <w:szCs w:val="23"/>
        </w:rPr>
        <w:t>创新基地</w:t>
      </w:r>
    </w:p>
    <w:p w14:paraId="679C70C7"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十八大以来，在进行传承的同时，我国的中医药创新工作发展更快。</w:t>
      </w:r>
    </w:p>
    <w:p w14:paraId="779F6D83"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国家中医药管理局会同科技部、卫生健康委等部门，建设了</w:t>
      </w:r>
      <w:r>
        <w:rPr>
          <w:rStyle w:val="ad"/>
          <w:rFonts w:ascii="微软雅黑" w:eastAsia="微软雅黑" w:hAnsi="微软雅黑"/>
          <w:color w:val="0A6EBF"/>
          <w:sz w:val="23"/>
          <w:szCs w:val="23"/>
        </w:rPr>
        <w:t>14个</w:t>
      </w:r>
      <w:r>
        <w:rPr>
          <w:rFonts w:ascii="微软雅黑" w:eastAsia="微软雅黑" w:hAnsi="微软雅黑"/>
          <w:sz w:val="23"/>
          <w:szCs w:val="23"/>
        </w:rPr>
        <w:t>国家重点实验室、</w:t>
      </w:r>
      <w:r>
        <w:rPr>
          <w:rStyle w:val="ad"/>
          <w:rFonts w:ascii="微软雅黑" w:eastAsia="微软雅黑" w:hAnsi="微软雅黑"/>
          <w:color w:val="0A6EBF"/>
          <w:sz w:val="23"/>
          <w:szCs w:val="23"/>
        </w:rPr>
        <w:t>2个</w:t>
      </w:r>
      <w:r>
        <w:rPr>
          <w:rFonts w:ascii="微软雅黑" w:eastAsia="微软雅黑" w:hAnsi="微软雅黑"/>
          <w:sz w:val="23"/>
          <w:szCs w:val="23"/>
        </w:rPr>
        <w:t>中医类国家医学临床研究中心、</w:t>
      </w:r>
      <w:r>
        <w:rPr>
          <w:rStyle w:val="ad"/>
          <w:rFonts w:ascii="微软雅黑" w:eastAsia="微软雅黑" w:hAnsi="微软雅黑"/>
          <w:color w:val="0A6EBF"/>
          <w:sz w:val="23"/>
          <w:szCs w:val="23"/>
        </w:rPr>
        <w:t>5个</w:t>
      </w:r>
      <w:r>
        <w:rPr>
          <w:rFonts w:ascii="微软雅黑" w:eastAsia="微软雅黑" w:hAnsi="微软雅黑"/>
          <w:sz w:val="23"/>
          <w:szCs w:val="23"/>
        </w:rPr>
        <w:t>国家工程技术研究中心、</w:t>
      </w:r>
      <w:r>
        <w:rPr>
          <w:rStyle w:val="ad"/>
          <w:rFonts w:ascii="微软雅黑" w:eastAsia="微软雅黑" w:hAnsi="微软雅黑"/>
          <w:color w:val="0A6EBF"/>
          <w:sz w:val="23"/>
          <w:szCs w:val="23"/>
        </w:rPr>
        <w:t>5个</w:t>
      </w:r>
      <w:r>
        <w:rPr>
          <w:rFonts w:ascii="微软雅黑" w:eastAsia="微软雅黑" w:hAnsi="微软雅黑"/>
          <w:sz w:val="23"/>
          <w:szCs w:val="23"/>
        </w:rPr>
        <w:t>国家工程研究中心、</w:t>
      </w:r>
      <w:r>
        <w:rPr>
          <w:rStyle w:val="ad"/>
          <w:rFonts w:ascii="微软雅黑" w:eastAsia="微软雅黑" w:hAnsi="微软雅黑"/>
          <w:color w:val="0A6EBF"/>
          <w:sz w:val="23"/>
          <w:szCs w:val="23"/>
        </w:rPr>
        <w:t>6个</w:t>
      </w:r>
      <w:r>
        <w:rPr>
          <w:rFonts w:ascii="微软雅黑" w:eastAsia="微软雅黑" w:hAnsi="微软雅黑"/>
          <w:sz w:val="23"/>
          <w:szCs w:val="23"/>
        </w:rPr>
        <w:t>国家工程实验室。会同发展改革委，建设了</w:t>
      </w:r>
      <w:r>
        <w:rPr>
          <w:rStyle w:val="ad"/>
          <w:rFonts w:ascii="微软雅黑" w:eastAsia="微软雅黑" w:hAnsi="微软雅黑"/>
          <w:color w:val="0A6EBF"/>
          <w:sz w:val="23"/>
          <w:szCs w:val="23"/>
        </w:rPr>
        <w:t>40个</w:t>
      </w:r>
      <w:r>
        <w:rPr>
          <w:rFonts w:ascii="微软雅黑" w:eastAsia="微软雅黑" w:hAnsi="微软雅黑"/>
          <w:sz w:val="23"/>
          <w:szCs w:val="23"/>
        </w:rPr>
        <w:t>国家中医临床研究基地，布局建设了</w:t>
      </w:r>
      <w:r>
        <w:rPr>
          <w:rStyle w:val="ad"/>
          <w:rFonts w:ascii="微软雅黑" w:eastAsia="微软雅黑" w:hAnsi="微软雅黑"/>
          <w:color w:val="0A6EBF"/>
          <w:sz w:val="23"/>
          <w:szCs w:val="23"/>
        </w:rPr>
        <w:t>175个</w:t>
      </w:r>
      <w:r>
        <w:rPr>
          <w:rFonts w:ascii="微软雅黑" w:eastAsia="微软雅黑" w:hAnsi="微软雅黑"/>
          <w:sz w:val="23"/>
          <w:szCs w:val="23"/>
        </w:rPr>
        <w:t>国家中医药管理局重点研究室。</w:t>
      </w:r>
    </w:p>
    <w:p w14:paraId="3A393805"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其中，在科技部支持建设的中医药行业14家国家重点实验室中，包括7家国家重点实验室、1家国家重点实验室澳门伙伴实验室，1家省部共建国家重点实验室，5家省部共建或部局共建国家重点实验室培育基地。（详见图四）</w:t>
      </w:r>
    </w:p>
    <w:p w14:paraId="4026F45A"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19D116B7" wp14:editId="05613C3B">
            <wp:extent cx="3356610" cy="2289175"/>
            <wp:effectExtent l="0" t="0" r="0" b="0"/>
            <wp:docPr id="85" name="图片 85" descr="C:\Users\Administrator\Documents\WeChat Files\ppdeboke\FileStorage\Temp\275079efce8b1ec48611e19bc2f6a2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Documents\WeChat Files\ppdeboke\FileStorage\Temp\275079efce8b1ec48611e19bc2f6a2e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365332" cy="2295254"/>
                    </a:xfrm>
                    <a:prstGeom prst="rect">
                      <a:avLst/>
                    </a:prstGeom>
                    <a:noFill/>
                    <a:ln>
                      <a:noFill/>
                    </a:ln>
                  </pic:spPr>
                </pic:pic>
              </a:graphicData>
            </a:graphic>
          </wp:inline>
        </w:drawing>
      </w:r>
    </w:p>
    <w:p w14:paraId="3179070C" w14:textId="77777777" w:rsidR="00E75D8B" w:rsidRDefault="00000000">
      <w:pPr>
        <w:pStyle w:val="af2"/>
        <w:numPr>
          <w:ilvl w:val="0"/>
          <w:numId w:val="10"/>
        </w:numPr>
        <w:ind w:firstLineChars="0"/>
        <w:rPr>
          <w:rStyle w:val="ad"/>
          <w:rFonts w:ascii="微软雅黑" w:eastAsia="微软雅黑" w:hAnsi="微软雅黑"/>
          <w:sz w:val="23"/>
          <w:szCs w:val="23"/>
        </w:rPr>
      </w:pPr>
      <w:r>
        <w:rPr>
          <w:rStyle w:val="ad"/>
          <w:rFonts w:ascii="微软雅黑" w:eastAsia="微软雅黑" w:hAnsi="微软雅黑"/>
          <w:sz w:val="23"/>
          <w:szCs w:val="23"/>
        </w:rPr>
        <w:t>创新药</w:t>
      </w:r>
    </w:p>
    <w:p w14:paraId="0B1035D9"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据CDE周跃华、王玲玲等专家统计，近15年（2005-2020年），全国共有中药新药制剂临床试验申请1096个，获得批准</w:t>
      </w:r>
      <w:r>
        <w:rPr>
          <w:rStyle w:val="ad"/>
          <w:rFonts w:ascii="微软雅黑" w:eastAsia="微软雅黑" w:hAnsi="微软雅黑"/>
          <w:color w:val="0A6EBF"/>
          <w:sz w:val="23"/>
          <w:szCs w:val="23"/>
        </w:rPr>
        <w:t>588个</w:t>
      </w:r>
      <w:r>
        <w:rPr>
          <w:rFonts w:ascii="微软雅黑" w:eastAsia="微软雅黑" w:hAnsi="微软雅黑"/>
          <w:sz w:val="23"/>
          <w:szCs w:val="23"/>
        </w:rPr>
        <w:t>，508个未获批准，批准率53.6%。</w:t>
      </w:r>
    </w:p>
    <w:p w14:paraId="07EE7B2F" w14:textId="77777777" w:rsidR="00E75D8B" w:rsidRDefault="00000000">
      <w:pPr>
        <w:ind w:firstLineChars="200" w:firstLine="460"/>
        <w:rPr>
          <w:rFonts w:ascii="微软雅黑" w:eastAsia="微软雅黑" w:hAnsi="微软雅黑"/>
          <w:sz w:val="23"/>
          <w:szCs w:val="23"/>
        </w:rPr>
      </w:pPr>
      <w:r>
        <w:rPr>
          <w:rFonts w:ascii="微软雅黑" w:eastAsia="微软雅黑" w:hAnsi="微软雅黑"/>
          <w:sz w:val="23"/>
          <w:szCs w:val="23"/>
        </w:rPr>
        <w:t>其中，获批申请数量最多的是</w:t>
      </w:r>
      <w:r>
        <w:rPr>
          <w:rStyle w:val="ad"/>
          <w:rFonts w:ascii="微软雅黑" w:eastAsia="微软雅黑" w:hAnsi="微软雅黑"/>
          <w:color w:val="0A6EBF"/>
          <w:sz w:val="23"/>
          <w:szCs w:val="23"/>
        </w:rPr>
        <w:t>北京、江苏和广东</w:t>
      </w:r>
      <w:r>
        <w:rPr>
          <w:rFonts w:ascii="微软雅黑" w:eastAsia="微软雅黑" w:hAnsi="微软雅黑"/>
          <w:sz w:val="23"/>
          <w:szCs w:val="23"/>
        </w:rPr>
        <w:t>，都超过了50个，分别为</w:t>
      </w:r>
      <w:r>
        <w:rPr>
          <w:rStyle w:val="ad"/>
          <w:rFonts w:ascii="微软雅黑" w:eastAsia="微软雅黑" w:hAnsi="微软雅黑"/>
          <w:color w:val="0A6EBF"/>
          <w:sz w:val="23"/>
          <w:szCs w:val="23"/>
        </w:rPr>
        <w:t>79个、73个和55个</w:t>
      </w:r>
      <w:r>
        <w:rPr>
          <w:rFonts w:ascii="微软雅黑" w:eastAsia="微软雅黑" w:hAnsi="微软雅黑"/>
          <w:sz w:val="23"/>
          <w:szCs w:val="23"/>
        </w:rPr>
        <w:t>，三省合计207个，占了全国的超过</w:t>
      </w:r>
      <w:r>
        <w:rPr>
          <w:rStyle w:val="ad"/>
          <w:rFonts w:ascii="微软雅黑" w:eastAsia="微软雅黑" w:hAnsi="微软雅黑"/>
          <w:color w:val="0A6EBF"/>
          <w:sz w:val="23"/>
          <w:szCs w:val="23"/>
        </w:rPr>
        <w:t>三分之一（35%）</w:t>
      </w:r>
      <w:r>
        <w:rPr>
          <w:rFonts w:ascii="微软雅黑" w:eastAsia="微软雅黑" w:hAnsi="微软雅黑"/>
          <w:sz w:val="23"/>
          <w:szCs w:val="23"/>
        </w:rPr>
        <w:t>，其次是</w:t>
      </w:r>
      <w:r>
        <w:rPr>
          <w:rFonts w:ascii="微软雅黑" w:eastAsia="微软雅黑" w:hAnsi="微软雅黑"/>
          <w:sz w:val="23"/>
          <w:szCs w:val="23"/>
        </w:rPr>
        <w:lastRenderedPageBreak/>
        <w:t>陕西（</w:t>
      </w:r>
      <w:r>
        <w:rPr>
          <w:rStyle w:val="ad"/>
          <w:rFonts w:ascii="微软雅黑" w:eastAsia="微软雅黑" w:hAnsi="微软雅黑"/>
          <w:color w:val="0A6EBF"/>
          <w:sz w:val="23"/>
          <w:szCs w:val="23"/>
        </w:rPr>
        <w:t>30个</w:t>
      </w:r>
      <w:r>
        <w:rPr>
          <w:rFonts w:ascii="微软雅黑" w:eastAsia="微软雅黑" w:hAnsi="微软雅黑"/>
          <w:sz w:val="23"/>
          <w:szCs w:val="23"/>
        </w:rPr>
        <w:t>）、新疆（</w:t>
      </w:r>
      <w:r>
        <w:rPr>
          <w:rStyle w:val="ad"/>
          <w:rFonts w:ascii="微软雅黑" w:eastAsia="微软雅黑" w:hAnsi="微软雅黑"/>
          <w:color w:val="0A6EBF"/>
          <w:sz w:val="23"/>
          <w:szCs w:val="23"/>
        </w:rPr>
        <w:t>29个</w:t>
      </w:r>
      <w:r>
        <w:rPr>
          <w:rFonts w:ascii="微软雅黑" w:eastAsia="微软雅黑" w:hAnsi="微软雅黑"/>
          <w:sz w:val="23"/>
          <w:szCs w:val="23"/>
        </w:rPr>
        <w:t>）、上海（</w:t>
      </w:r>
      <w:r>
        <w:rPr>
          <w:rStyle w:val="ad"/>
          <w:rFonts w:ascii="微软雅黑" w:eastAsia="微软雅黑" w:hAnsi="微软雅黑"/>
          <w:color w:val="0A6EBF"/>
          <w:sz w:val="23"/>
          <w:szCs w:val="23"/>
        </w:rPr>
        <w:t>28个</w:t>
      </w:r>
      <w:r>
        <w:rPr>
          <w:rFonts w:ascii="微软雅黑" w:eastAsia="微软雅黑" w:hAnsi="微软雅黑"/>
          <w:sz w:val="23"/>
          <w:szCs w:val="23"/>
        </w:rPr>
        <w:t>）和山东（</w:t>
      </w:r>
      <w:r>
        <w:rPr>
          <w:rStyle w:val="ad"/>
          <w:rFonts w:ascii="微软雅黑" w:eastAsia="微软雅黑" w:hAnsi="微软雅黑"/>
          <w:color w:val="0A6EBF"/>
          <w:sz w:val="23"/>
          <w:szCs w:val="23"/>
        </w:rPr>
        <w:t>27个</w:t>
      </w:r>
      <w:r>
        <w:rPr>
          <w:rFonts w:ascii="微软雅黑" w:eastAsia="微软雅黑" w:hAnsi="微软雅黑"/>
          <w:sz w:val="23"/>
          <w:szCs w:val="23"/>
        </w:rPr>
        <w:t>），都超过了25个。最少的海南、西藏都只有1个，青海2个，辽宁和福建都只有4个。宁夏为空白。（详见图五）</w:t>
      </w:r>
    </w:p>
    <w:p w14:paraId="62F87A23" w14:textId="77777777" w:rsidR="00E75D8B" w:rsidRDefault="00000000">
      <w:pPr>
        <w:jc w:val="center"/>
        <w:rPr>
          <w:rStyle w:val="ad"/>
          <w:rFonts w:ascii="微软雅黑" w:eastAsia="微软雅黑" w:hAnsi="微软雅黑" w:cs="Helvetica"/>
          <w:spacing w:val="15"/>
          <w:sz w:val="23"/>
          <w:szCs w:val="23"/>
        </w:rPr>
      </w:pPr>
      <w:r>
        <w:rPr>
          <w:rFonts w:ascii="微软雅黑" w:eastAsia="微软雅黑" w:hAnsi="微软雅黑" w:cs="Helvetica"/>
          <w:b/>
          <w:bCs/>
          <w:noProof/>
          <w:spacing w:val="15"/>
          <w:sz w:val="23"/>
          <w:szCs w:val="23"/>
        </w:rPr>
        <w:drawing>
          <wp:inline distT="0" distB="0" distL="0" distR="0" wp14:anchorId="7E505D6D" wp14:editId="6C1D0F10">
            <wp:extent cx="3350260" cy="2277110"/>
            <wp:effectExtent l="0" t="0" r="2540" b="8890"/>
            <wp:docPr id="86" name="图片 86" descr="C:\Users\Administrator\Documents\WeChat Files\ppdeboke\FileStorage\Temp\35ec6b4946098cb13db3be12ef68e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Documents\WeChat Files\ppdeboke\FileStorage\Temp\35ec6b4946098cb13db3be12ef68efd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50509" cy="2277557"/>
                    </a:xfrm>
                    <a:prstGeom prst="rect">
                      <a:avLst/>
                    </a:prstGeom>
                    <a:noFill/>
                    <a:ln>
                      <a:noFill/>
                    </a:ln>
                  </pic:spPr>
                </pic:pic>
              </a:graphicData>
            </a:graphic>
          </wp:inline>
        </w:drawing>
      </w:r>
    </w:p>
    <w:p w14:paraId="7172762A" w14:textId="77777777" w:rsidR="00E75D8B" w:rsidRDefault="00000000">
      <w:pPr>
        <w:ind w:firstLineChars="200" w:firstLine="460"/>
        <w:rPr>
          <w:rStyle w:val="ad"/>
          <w:rFonts w:ascii="微软雅黑" w:eastAsia="微软雅黑" w:hAnsi="微软雅黑" w:cs="Helvetica"/>
          <w:spacing w:val="15"/>
          <w:sz w:val="23"/>
          <w:szCs w:val="23"/>
        </w:rPr>
      </w:pPr>
      <w:r>
        <w:rPr>
          <w:rFonts w:ascii="微软雅黑" w:eastAsia="微软雅黑" w:hAnsi="微软雅黑"/>
          <w:sz w:val="23"/>
          <w:szCs w:val="23"/>
        </w:rPr>
        <w:t>此外，我国还有</w:t>
      </w:r>
      <w:r>
        <w:rPr>
          <w:rStyle w:val="ad"/>
          <w:rFonts w:ascii="微软雅黑" w:eastAsia="微软雅黑" w:hAnsi="微软雅黑"/>
          <w:color w:val="0A6EBF"/>
          <w:sz w:val="23"/>
          <w:szCs w:val="23"/>
        </w:rPr>
        <w:t>23所中医药大学</w:t>
      </w:r>
      <w:r>
        <w:rPr>
          <w:rFonts w:ascii="微软雅黑" w:eastAsia="微软雅黑" w:hAnsi="微软雅黑"/>
          <w:sz w:val="23"/>
          <w:szCs w:val="23"/>
        </w:rPr>
        <w:t>，这在全球是独一无二的，世界上还没听说有哪个国家为了民族药而专门设立大学的，我国庞大的中医药大学资源是中医药传承创新的最重要的力量。</w:t>
      </w:r>
      <w:r>
        <w:rPr>
          <w:rFonts w:ascii="微软雅黑" w:eastAsia="微软雅黑" w:hAnsi="微软雅黑"/>
          <w:sz w:val="23"/>
          <w:szCs w:val="23"/>
        </w:rPr>
        <w:br/>
      </w:r>
      <w:r>
        <w:rPr>
          <w:rFonts w:ascii="微软雅黑" w:eastAsia="微软雅黑" w:hAnsi="微软雅黑" w:hint="eastAsia"/>
          <w:sz w:val="23"/>
          <w:szCs w:val="23"/>
        </w:rPr>
        <w:t xml:space="preserve">    </w:t>
      </w:r>
      <w:r>
        <w:rPr>
          <w:rFonts w:ascii="微软雅黑" w:eastAsia="微软雅黑" w:hAnsi="微软雅黑"/>
          <w:sz w:val="23"/>
          <w:szCs w:val="23"/>
        </w:rPr>
        <w:t>十八大以来，我国在中医药传承创新方面做了大量工作，成效显著，在二十大报告“</w:t>
      </w:r>
      <w:r>
        <w:rPr>
          <w:rStyle w:val="ad"/>
          <w:rFonts w:ascii="微软雅黑" w:eastAsia="微软雅黑" w:hAnsi="微软雅黑"/>
          <w:color w:val="0A6EBF"/>
          <w:sz w:val="23"/>
          <w:szCs w:val="23"/>
        </w:rPr>
        <w:t>促进中医药传承创新发展</w:t>
      </w:r>
      <w:r>
        <w:rPr>
          <w:rFonts w:ascii="微软雅黑" w:eastAsia="微软雅黑" w:hAnsi="微软雅黑"/>
          <w:sz w:val="23"/>
          <w:szCs w:val="23"/>
        </w:rPr>
        <w:t>”的指引下，我国中医药产业发展将驶入快车道。</w:t>
      </w:r>
    </w:p>
    <w:p w14:paraId="4F2C2736"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6BE9297E"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6AE9AFAC"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22053EB7"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3E43B53E" w14:textId="77777777" w:rsidR="00E75D8B"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附件2</w:t>
      </w:r>
    </w:p>
    <w:p w14:paraId="468CDF4B" w14:textId="77777777" w:rsidR="00E75D8B" w:rsidRDefault="00000000">
      <w:pPr>
        <w:jc w:val="left"/>
        <w:rPr>
          <w:rFonts w:ascii="微软雅黑" w:eastAsia="微软雅黑" w:hAnsi="微软雅黑" w:cs="宋体"/>
          <w:color w:val="333333"/>
          <w:spacing w:val="8"/>
          <w:kern w:val="0"/>
          <w:sz w:val="33"/>
          <w:szCs w:val="33"/>
        </w:rPr>
      </w:pPr>
      <w:r>
        <w:rPr>
          <w:rFonts w:ascii="微软雅黑" w:eastAsia="微软雅黑" w:hAnsi="微软雅黑" w:cs="宋体" w:hint="eastAsia"/>
          <w:color w:val="333333"/>
          <w:spacing w:val="8"/>
          <w:kern w:val="0"/>
          <w:sz w:val="33"/>
          <w:szCs w:val="33"/>
        </w:rPr>
        <w:t>一、重磅发布 | 中国医药冷链物流行业研究报告（2022）</w:t>
      </w:r>
    </w:p>
    <w:p w14:paraId="255F1CEF" w14:textId="77777777" w:rsidR="00E75D8B" w:rsidRDefault="00000000">
      <w:pPr>
        <w:jc w:val="left"/>
      </w:pPr>
      <w:r>
        <w:rPr>
          <w:rFonts w:hint="eastAsia"/>
        </w:rPr>
        <w:t>原创</w:t>
      </w:r>
      <w:r>
        <w:rPr>
          <w:rFonts w:hint="eastAsia"/>
        </w:rPr>
        <w:t xml:space="preserve"> </w:t>
      </w:r>
      <w:r>
        <w:rPr>
          <w:rFonts w:hint="eastAsia"/>
        </w:rPr>
        <w:t>研究中心</w:t>
      </w:r>
      <w:r>
        <w:rPr>
          <w:rFonts w:hint="eastAsia"/>
        </w:rPr>
        <w:t xml:space="preserve">  </w:t>
      </w:r>
      <w:r>
        <w:rPr>
          <w:rFonts w:hint="eastAsia"/>
        </w:rPr>
        <w:t>中物联医药物流分会</w:t>
      </w:r>
      <w:r>
        <w:rPr>
          <w:rFonts w:hint="eastAsia"/>
        </w:rPr>
        <w:t xml:space="preserve">  2022-10-18</w:t>
      </w:r>
    </w:p>
    <w:p w14:paraId="4CE5CAC0" w14:textId="77777777" w:rsidR="00E75D8B" w:rsidRDefault="00000000">
      <w:pPr>
        <w:jc w:val="left"/>
        <w:rPr>
          <w:rFonts w:ascii="微软雅黑" w:eastAsia="微软雅黑" w:hAnsi="微软雅黑" w:cs="宋体"/>
          <w:color w:val="333333"/>
          <w:spacing w:val="8"/>
          <w:kern w:val="0"/>
          <w:sz w:val="33"/>
          <w:szCs w:val="33"/>
        </w:rPr>
      </w:pPr>
      <w:r>
        <w:rPr>
          <w:rFonts w:ascii="微软雅黑" w:eastAsia="微软雅黑" w:hAnsi="微软雅黑" w:cs="宋体" w:hint="eastAsia"/>
          <w:color w:val="333333"/>
          <w:spacing w:val="8"/>
          <w:kern w:val="0"/>
          <w:sz w:val="33"/>
          <w:szCs w:val="33"/>
        </w:rPr>
        <w:t>二、哈尔滨入选！2022年国家骨干冷链物流基地发布</w:t>
      </w:r>
    </w:p>
    <w:p w14:paraId="269FFDFF" w14:textId="77777777" w:rsidR="00E75D8B" w:rsidRDefault="00000000">
      <w:pPr>
        <w:jc w:val="left"/>
      </w:pPr>
      <w:r>
        <w:rPr>
          <w:rFonts w:hint="eastAsia"/>
        </w:rPr>
        <w:t>澎湃新闻</w:t>
      </w:r>
      <w:r>
        <w:rPr>
          <w:rFonts w:hint="eastAsia"/>
        </w:rPr>
        <w:t xml:space="preserve">   </w:t>
      </w:r>
      <w:r>
        <w:t>2022-10-19</w:t>
      </w:r>
    </w:p>
    <w:p w14:paraId="62DFD5BC" w14:textId="77777777" w:rsidR="00E75D8B" w:rsidRDefault="00000000">
      <w:pPr>
        <w:jc w:val="left"/>
        <w:rPr>
          <w:rFonts w:asciiTheme="minorEastAsia" w:hAnsiTheme="minorEastAsia" w:cs="Helvetica"/>
          <w:bCs/>
          <w:spacing w:val="15"/>
          <w:sz w:val="28"/>
          <w:szCs w:val="28"/>
        </w:rPr>
      </w:pPr>
      <w:r>
        <w:rPr>
          <w:rFonts w:asciiTheme="minorEastAsia" w:hAnsiTheme="minorEastAsia" w:cs="Helvetica"/>
          <w:bCs/>
          <w:noProof/>
          <w:spacing w:val="15"/>
          <w:sz w:val="28"/>
          <w:szCs w:val="28"/>
        </w:rPr>
        <w:drawing>
          <wp:inline distT="0" distB="0" distL="0" distR="0" wp14:anchorId="31D7CB61" wp14:editId="3EA217BD">
            <wp:extent cx="5274310" cy="2244090"/>
            <wp:effectExtent l="0" t="0" r="2540" b="3810"/>
            <wp:docPr id="23" name="图片 23" descr="C:\Users\Administrator\Documents\WeChat Files\ppdeboke\FileStorage\Temp\0b14b974754e67e72776b84ec2eda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WeChat Files\ppdeboke\FileStorage\Temp\0b14b974754e67e72776b84ec2edafd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2244404"/>
                    </a:xfrm>
                    <a:prstGeom prst="rect">
                      <a:avLst/>
                    </a:prstGeom>
                    <a:noFill/>
                    <a:ln>
                      <a:noFill/>
                    </a:ln>
                  </pic:spPr>
                </pic:pic>
              </a:graphicData>
            </a:graphic>
          </wp:inline>
        </w:drawing>
      </w:r>
    </w:p>
    <w:p w14:paraId="40176CAE" w14:textId="77777777" w:rsidR="00E75D8B" w:rsidRDefault="00000000">
      <w:pPr>
        <w:widowControl/>
        <w:jc w:val="left"/>
        <w:rPr>
          <w:rFonts w:ascii="宋体" w:hAnsi="宋体" w:cs="宋体"/>
          <w:kern w:val="0"/>
          <w:sz w:val="24"/>
          <w:szCs w:val="24"/>
        </w:rPr>
      </w:pPr>
      <w:r>
        <w:rPr>
          <w:rFonts w:ascii="宋体" w:hAnsi="宋体" w:cs="宋体"/>
          <w:b/>
          <w:bCs/>
          <w:kern w:val="0"/>
          <w:sz w:val="24"/>
          <w:szCs w:val="24"/>
        </w:rPr>
        <w:t>编制说明</w:t>
      </w:r>
    </w:p>
    <w:p w14:paraId="5DB131D1" w14:textId="77777777" w:rsidR="00E75D8B" w:rsidRDefault="00000000">
      <w:pPr>
        <w:widowControl/>
        <w:jc w:val="left"/>
        <w:rPr>
          <w:rFonts w:ascii="宋体" w:hAnsi="宋体" w:cs="宋体"/>
          <w:kern w:val="0"/>
          <w:sz w:val="24"/>
          <w:szCs w:val="24"/>
        </w:rPr>
      </w:pPr>
      <w:r>
        <w:rPr>
          <w:rFonts w:ascii="宋体" w:hAnsi="宋体" w:cs="宋体"/>
          <w:kern w:val="0"/>
          <w:sz w:val="24"/>
          <w:szCs w:val="24"/>
        </w:rPr>
        <w:t>PREPARATION DESCRIPTION</w:t>
      </w:r>
    </w:p>
    <w:p w14:paraId="71D0FA43" w14:textId="77777777" w:rsidR="00E75D8B" w:rsidRDefault="00000000">
      <w:pPr>
        <w:ind w:firstLineChars="200" w:firstLine="560"/>
        <w:rPr>
          <w:rFonts w:ascii="楷体" w:eastAsia="楷体" w:hAnsi="楷体"/>
          <w:sz w:val="28"/>
          <w:szCs w:val="28"/>
        </w:rPr>
      </w:pPr>
      <w:r>
        <w:rPr>
          <w:rFonts w:ascii="楷体" w:eastAsia="楷体" w:hAnsi="楷体" w:hint="eastAsia"/>
          <w:sz w:val="28"/>
          <w:szCs w:val="28"/>
        </w:rPr>
        <w:t>在我国经济的快速发展、医疗相关政策的放开以及新冠疫情的带动下，医药冷链行业迎来新的发展机遇。随着科学技术的发展，医药冷链物流技术不断涌现，同时，在国家的高度重视下，冷链物流的标准也在逐步提高。然而，我国医药冷链物流行业仍存在体系不完善、物流成本高、技术和设施落后等问题亟待解决。</w:t>
      </w:r>
    </w:p>
    <w:p w14:paraId="791DC649" w14:textId="77777777" w:rsidR="00E75D8B" w:rsidRDefault="00000000">
      <w:pPr>
        <w:ind w:firstLineChars="200" w:firstLine="560"/>
        <w:rPr>
          <w:rFonts w:ascii="楷体" w:eastAsia="楷体" w:hAnsi="楷体"/>
          <w:sz w:val="28"/>
          <w:szCs w:val="28"/>
        </w:rPr>
        <w:sectPr w:rsidR="00E75D8B">
          <w:footerReference w:type="default" r:id="rId41"/>
          <w:pgSz w:w="11906" w:h="16838"/>
          <w:pgMar w:top="1440" w:right="1800" w:bottom="1440" w:left="1800" w:header="851" w:footer="992" w:gutter="0"/>
          <w:cols w:space="425"/>
          <w:docGrid w:type="lines" w:linePitch="312"/>
        </w:sectPr>
      </w:pPr>
      <w:r>
        <w:rPr>
          <w:rFonts w:ascii="楷体" w:eastAsia="楷体" w:hAnsi="楷体" w:hint="eastAsia"/>
          <w:sz w:val="28"/>
          <w:szCs w:val="28"/>
        </w:rPr>
        <w:t>在此背景下，中物联医药物流分会发布此报告，对行业发展情况进行梳理和研究。本报告聚焦中国医药冷链物流行业，采用定量与定性相结合的研究方法，对医药冷链物流行业政策背景、行业规模、技术装备、国际形势等方面进行深入探讨，提出现存痛点与未来发展趋势，以期输出有价值的研究成果，为行业发展提供借鉴意义。</w:t>
      </w:r>
    </w:p>
    <w:p w14:paraId="064CD8BB" w14:textId="77777777" w:rsidR="00E75D8B" w:rsidRDefault="00E75D8B">
      <w:pPr>
        <w:jc w:val="left"/>
        <w:rPr>
          <w:rFonts w:asciiTheme="minorEastAsia" w:hAnsiTheme="minorEastAsia" w:cs="Helvetica"/>
          <w:bCs/>
          <w:spacing w:val="15"/>
          <w:sz w:val="28"/>
          <w:szCs w:val="28"/>
        </w:rPr>
        <w:sectPr w:rsidR="00E75D8B">
          <w:pgSz w:w="16838" w:h="11906" w:orient="landscape"/>
          <w:pgMar w:top="1800" w:right="1440" w:bottom="1800" w:left="1440" w:header="851" w:footer="992" w:gutter="0"/>
          <w:cols w:space="425"/>
          <w:docGrid w:type="lines" w:linePitch="312"/>
        </w:sectPr>
      </w:pPr>
    </w:p>
    <w:p w14:paraId="4D233B4D" w14:textId="77777777" w:rsidR="00E75D8B" w:rsidRDefault="00E75D8B">
      <w:pPr>
        <w:jc w:val="left"/>
        <w:rPr>
          <w:rStyle w:val="ad"/>
          <w:rFonts w:asciiTheme="minorEastAsia" w:hAnsiTheme="minorEastAsia" w:cs="Helvetica"/>
          <w:b w:val="0"/>
          <w:spacing w:val="15"/>
          <w:sz w:val="28"/>
          <w:szCs w:val="28"/>
        </w:rPr>
      </w:pPr>
    </w:p>
    <w:p w14:paraId="5BA6C9BE" w14:textId="77777777" w:rsidR="00E75D8B" w:rsidRDefault="00E75D8B">
      <w:pPr>
        <w:jc w:val="left"/>
        <w:rPr>
          <w:rStyle w:val="ad"/>
          <w:rFonts w:asciiTheme="minorEastAsia" w:hAnsiTheme="minorEastAsia" w:cs="Helvetica"/>
          <w:b w:val="0"/>
          <w:spacing w:val="15"/>
          <w:sz w:val="28"/>
          <w:szCs w:val="28"/>
        </w:rPr>
      </w:pPr>
    </w:p>
    <w:p w14:paraId="289676E2" w14:textId="77777777" w:rsidR="00E75D8B" w:rsidRDefault="00E75D8B">
      <w:pPr>
        <w:jc w:val="left"/>
        <w:rPr>
          <w:rStyle w:val="ad"/>
          <w:rFonts w:asciiTheme="minorEastAsia" w:hAnsiTheme="minorEastAsia" w:cs="Helvetica"/>
          <w:b w:val="0"/>
          <w:spacing w:val="15"/>
          <w:sz w:val="28"/>
          <w:szCs w:val="28"/>
        </w:rPr>
      </w:pPr>
    </w:p>
    <w:p w14:paraId="2F5B956B" w14:textId="77777777" w:rsidR="00E75D8B" w:rsidRDefault="00E75D8B">
      <w:pPr>
        <w:jc w:val="left"/>
        <w:rPr>
          <w:rStyle w:val="ad"/>
          <w:rFonts w:asciiTheme="minorEastAsia" w:hAnsiTheme="minorEastAsia" w:cs="Helvetica"/>
          <w:b w:val="0"/>
          <w:spacing w:val="15"/>
          <w:sz w:val="28"/>
          <w:szCs w:val="28"/>
        </w:rPr>
      </w:pPr>
    </w:p>
    <w:p w14:paraId="677FF120" w14:textId="77777777" w:rsidR="00E75D8B" w:rsidRDefault="00E75D8B">
      <w:pPr>
        <w:jc w:val="left"/>
        <w:rPr>
          <w:rStyle w:val="ad"/>
          <w:rFonts w:asciiTheme="minorEastAsia" w:hAnsiTheme="minorEastAsia" w:cs="Helvetica"/>
          <w:b w:val="0"/>
          <w:spacing w:val="15"/>
          <w:sz w:val="28"/>
          <w:szCs w:val="28"/>
        </w:rPr>
      </w:pPr>
    </w:p>
    <w:p w14:paraId="32524EDD" w14:textId="77777777" w:rsidR="00E75D8B" w:rsidRDefault="00E75D8B">
      <w:pPr>
        <w:jc w:val="left"/>
        <w:rPr>
          <w:rStyle w:val="ad"/>
          <w:rFonts w:asciiTheme="minorEastAsia" w:hAnsiTheme="minorEastAsia" w:cs="Helvetica"/>
          <w:b w:val="0"/>
          <w:spacing w:val="15"/>
          <w:sz w:val="28"/>
          <w:szCs w:val="28"/>
        </w:rPr>
      </w:pPr>
    </w:p>
    <w:p w14:paraId="1AA83FE4" w14:textId="77777777" w:rsidR="00E75D8B" w:rsidRDefault="00E75D8B">
      <w:pPr>
        <w:jc w:val="left"/>
        <w:rPr>
          <w:rStyle w:val="ad"/>
          <w:rFonts w:asciiTheme="minorEastAsia" w:hAnsiTheme="minorEastAsia" w:cs="Helvetica"/>
          <w:b w:val="0"/>
          <w:spacing w:val="15"/>
          <w:sz w:val="28"/>
          <w:szCs w:val="28"/>
        </w:rPr>
      </w:pPr>
    </w:p>
    <w:p w14:paraId="43A7CBDE" w14:textId="77777777" w:rsidR="00E75D8B" w:rsidRDefault="00E75D8B">
      <w:pPr>
        <w:jc w:val="left"/>
        <w:rPr>
          <w:rStyle w:val="ad"/>
          <w:rFonts w:asciiTheme="minorEastAsia" w:hAnsiTheme="minorEastAsia" w:cs="Helvetica"/>
          <w:b w:val="0"/>
          <w:spacing w:val="15"/>
          <w:sz w:val="28"/>
          <w:szCs w:val="28"/>
        </w:rPr>
      </w:pPr>
    </w:p>
    <w:p w14:paraId="1744ECC7" w14:textId="77777777" w:rsidR="00E75D8B" w:rsidRDefault="00E75D8B">
      <w:pPr>
        <w:jc w:val="left"/>
        <w:rPr>
          <w:rStyle w:val="ad"/>
          <w:rFonts w:asciiTheme="minorEastAsia" w:hAnsiTheme="minorEastAsia" w:cs="Helvetica"/>
          <w:b w:val="0"/>
          <w:spacing w:val="15"/>
          <w:sz w:val="28"/>
          <w:szCs w:val="28"/>
        </w:rPr>
      </w:pPr>
    </w:p>
    <w:p w14:paraId="4A3C3BB3" w14:textId="77777777" w:rsidR="00E75D8B" w:rsidRDefault="00E75D8B">
      <w:pPr>
        <w:jc w:val="left"/>
        <w:rPr>
          <w:rStyle w:val="ad"/>
          <w:rFonts w:asciiTheme="minorEastAsia" w:hAnsiTheme="minorEastAsia" w:cs="Helvetica"/>
          <w:b w:val="0"/>
          <w:spacing w:val="15"/>
          <w:sz w:val="28"/>
          <w:szCs w:val="28"/>
        </w:rPr>
      </w:pPr>
    </w:p>
    <w:p w14:paraId="03CB1EB8" w14:textId="77777777" w:rsidR="00E75D8B" w:rsidRDefault="00E75D8B">
      <w:pPr>
        <w:jc w:val="left"/>
        <w:rPr>
          <w:rStyle w:val="ad"/>
          <w:rFonts w:asciiTheme="minorEastAsia" w:hAnsiTheme="minorEastAsia" w:cs="Helvetica"/>
          <w:b w:val="0"/>
          <w:spacing w:val="15"/>
          <w:sz w:val="28"/>
          <w:szCs w:val="28"/>
        </w:rPr>
      </w:pPr>
    </w:p>
    <w:p w14:paraId="22662068" w14:textId="77777777" w:rsidR="00E75D8B" w:rsidRDefault="00E75D8B">
      <w:pPr>
        <w:jc w:val="left"/>
        <w:rPr>
          <w:rStyle w:val="ad"/>
          <w:rFonts w:asciiTheme="minorEastAsia" w:hAnsiTheme="minorEastAsia" w:cs="Helvetica"/>
          <w:b w:val="0"/>
          <w:spacing w:val="15"/>
          <w:sz w:val="28"/>
          <w:szCs w:val="28"/>
        </w:rPr>
      </w:pPr>
    </w:p>
    <w:p w14:paraId="42F60C06" w14:textId="77777777" w:rsidR="00E75D8B" w:rsidRDefault="00E75D8B">
      <w:pPr>
        <w:jc w:val="left"/>
        <w:rPr>
          <w:rStyle w:val="ad"/>
          <w:rFonts w:asciiTheme="minorEastAsia" w:hAnsiTheme="minorEastAsia" w:cs="Helvetica"/>
          <w:b w:val="0"/>
          <w:spacing w:val="15"/>
          <w:sz w:val="28"/>
          <w:szCs w:val="28"/>
        </w:rPr>
      </w:pPr>
    </w:p>
    <w:p w14:paraId="74381EA3" w14:textId="77777777" w:rsidR="00E75D8B" w:rsidRDefault="00E75D8B">
      <w:pPr>
        <w:jc w:val="left"/>
        <w:rPr>
          <w:rStyle w:val="ad"/>
          <w:rFonts w:asciiTheme="minorEastAsia" w:hAnsiTheme="minorEastAsia" w:cs="Helvetica"/>
          <w:b w:val="0"/>
          <w:spacing w:val="15"/>
          <w:sz w:val="28"/>
          <w:szCs w:val="28"/>
        </w:rPr>
      </w:pPr>
    </w:p>
    <w:p w14:paraId="27FC58F7" w14:textId="77777777" w:rsidR="00E75D8B" w:rsidRDefault="00E75D8B">
      <w:pPr>
        <w:jc w:val="left"/>
        <w:rPr>
          <w:rStyle w:val="ad"/>
          <w:rFonts w:asciiTheme="minorEastAsia" w:hAnsiTheme="minorEastAsia" w:cs="Helvetica"/>
          <w:b w:val="0"/>
          <w:spacing w:val="15"/>
          <w:sz w:val="28"/>
          <w:szCs w:val="28"/>
        </w:rPr>
      </w:pPr>
    </w:p>
    <w:p w14:paraId="16EDB80D"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6B757CC8" wp14:editId="1540FDAB">
            <wp:extent cx="8863330" cy="4984750"/>
            <wp:effectExtent l="0" t="0" r="0" b="6350"/>
            <wp:docPr id="42" name="图片 42" descr="C:\Users\Administrator\Documents\WeChat Files\ppdeboke\FileStorage\Temp\737dc7f61fbaec8676ec3d34b5b07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WeChat Files\ppdeboke\FileStorage\Temp\737dc7f61fbaec8676ec3d34b5b07bf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38BA86AB"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79504A15" wp14:editId="1836F3FA">
            <wp:extent cx="8863330" cy="4984750"/>
            <wp:effectExtent l="0" t="0" r="0" b="6350"/>
            <wp:docPr id="45" name="图片 45" descr="C:\Users\Administrator\Documents\WeChat Files\ppdeboke\FileStorage\Temp\b4d4a5e3d3b334fbfd39c41098b4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WeChat Files\ppdeboke\FileStorage\Temp\b4d4a5e3d3b334fbfd39c41098b468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66CD0D95"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0F3A8A7A" wp14:editId="53DF16D4">
            <wp:extent cx="8863330" cy="4984750"/>
            <wp:effectExtent l="0" t="0" r="0" b="6350"/>
            <wp:docPr id="53" name="图片 53" descr="C:\Users\Administrator\Documents\WeChat Files\ppdeboke\FileStorage\Temp\7386741fd6d2f438142f4e7ba71b3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ocuments\WeChat Files\ppdeboke\FileStorage\Temp\7386741fd6d2f438142f4e7ba71b39f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638F078F"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307B98CF" wp14:editId="10A21638">
            <wp:extent cx="8863330" cy="4984750"/>
            <wp:effectExtent l="0" t="0" r="0" b="6350"/>
            <wp:docPr id="55" name="图片 55" descr="C:\Users\Administrator\Documents\WeChat Files\ppdeboke\FileStorage\Temp\9cfd0dbe0ab41a32d81d53d657fc0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ocuments\WeChat Files\ppdeboke\FileStorage\Temp\9cfd0dbe0ab41a32d81d53d657fc0ce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0121F183"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353B0DBA" wp14:editId="358A78EE">
            <wp:extent cx="8863330" cy="4984750"/>
            <wp:effectExtent l="0" t="0" r="0" b="6350"/>
            <wp:docPr id="56" name="图片 56" descr="C:\Users\Administrator\Documents\WeChat Files\ppdeboke\FileStorage\Temp\96516e03fa5712d9a0aa8000572c7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Documents\WeChat Files\ppdeboke\FileStorage\Temp\96516e03fa5712d9a0aa8000572c7e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0E3AEC09"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1C4E0C91" wp14:editId="7944E2CD">
            <wp:extent cx="8863330" cy="4984750"/>
            <wp:effectExtent l="0" t="0" r="0" b="6350"/>
            <wp:docPr id="57" name="图片 57" descr="C:\Users\Administrator\Documents\WeChat Files\ppdeboke\FileStorage\Temp\cd31e6a3746a7c638066f617d3be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ocuments\WeChat Files\ppdeboke\FileStorage\Temp\cd31e6a3746a7c638066f617d3be569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057DC6A7" w14:textId="77777777" w:rsidR="00E75D8B" w:rsidRDefault="00000000">
      <w:pPr>
        <w:jc w:val="left"/>
        <w:rPr>
          <w:rStyle w:val="ad"/>
          <w:rFonts w:asciiTheme="minorEastAsia" w:hAnsiTheme="minorEastAsia" w:cs="Helvetica"/>
          <w:b w:val="0"/>
          <w:spacing w:val="15"/>
          <w:sz w:val="28"/>
          <w:szCs w:val="28"/>
        </w:rPr>
        <w:sectPr w:rsidR="00E75D8B">
          <w:pgSz w:w="16838" w:h="11906" w:orient="landscape"/>
          <w:pgMar w:top="1800" w:right="1440" w:bottom="1800" w:left="1440" w:header="851" w:footer="992" w:gutter="0"/>
          <w:cols w:space="425"/>
          <w:docGrid w:type="lines" w:linePitch="312"/>
        </w:sectPr>
      </w:pPr>
      <w:r>
        <w:rPr>
          <w:rFonts w:asciiTheme="minorEastAsia" w:hAnsiTheme="minorEastAsia" w:cs="Helvetica"/>
          <w:bCs/>
          <w:noProof/>
          <w:spacing w:val="15"/>
          <w:sz w:val="28"/>
          <w:szCs w:val="28"/>
        </w:rPr>
        <w:lastRenderedPageBreak/>
        <w:drawing>
          <wp:inline distT="0" distB="0" distL="0" distR="0" wp14:anchorId="62BDC14A" wp14:editId="24AD269A">
            <wp:extent cx="8863330" cy="4984750"/>
            <wp:effectExtent l="0" t="0" r="0" b="6350"/>
            <wp:docPr id="58" name="图片 58" descr="C:\Users\Administrator\Documents\WeChat Files\ppdeboke\FileStorage\Temp\c7c3afabe1fd5da35bdd0d9be656d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ocuments\WeChat Files\ppdeboke\FileStorage\Temp\c7c3afabe1fd5da35bdd0d9be656d0a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863330" cy="4984837"/>
                    </a:xfrm>
                    <a:prstGeom prst="rect">
                      <a:avLst/>
                    </a:prstGeom>
                    <a:noFill/>
                    <a:ln>
                      <a:noFill/>
                    </a:ln>
                  </pic:spPr>
                </pic:pic>
              </a:graphicData>
            </a:graphic>
          </wp:inline>
        </w:drawing>
      </w:r>
    </w:p>
    <w:p w14:paraId="453AA82E" w14:textId="77777777" w:rsidR="00E75D8B" w:rsidRDefault="00000000">
      <w:pPr>
        <w:pStyle w:val="1"/>
        <w:shd w:val="clear" w:color="auto" w:fill="FAFBFC"/>
        <w:spacing w:before="0" w:after="0"/>
        <w:rPr>
          <w:rFonts w:ascii="Helvetica" w:hAnsi="Helvetica"/>
          <w:bCs w:val="0"/>
          <w:color w:val="333333"/>
          <w:sz w:val="32"/>
          <w:szCs w:val="32"/>
        </w:rPr>
      </w:pPr>
      <w:r>
        <w:rPr>
          <w:rFonts w:ascii="Helvetica" w:hAnsi="Helvetica"/>
          <w:bCs w:val="0"/>
          <w:color w:val="333333"/>
          <w:sz w:val="32"/>
          <w:szCs w:val="32"/>
        </w:rPr>
        <w:lastRenderedPageBreak/>
        <w:t>哈尔滨入选！</w:t>
      </w:r>
      <w:r>
        <w:rPr>
          <w:rFonts w:ascii="Helvetica" w:hAnsi="Helvetica"/>
          <w:bCs w:val="0"/>
          <w:color w:val="333333"/>
          <w:sz w:val="32"/>
          <w:szCs w:val="32"/>
        </w:rPr>
        <w:t>2022</w:t>
      </w:r>
      <w:r>
        <w:rPr>
          <w:rFonts w:ascii="Helvetica" w:hAnsi="Helvetica"/>
          <w:bCs w:val="0"/>
          <w:color w:val="333333"/>
          <w:sz w:val="32"/>
          <w:szCs w:val="32"/>
        </w:rPr>
        <w:t>年国家骨干冷链物流基地发布</w:t>
      </w:r>
    </w:p>
    <w:p w14:paraId="7652D50C" w14:textId="77777777" w:rsidR="00E75D8B" w:rsidRDefault="00000000">
      <w:r>
        <w:t xml:space="preserve">2022-10-19 </w:t>
      </w:r>
      <w:r>
        <w:rPr>
          <w:rFonts w:hint="eastAsia"/>
        </w:rPr>
        <w:t>来源：澎湃新闻·澎湃号·政务</w:t>
      </w:r>
    </w:p>
    <w:p w14:paraId="62C417E8"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近日，中华人民共和国国家发展和改革委员会印发《关于做好2022年国家骨干冷链物流基地建设工作的通知》，发布2022年国家骨干冷链物流基地建设名单。哈尔滨国家骨干冷链物流基地入选。</w:t>
      </w:r>
    </w:p>
    <w:p w14:paraId="17D60483"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本次明确的24个国家骨干冷链物流基地在健全冷链物流网络体系、保障区域生活物资供应、促进冷链物流与相关产业联动发展等方面具有重要作用。</w:t>
      </w:r>
    </w:p>
    <w:p w14:paraId="0877D848"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24个基地中，东部地区8个，中部地区4个，西部地区9个，东北地区3个，统筹兼顾区域发展，健全完善空间布局，将有力支撑“四横四纵”国家冷链物流骨干通道网络建设，带动冷链物流规模化、集约化、组织化、网络化发展。</w:t>
      </w:r>
    </w:p>
    <w:p w14:paraId="78B0E897"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2021年11月，国务院办公厅印发《“十四五”冷链物流发展规划》，提出了布局建设100个左右国家骨干冷链物流基地的部署。国家发展改革委印发《国家骨干冷链物流基地建设实施方案》，重点依托106个城市开展基地布局建设，重点面向农产品优势产区、主要集散地和主销区，打造国家层面的骨干冷链物流基础设施网络，整合集聚冷链物流资源，促进冷链物流与相关产业深度融合、集群发展，为构建新发展格局奠定坚实基础。首批17个国家骨干冷链物流基地建设名单已于此前发布，加上今年明确的24个国家骨干冷链物流基地，国家骨干冷链物流基地达41个，覆盖全国27个省（区、市）。</w:t>
      </w:r>
    </w:p>
    <w:p w14:paraId="35D7F007" w14:textId="77777777" w:rsidR="00E75D8B" w:rsidRDefault="00000000">
      <w:pPr>
        <w:jc w:val="left"/>
        <w:rPr>
          <w:rStyle w:val="ad"/>
          <w:rFonts w:ascii="Helvetica" w:hAnsi="Helvetica"/>
          <w:color w:val="333333"/>
          <w:sz w:val="30"/>
          <w:szCs w:val="30"/>
          <w:shd w:val="clear" w:color="auto" w:fill="FAFBFC"/>
        </w:rPr>
      </w:pPr>
      <w:r>
        <w:rPr>
          <w:rStyle w:val="ad"/>
          <w:rFonts w:ascii="Helvetica" w:hAnsi="Helvetica"/>
          <w:color w:val="333333"/>
          <w:sz w:val="30"/>
          <w:szCs w:val="30"/>
          <w:shd w:val="clear" w:color="auto" w:fill="FAFBFC"/>
        </w:rPr>
        <w:lastRenderedPageBreak/>
        <w:t>2022</w:t>
      </w:r>
      <w:r>
        <w:rPr>
          <w:rStyle w:val="ad"/>
          <w:rFonts w:ascii="Helvetica" w:hAnsi="Helvetica"/>
          <w:color w:val="333333"/>
          <w:sz w:val="30"/>
          <w:szCs w:val="30"/>
          <w:shd w:val="clear" w:color="auto" w:fill="FAFBFC"/>
        </w:rPr>
        <w:t>年国家骨干冷链物流基地建设名单</w:t>
      </w:r>
    </w:p>
    <w:p w14:paraId="38200A18"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21AE98F2" wp14:editId="422E3BD4">
            <wp:extent cx="5012055" cy="6598920"/>
            <wp:effectExtent l="0" t="0" r="0" b="0"/>
            <wp:docPr id="59" name="图片 59" descr="C:\Users\ADMINI~1\AppData\Local\Temp\166633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1666336674(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012055" cy="6598920"/>
                    </a:xfrm>
                    <a:prstGeom prst="rect">
                      <a:avLst/>
                    </a:prstGeom>
                    <a:noFill/>
                    <a:ln>
                      <a:noFill/>
                    </a:ln>
                  </pic:spPr>
                </pic:pic>
              </a:graphicData>
            </a:graphic>
          </wp:inline>
        </w:drawing>
      </w:r>
    </w:p>
    <w:p w14:paraId="4030147C" w14:textId="77777777" w:rsidR="00E75D8B" w:rsidRDefault="00E75D8B">
      <w:pPr>
        <w:rPr>
          <w:rStyle w:val="ad"/>
          <w:rFonts w:asciiTheme="minorEastAsia" w:hAnsiTheme="minorEastAsia" w:cs="Helvetica"/>
          <w:b w:val="0"/>
          <w:spacing w:val="15"/>
          <w:sz w:val="28"/>
          <w:szCs w:val="28"/>
        </w:rPr>
      </w:pPr>
    </w:p>
    <w:p w14:paraId="0F8EA3C1" w14:textId="77777777" w:rsidR="00E75D8B" w:rsidRDefault="00E75D8B">
      <w:pPr>
        <w:jc w:val="center"/>
        <w:rPr>
          <w:rStyle w:val="ad"/>
          <w:rFonts w:asciiTheme="minorEastAsia" w:hAnsiTheme="minorEastAsia" w:cs="Helvetica"/>
          <w:b w:val="0"/>
          <w:spacing w:val="15"/>
          <w:sz w:val="28"/>
          <w:szCs w:val="28"/>
        </w:rPr>
      </w:pPr>
    </w:p>
    <w:p w14:paraId="6E2CDA42" w14:textId="77777777" w:rsidR="00E75D8B" w:rsidRDefault="00E75D8B">
      <w:pPr>
        <w:jc w:val="center"/>
        <w:rPr>
          <w:rStyle w:val="ad"/>
          <w:rFonts w:asciiTheme="minorEastAsia" w:hAnsiTheme="minorEastAsia" w:cs="Helvetica"/>
          <w:b w:val="0"/>
          <w:spacing w:val="15"/>
          <w:sz w:val="28"/>
          <w:szCs w:val="28"/>
        </w:rPr>
      </w:pPr>
    </w:p>
    <w:p w14:paraId="49BE0A31" w14:textId="77777777" w:rsidR="00E75D8B" w:rsidRDefault="00E75D8B">
      <w:pPr>
        <w:jc w:val="center"/>
        <w:rPr>
          <w:rStyle w:val="ad"/>
          <w:rFonts w:asciiTheme="minorEastAsia" w:hAnsiTheme="minorEastAsia" w:cs="Helvetica"/>
          <w:b w:val="0"/>
          <w:spacing w:val="15"/>
          <w:sz w:val="28"/>
          <w:szCs w:val="28"/>
        </w:rPr>
      </w:pPr>
    </w:p>
    <w:p w14:paraId="1A99C927" w14:textId="77777777" w:rsidR="00E75D8B"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附件3</w:t>
      </w:r>
    </w:p>
    <w:p w14:paraId="18C69E5C" w14:textId="77777777" w:rsidR="00E75D8B" w:rsidRDefault="00E75D8B">
      <w:pPr>
        <w:rPr>
          <w:rFonts w:ascii="微软雅黑" w:eastAsia="微软雅黑" w:hAnsi="微软雅黑" w:cs="宋体"/>
          <w:color w:val="333333"/>
          <w:spacing w:val="8"/>
          <w:kern w:val="0"/>
          <w:sz w:val="33"/>
          <w:szCs w:val="33"/>
        </w:rPr>
      </w:pPr>
    </w:p>
    <w:p w14:paraId="16B5E3F3" w14:textId="77777777" w:rsidR="00E75D8B" w:rsidRDefault="00000000">
      <w:r>
        <w:rPr>
          <w:rFonts w:ascii="微软雅黑" w:eastAsia="微软雅黑" w:hAnsi="微软雅黑" w:cs="宋体" w:hint="eastAsia"/>
          <w:color w:val="333333"/>
          <w:spacing w:val="8"/>
          <w:kern w:val="0"/>
          <w:sz w:val="33"/>
          <w:szCs w:val="33"/>
        </w:rPr>
        <w:t>第八批集采会否纳入生物类似药？一文梳理齐鲁、信达、正大天晴等180家企业竞逐百亿市场！</w:t>
      </w:r>
    </w:p>
    <w:p w14:paraId="5AF6A16A" w14:textId="77777777" w:rsidR="00E75D8B" w:rsidRDefault="00E75D8B">
      <w:pPr>
        <w:jc w:val="left"/>
      </w:pPr>
    </w:p>
    <w:p w14:paraId="429B4BEE" w14:textId="77777777" w:rsidR="00E75D8B" w:rsidRDefault="00000000">
      <w:pPr>
        <w:jc w:val="left"/>
      </w:pPr>
      <w:r>
        <w:rPr>
          <w:rFonts w:hint="eastAsia"/>
        </w:rPr>
        <w:t>原创</w:t>
      </w:r>
      <w:r>
        <w:rPr>
          <w:rFonts w:hint="eastAsia"/>
        </w:rPr>
        <w:t xml:space="preserve"> </w:t>
      </w:r>
      <w:r>
        <w:rPr>
          <w:rFonts w:hint="eastAsia"/>
        </w:rPr>
        <w:t>皓闻</w:t>
      </w:r>
      <w:r>
        <w:rPr>
          <w:rFonts w:hint="eastAsia"/>
        </w:rPr>
        <w:t xml:space="preserve"> </w:t>
      </w:r>
      <w:r>
        <w:rPr>
          <w:rFonts w:hint="eastAsia"/>
        </w:rPr>
        <w:t>新媒体中心</w:t>
      </w:r>
      <w:r>
        <w:rPr>
          <w:rFonts w:hint="eastAsia"/>
        </w:rPr>
        <w:t xml:space="preserve">  </w:t>
      </w:r>
      <w:r>
        <w:rPr>
          <w:rFonts w:hint="eastAsia"/>
        </w:rPr>
        <w:t>医药经济报</w:t>
      </w:r>
      <w:r>
        <w:rPr>
          <w:rFonts w:hint="eastAsia"/>
        </w:rPr>
        <w:t xml:space="preserve">  2022-10-19</w:t>
      </w:r>
    </w:p>
    <w:p w14:paraId="5ABCBCEE" w14:textId="77777777" w:rsidR="00E75D8B" w:rsidRDefault="00E75D8B">
      <w:pPr>
        <w:jc w:val="left"/>
        <w:rPr>
          <w:rStyle w:val="ad"/>
          <w:rFonts w:asciiTheme="minorEastAsia" w:hAnsiTheme="minorEastAsia" w:cs="Helvetica"/>
          <w:b w:val="0"/>
          <w:spacing w:val="15"/>
          <w:sz w:val="28"/>
          <w:szCs w:val="28"/>
        </w:rPr>
      </w:pPr>
    </w:p>
    <w:p w14:paraId="15A8DDA4"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伴随着第七批集采的落幕，第八批集采成为业内热议的话题。其中，被广泛关注的“生物药集采”，终于收到了新消息。</w:t>
      </w:r>
    </w:p>
    <w:p w14:paraId="0A4B94A1"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国家医保局发布《关于政协十三届全国委员会第五次会议第03703号 （医疗卫生类329号） 提案答复的函》，对朱奕龙委员提出的关于引入新型创新药准入评价机制的提案进行了答复。回复函中明确提出：将结合生物药的特点，不断完善生物药的集采规则。</w:t>
      </w:r>
    </w:p>
    <w:p w14:paraId="109192DF"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第六批国家组织药品集中采购胰岛素，打响了生物药集采“第一枪”，而医保局此次回复函对生物药集采更具导向性，在业内看来，生物类似药的集采已箭在弦上，预计今明两年将会进入常态化。</w:t>
      </w:r>
    </w:p>
    <w:p w14:paraId="3BBC3932" w14:textId="77777777" w:rsidR="00E75D8B" w:rsidRDefault="00000000">
      <w:pPr>
        <w:widowControl/>
        <w:shd w:val="clear" w:color="auto" w:fill="FEFEFE"/>
        <w:spacing w:line="360" w:lineRule="atLeast"/>
        <w:jc w:val="left"/>
        <w:rPr>
          <w:rFonts w:ascii="宋体" w:hAnsi="宋体" w:cs="宋体"/>
          <w:color w:val="DDDDDD"/>
          <w:kern w:val="0"/>
          <w:sz w:val="27"/>
          <w:szCs w:val="27"/>
        </w:rPr>
      </w:pPr>
      <w:r>
        <w:rPr>
          <w:rFonts w:ascii="宋体" w:hAnsi="宋体" w:cs="宋体"/>
          <w:b/>
          <w:bCs/>
          <w:noProof/>
          <w:color w:val="C00000"/>
          <w:kern w:val="0"/>
          <w:sz w:val="26"/>
          <w:szCs w:val="26"/>
        </w:rPr>
        <mc:AlternateContent>
          <mc:Choice Requires="wps">
            <w:drawing>
              <wp:anchor distT="0" distB="0" distL="114300" distR="114300" simplePos="0" relativeHeight="251662336" behindDoc="0" locked="0" layoutInCell="1" allowOverlap="1" wp14:anchorId="02BA0B89" wp14:editId="3659403E">
                <wp:simplePos x="0" y="0"/>
                <wp:positionH relativeFrom="column">
                  <wp:posOffset>27305</wp:posOffset>
                </wp:positionH>
                <wp:positionV relativeFrom="paragraph">
                  <wp:posOffset>389890</wp:posOffset>
                </wp:positionV>
                <wp:extent cx="5219065" cy="0"/>
                <wp:effectExtent l="0" t="0" r="20320" b="19050"/>
                <wp:wrapNone/>
                <wp:docPr id="20" name="直接连接符 20"/>
                <wp:cNvGraphicFramePr/>
                <a:graphic xmlns:a="http://schemas.openxmlformats.org/drawingml/2006/main">
                  <a:graphicData uri="http://schemas.microsoft.com/office/word/2010/wordprocessingShape">
                    <wps:wsp>
                      <wps:cNvCnPr/>
                      <wps:spPr>
                        <a:xfrm>
                          <a:off x="0" y="0"/>
                          <a:ext cx="5218981"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A68CB" id="直接连接符 20"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2.15pt,30.7pt" to="413.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iHvwEAAN8DAAAOAAAAZHJzL2Uyb0RvYy54bWysU02P0zAQvSPxHyzfaZKKRSVquoeulguC&#10;FbA/wHXGjSV/aWya9N8zdtp0BQgJRA5OPJ735s3zZHs/WcNOgFF71/FmVXMGTvpeu2PHn789vtlw&#10;FpNwvTDeQcfPEPn97vWr7RhaWPvBmx6QEYmL7Rg6PqQU2qqKcgAr4soHcHSoPFqRaIvHqkcxErs1&#10;1bqu31Wjxz6glxAjRR/mQ74r/EqBTJ+VipCY6ThpS2XFsh7yWu22oj2iCIOWFxniH1RYoR0VXage&#10;RBLsO+pfqKyW6KNXaSW9rbxSWkLpgbpp6p+6+TqIAKUXMieGxab4/2jlp9PePSHZMIbYxvCEuYtJ&#10;oc1v0semYtZ5MQumxCQF79bN5v2m4Uxez6obMGBMH8Bblj86brTLfYhWnD7GRMUo9ZqSw8axsePr&#10;u7d1XdKiN7p/1Mbkw4jHw94gOwm6w32dn3xtRPEijXbGUfDWRflKZwNzgS+gmO5JdzNXyAMGC62Q&#10;ElxqLrzGUXaGKZKwAC/S/gS85GcolOH7G/CCKJW9SwvYaufxd7LTdJWs5vyrA3Pf2YKD78/lfos1&#10;NEXFucvE5zF9uS/w23+5+wEAAP//AwBQSwMEFAAGAAgAAAAhAHUsbxbeAAAABwEAAA8AAABkcnMv&#10;ZG93bnJldi54bWxMjs1OwkAUhfcmvMPkkriTKZU0pPaWGKMLFyaCBHQ3dK5tpXOndAZa3t4xLmB5&#10;fnLOly0G04gTda62jDCdRCCIC6trLhHWHy93cxDOK9aqsUwIZ3KwyEc3mUq17XlJp5UvRRhhlyqE&#10;yvs2ldIVFRnlJrYlDtm37YzyQXal1J3qw7hpZBxFiTSq5vBQqZaeKir2q6NBOBz2b3H/uf15Xn4V&#10;5+TVv683dYl4Ox4eH0B4GvylDH/4AR3ywLSzR9ZONAiz+1BESKYzECGex0kMYvdvyDyT1/z5LwAA&#10;AP//AwBQSwECLQAUAAYACAAAACEAtoM4kv4AAADhAQAAEwAAAAAAAAAAAAAAAAAAAAAAW0NvbnRl&#10;bnRfVHlwZXNdLnhtbFBLAQItABQABgAIAAAAIQA4/SH/1gAAAJQBAAALAAAAAAAAAAAAAAAAAC8B&#10;AABfcmVscy8ucmVsc1BLAQItABQABgAIAAAAIQC1pciHvwEAAN8DAAAOAAAAAAAAAAAAAAAAAC4C&#10;AABkcnMvZTJvRG9jLnhtbFBLAQItABQABgAIAAAAIQB1LG8W3gAAAAcBAAAPAAAAAAAAAAAAAAAA&#10;ABkEAABkcnMvZG93bnJldi54bWxQSwUGAAAAAAQABADzAAAAJAUAAAAA&#10;" strokecolor="#c00000" strokeweight="2pt"/>
            </w:pict>
          </mc:Fallback>
        </mc:AlternateContent>
      </w:r>
      <w:r>
        <w:rPr>
          <w:rFonts w:ascii="宋体" w:hAnsi="宋体" w:cs="宋体"/>
          <w:b/>
          <w:bCs/>
          <w:color w:val="C00000"/>
          <w:kern w:val="0"/>
          <w:sz w:val="26"/>
          <w:szCs w:val="26"/>
        </w:rPr>
        <w:t>箭在弦上</w:t>
      </w:r>
    </w:p>
    <w:p w14:paraId="3EEB183E" w14:textId="77777777" w:rsidR="00E75D8B" w:rsidRDefault="00000000">
      <w:pPr>
        <w:widowControl/>
        <w:shd w:val="clear" w:color="auto" w:fill="FFFFFF"/>
        <w:spacing w:line="420" w:lineRule="atLeast"/>
        <w:ind w:left="75" w:right="75"/>
        <w:rPr>
          <w:rFonts w:ascii="微软雅黑" w:eastAsia="微软雅黑" w:hAnsi="微软雅黑" w:cs="宋体"/>
          <w:color w:val="222222"/>
          <w:spacing w:val="8"/>
          <w:kern w:val="0"/>
          <w:sz w:val="26"/>
          <w:szCs w:val="26"/>
        </w:rPr>
      </w:pPr>
      <w:r>
        <w:rPr>
          <w:rFonts w:ascii="微软雅黑" w:eastAsia="微软雅黑" w:hAnsi="微软雅黑" w:cs="宋体" w:hint="eastAsia"/>
          <w:b/>
          <w:bCs/>
          <w:color w:val="C00000"/>
          <w:spacing w:val="15"/>
          <w:kern w:val="0"/>
          <w:sz w:val="24"/>
          <w:szCs w:val="24"/>
        </w:rPr>
        <w:t>“国采”蓄势百亿市场涌动</w:t>
      </w:r>
    </w:p>
    <w:p w14:paraId="5C0DDDA3"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国家医保局在答复函中表示，目前开展了6批化学药和1批生物药（胰岛素专项）集中带量采购，取得积极进展。</w:t>
      </w:r>
    </w:p>
    <w:p w14:paraId="1AFC8B43" w14:textId="77777777" w:rsidR="00E75D8B" w:rsidRDefault="00000000">
      <w:pPr>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lastRenderedPageBreak/>
        <w:t>同时，国家医保局也指出生物药集采的难点：和化学药相比，生物药无一致性评价作为支撑、命名复杂多样、产能爬坡提升较慢。因此，国家医保局会同相关部门在化学药集采基础上，对规则进一步调整完善，充分考虑生物药的特点精心制定胰岛素集采规则：</w:t>
      </w:r>
    </w:p>
    <w:p w14:paraId="65774308" w14:textId="77777777" w:rsidR="00E75D8B" w:rsidRDefault="00000000">
      <w:pPr>
        <w:pStyle w:val="ab"/>
        <w:spacing w:before="0" w:beforeAutospacing="0" w:after="0" w:afterAutospacing="0"/>
        <w:jc w:val="both"/>
        <w:rPr>
          <w:sz w:val="28"/>
          <w:szCs w:val="28"/>
        </w:rPr>
      </w:pPr>
      <w:r>
        <w:rPr>
          <w:sz w:val="28"/>
          <w:szCs w:val="28"/>
        </w:rPr>
        <w:t>一是集采前由医疗机构按厂牌报送需求量，中选结果产生后，由医疗机构按一定规则选择中选产品，充分尊重临床选择，保持临床用药的稳定性。</w:t>
      </w:r>
    </w:p>
    <w:p w14:paraId="2B5384DD" w14:textId="77777777" w:rsidR="00E75D8B" w:rsidRDefault="00000000">
      <w:pPr>
        <w:pStyle w:val="ab"/>
        <w:spacing w:before="0" w:beforeAutospacing="0" w:after="0" w:afterAutospacing="0"/>
        <w:jc w:val="both"/>
        <w:rPr>
          <w:sz w:val="28"/>
          <w:szCs w:val="28"/>
        </w:rPr>
      </w:pPr>
      <w:r>
        <w:rPr>
          <w:sz w:val="28"/>
          <w:szCs w:val="28"/>
        </w:rPr>
        <w:t>二是将治疗目的和临床作用机制相似但通用名不同的产品合并分组，兼顾了临床使用需求和竞争的充分性。</w:t>
      </w:r>
    </w:p>
    <w:p w14:paraId="3E1CEEE6" w14:textId="77777777" w:rsidR="00E75D8B" w:rsidRDefault="00000000">
      <w:pPr>
        <w:pStyle w:val="ab"/>
        <w:spacing w:before="0" w:beforeAutospacing="0" w:after="0" w:afterAutospacing="0"/>
        <w:jc w:val="both"/>
      </w:pPr>
      <w:r>
        <w:rPr>
          <w:sz w:val="28"/>
          <w:szCs w:val="28"/>
        </w:rPr>
        <w:t>三是针对生物药产能约束的特点，通过摸底调查充分掌握企业产能，设置协议采购量不超过企业最大产能的 50%，并在落地时预留足够生产准备时间，多措并举保障供应。</w:t>
      </w:r>
    </w:p>
    <w:p w14:paraId="7705B482"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实际上，国家医保局此前也多次发布消息，有意向“将生物类似药纳入集中带量采购”。此番国家医保局更是明确透露了“将生物类似药纳入集中带量采购”的思路与导向。答复函中表示，下一步，将在现有集采成功经验基础上，结合生物药的特点，不断完善生物药集采规则。这也意味着推动生物药集中带量采购或许已进入议程。</w:t>
      </w:r>
    </w:p>
    <w:p w14:paraId="30EADFF4"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去年2月国家药监局药审中心（CDE）发布了《生物类似药相似性评价和适应症外推技术指导原则》，对生物类似药的“相似性”进行了具体定义。这被业界认为是生物类似药的“一</w:t>
      </w:r>
      <w:r>
        <w:rPr>
          <w:rStyle w:val="ad"/>
          <w:rFonts w:asciiTheme="minorEastAsia" w:hAnsiTheme="minorEastAsia" w:cs="Helvetica" w:hint="eastAsia"/>
          <w:b w:val="0"/>
          <w:spacing w:val="15"/>
          <w:sz w:val="28"/>
          <w:szCs w:val="28"/>
        </w:rPr>
        <w:lastRenderedPageBreak/>
        <w:t>致性评价”来了，同时也被认为是为生物类似药纳入集采做准备。</w:t>
      </w:r>
    </w:p>
    <w:p w14:paraId="3D9E6FE1"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 xml:space="preserve">胰岛素集采的探索实践，也为生物类似药组织集采积累一定经验。作为典型的生物药，胰岛素大分子产品有别于小分子化学药，无法简单开展一致性评价，但与复杂生物药相比较，多肽类胰岛素和胰岛素类似物有其特殊属性。　</w:t>
      </w:r>
    </w:p>
    <w:p w14:paraId="0236D539"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2021年11月，全国胰岛素专项集中采购开启，此次药品集中采购品种为餐时人胰岛素、基础人胰岛素、 预混人胰岛素、餐时胰岛素类似物、基础胰岛素类似物、预混胰岛素类似物，共6个采购组。据估算，全国胰岛素集采首年采购需求量2.1亿支，涉及金额170亿，中选产品价格平均降幅 48%。</w:t>
      </w:r>
    </w:p>
    <w:p w14:paraId="0C9E8DF4"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事实上，生物类似药集采已落地广东。3月10日，广东联盟双氯芬酸等276个药品集中带量采购（第一批）报价在线上展开。从公布的合格申报产品信息表来看，该批次涵盖了146个药品，共涉及579家企业、1608个品规，其中利妥昔单抗、注射用人生长激素、注射用重组人凝血因子这三个业界较为关注的生物药、激素类药物和血液制品皆在其列。</w:t>
      </w:r>
    </w:p>
    <w:p w14:paraId="39B87D7E"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其中最令人关注的是利妥昔单抗，单抗类的生物类似药国内生产、在研企业众多，这次广东联盟集采，业内认为是打响了这一类生物类似药的“第一枪”。</w:t>
      </w:r>
    </w:p>
    <w:p w14:paraId="75B32FEA"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随着生物类似药的相继获批，国内生物类似药市场的不断扩大。弗洛斯特沙利文数据显示，预计到2030 年，我国生物</w:t>
      </w:r>
      <w:r>
        <w:rPr>
          <w:rStyle w:val="ad"/>
          <w:rFonts w:asciiTheme="minorEastAsia" w:hAnsiTheme="minorEastAsia" w:cs="Helvetica" w:hint="eastAsia"/>
          <w:b w:val="0"/>
          <w:spacing w:val="15"/>
          <w:sz w:val="28"/>
          <w:szCs w:val="28"/>
        </w:rPr>
        <w:lastRenderedPageBreak/>
        <w:t>类似药市场将达到589 亿元，三年内将有近30 款国产生物类似药上市。</w:t>
      </w:r>
    </w:p>
    <w:p w14:paraId="76421D2A"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从国内生物类似药市场竞争格局来看，不少产品已满足3家充分竞争的条件，并具有一定的市场规模，随着此次医保局明确在生物药集采规则方面采取下一步措施，下一批生物类似药集采已是箭在弦上。</w:t>
      </w:r>
    </w:p>
    <w:p w14:paraId="6165C985" w14:textId="77777777" w:rsidR="00E75D8B" w:rsidRDefault="00000000">
      <w:pPr>
        <w:pStyle w:val="ab"/>
        <w:shd w:val="clear" w:color="auto" w:fill="FEFEFE"/>
        <w:spacing w:before="0" w:beforeAutospacing="0" w:after="0" w:afterAutospacing="0" w:line="360" w:lineRule="atLeast"/>
        <w:rPr>
          <w:color w:val="DDDDDD"/>
          <w:sz w:val="27"/>
          <w:szCs w:val="27"/>
        </w:rPr>
      </w:pPr>
      <w:r>
        <w:rPr>
          <w:b/>
          <w:bCs/>
          <w:noProof/>
          <w:color w:val="C00000"/>
          <w:sz w:val="26"/>
          <w:szCs w:val="26"/>
        </w:rPr>
        <mc:AlternateContent>
          <mc:Choice Requires="wps">
            <w:drawing>
              <wp:anchor distT="0" distB="0" distL="114300" distR="114300" simplePos="0" relativeHeight="251663360" behindDoc="0" locked="0" layoutInCell="1" allowOverlap="1" wp14:anchorId="19024A38" wp14:editId="07E5F999">
                <wp:simplePos x="0" y="0"/>
                <wp:positionH relativeFrom="column">
                  <wp:posOffset>20955</wp:posOffset>
                </wp:positionH>
                <wp:positionV relativeFrom="paragraph">
                  <wp:posOffset>386715</wp:posOffset>
                </wp:positionV>
                <wp:extent cx="5218430" cy="0"/>
                <wp:effectExtent l="0" t="0" r="20320" b="19050"/>
                <wp:wrapNone/>
                <wp:docPr id="21" name="直接连接符 21"/>
                <wp:cNvGraphicFramePr/>
                <a:graphic xmlns:a="http://schemas.openxmlformats.org/drawingml/2006/main">
                  <a:graphicData uri="http://schemas.microsoft.com/office/word/2010/wordprocessingShape">
                    <wps:wsp>
                      <wps:cNvCnPr/>
                      <wps:spPr>
                        <a:xfrm>
                          <a:off x="0" y="0"/>
                          <a:ext cx="521843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2D218" id="直接连接符 2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65pt,30.45pt" to="412.5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v8wAEAAN8DAAAOAAAAZHJzL2Uyb0RvYy54bWysU8tu2zAQvBfoPxC815KcpAgEyzk4SC9F&#10;G/TxATS1tAjwBS5ryX/fJWXLQVsUaBEdKHG5Mzs7XG0eJmvYESJq7zrerGrOwEnfa3fo+PdvT+/u&#10;OcMkXC+Md9DxEyB/2L59sxlDC2s/eNNDZETisB1Dx4eUQltVKAewAlc+gKND5aMVibbxUPVRjMRu&#10;TbWu6/fV6GMfopeASNHH+ZBvC79SINNnpRASMx0nbamssaz7vFbbjWgPUYRBy7MM8R8qrNCOii5U&#10;jyIJ9iPq36isltGjV2klva28UlpC6YG6aepfuvk6iAClFzIHw2ITvh6t/HTcuedINowBWwzPMXcx&#10;qWjzm/SxqZh1WsyCKTFJwbt1c397Q57Ky1l1BYaI6QN4y/JHx412uQ/RiuNHTFSMUi8pOWwcGzu+&#10;vrut65KG3uj+SRuTDzEe9jsT2VHQHe7q/ORrI4oXabQzjoLXLspXOhmYC3wBxXRPupu5Qh4wWGiF&#10;lOBSc+Y1jrIzTJGEBXiW9jfgOT9DoQzfv4AXRKnsXVrAVjsf/yQ7TRfJas6/ODD3nS3Y+/5U7rdY&#10;Q1NUnDtPfB7Tl/sCv/6X258AAAD//wMAUEsDBBQABgAIAAAAIQC9Uhl03gAAAAcBAAAPAAAAZHJz&#10;L2Rvd25yZXYueG1sTI5LT8JAFIX3JvyHySVxJ1NKbLB0SozRhQsTQeJjd+lc2krnTukMtPx7xrjQ&#10;5XnknC9bDqYRJ+pcbVnBdBKBIC6srrlUsHl7upmDcB5ZY2OZFJzJwTIfXWWYatvzik5rX4owwi5F&#10;BZX3bSqlKyoy6Ca2JQ7ZznYGfZBdKXWHfRg3jYyjKJEGaw4PFbb0UFGxXx+NgsNh/xL3nx/fj6uv&#10;4pw8+9fNe10qdT0e7hcgPA3+rww/+AEd8sC0tUfWTjQKZrNQVJBEdyBCPI9vpyC2v4bMM/mfP78A&#10;AAD//wMAUEsBAi0AFAAGAAgAAAAhALaDOJL+AAAA4QEAABMAAAAAAAAAAAAAAAAAAAAAAFtDb250&#10;ZW50X1R5cGVzXS54bWxQSwECLQAUAAYACAAAACEAOP0h/9YAAACUAQAACwAAAAAAAAAAAAAAAAAv&#10;AQAAX3JlbHMvLnJlbHNQSwECLQAUAAYACAAAACEAWplb/MABAADfAwAADgAAAAAAAAAAAAAAAAAu&#10;AgAAZHJzL2Uyb0RvYy54bWxQSwECLQAUAAYACAAAACEAvVIZdN4AAAAHAQAADwAAAAAAAAAAAAAA&#10;AAAaBAAAZHJzL2Rvd25yZXYueG1sUEsFBgAAAAAEAAQA8wAAACUFAAAAAA==&#10;" strokecolor="#c00000" strokeweight="2pt"/>
            </w:pict>
          </mc:Fallback>
        </mc:AlternateContent>
      </w:r>
      <w:r>
        <w:rPr>
          <w:rStyle w:val="ad"/>
          <w:color w:val="C00000"/>
          <w:sz w:val="26"/>
          <w:szCs w:val="26"/>
        </w:rPr>
        <w:t>群雄逐鹿</w:t>
      </w:r>
    </w:p>
    <w:p w14:paraId="18F0D780" w14:textId="77777777" w:rsidR="00E75D8B" w:rsidRDefault="00000000">
      <w:pPr>
        <w:pStyle w:val="ab"/>
        <w:shd w:val="clear" w:color="auto" w:fill="FFFFFF"/>
        <w:spacing w:before="0" w:beforeAutospacing="0" w:after="0" w:afterAutospacing="0" w:line="420" w:lineRule="atLeast"/>
        <w:ind w:left="75" w:right="75"/>
        <w:jc w:val="both"/>
        <w:rPr>
          <w:rFonts w:ascii="微软雅黑" w:eastAsia="微软雅黑" w:hAnsi="微软雅黑"/>
          <w:color w:val="222222"/>
          <w:spacing w:val="8"/>
          <w:sz w:val="26"/>
          <w:szCs w:val="26"/>
        </w:rPr>
      </w:pPr>
      <w:r>
        <w:rPr>
          <w:rStyle w:val="ad"/>
          <w:rFonts w:ascii="微软雅黑" w:eastAsia="微软雅黑" w:hAnsi="微软雅黑" w:hint="eastAsia"/>
          <w:color w:val="C00000"/>
          <w:spacing w:val="15"/>
        </w:rPr>
        <w:t>国内生物类似药迅猛发展</w:t>
      </w:r>
    </w:p>
    <w:p w14:paraId="6A87F75B"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生物类似药是指在质量、安全性和有效性方面与已批准生物原研药具有相似性的治疗用生物制品。“相似性”是指候选药与已获批的参照药整体相似，且在质量、安全性以及有效性方面与参照药不存在有临床意义的差别。</w:t>
      </w:r>
    </w:p>
    <w:p w14:paraId="7D293E30"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生物类似药在欧美已经经历了漫长的发展历程，近年来，国内的生物类似药领域也热潮涌动，处于百花齐发的竞争态势。</w:t>
      </w:r>
    </w:p>
    <w:p w14:paraId="3243B95D"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目前国内约180家药企已布局生物类似物的产品研发，共涉及约400款药物，在研的生物类似药大多集中在CD20、VEGF、HER2等热门靶点，竞争将不言而喻。国内药企上市的生物类似药，主要是这六款：贝伐珠单抗、阿达木单抗、曲妥珠单抗、利妥昔单抗、地舒单抗和英夫利西单抗。</w:t>
      </w:r>
    </w:p>
    <w:p w14:paraId="6B2AFD6C" w14:textId="77777777" w:rsidR="00E75D8B" w:rsidRDefault="00E75D8B">
      <w:pPr>
        <w:ind w:firstLineChars="200" w:firstLine="620"/>
        <w:rPr>
          <w:rStyle w:val="ad"/>
          <w:rFonts w:asciiTheme="minorEastAsia" w:hAnsiTheme="minorEastAsia" w:cs="Helvetica"/>
          <w:b w:val="0"/>
          <w:spacing w:val="15"/>
          <w:sz w:val="28"/>
          <w:szCs w:val="28"/>
        </w:rPr>
      </w:pPr>
    </w:p>
    <w:p w14:paraId="6B4913DD" w14:textId="77777777" w:rsidR="00E75D8B" w:rsidRDefault="00000000">
      <w:pP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1CA51F5A" wp14:editId="05B07F17">
            <wp:extent cx="5158105" cy="8550910"/>
            <wp:effectExtent l="0" t="0" r="4445" b="2540"/>
            <wp:docPr id="22" name="图片 22" descr="C:\Users\Administrator\Documents\WeChat Files\ppdeboke\FileStorage\Temp\cbd8a9de98f14e57702621c7b3f19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ocuments\WeChat Files\ppdeboke\FileStorage\Temp\cbd8a9de98f14e57702621c7b3f199b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167116" cy="8565795"/>
                    </a:xfrm>
                    <a:prstGeom prst="rect">
                      <a:avLst/>
                    </a:prstGeom>
                    <a:noFill/>
                    <a:ln>
                      <a:noFill/>
                    </a:ln>
                  </pic:spPr>
                </pic:pic>
              </a:graphicData>
            </a:graphic>
          </wp:inline>
        </w:drawing>
      </w:r>
    </w:p>
    <w:p w14:paraId="6D8BFA65"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lastRenderedPageBreak/>
        <w:t>贝伐珠单抗是竞争最为激烈的生物类似药品种之一，超百亿市场已经有40多家药企争相布局。截至目前，国内获批上市的贝伐珠单抗药物共计10种，包括罗氏，复宏汉霖，东曜药业，贝达药业、百奥泰、东博安生物、信达生物、齐鲁制药等，另有多款处于注册申请或临床试验阶段，市场竞争十分激烈。</w:t>
      </w:r>
    </w:p>
    <w:p w14:paraId="2E11F14C"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贝伐珠单抗是由罗氏研发的一款人源化单克隆抗体IgG1，是一种血管生成抑制剂，也是美国第一个获批上市的通过抑制肿瘤血管生成的药物，获批时间为2004年。由于适应症广泛，对多类型肿瘤都有出色疗效，上市后第一个完整销售年收益就超过10亿。</w:t>
      </w:r>
    </w:p>
    <w:p w14:paraId="0162CD26"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米内网数据显示，2016-2021年贝伐珠单抗在国内样本医院销售终端均呈现稳步增长的态势，每一年都在增长。2020年销售成绩17.31亿元，同比增长18.08%，2021全年销售额25.51亿元，同比增长47.43%。</w:t>
      </w:r>
    </w:p>
    <w:p w14:paraId="4664EACB"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竞争格局方面，原研厂商罗氏和齐鲁制药占据了市场的绝对地位，合共占比超90%；作为首仿的齐鲁制药，已经在市场上以55.34%份额，后面两年获批的几个厂商目前仅能分得10%不到。</w:t>
      </w:r>
    </w:p>
    <w:p w14:paraId="28904C3C"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其次是阿达木单抗，国内生产厂家已达6家。原研药企是艾伯维，生物类似药企分别是百奥泰、海正药业、信达生物、复宏汉霖、正大天晴、君实生物。紧盯阿达木单抗生物类似药</w:t>
      </w:r>
      <w:r>
        <w:rPr>
          <w:rStyle w:val="ad"/>
          <w:rFonts w:asciiTheme="minorEastAsia" w:hAnsiTheme="minorEastAsia" w:cs="Helvetica" w:hint="eastAsia"/>
          <w:b w:val="0"/>
          <w:spacing w:val="15"/>
          <w:sz w:val="28"/>
          <w:szCs w:val="28"/>
        </w:rPr>
        <w:lastRenderedPageBreak/>
        <w:t>市场的在研企业至少还有20家。据弗若斯特沙利文报告显示，中国阿达木单抗生物类似药市场将在2023年增至47亿元，并于2030年达到115亿元规模。</w:t>
      </w:r>
    </w:p>
    <w:p w14:paraId="42C95A9C"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根据国家集采规则，纳入医保目录内用量大、采购金额高+临床必需+质量可靠规则，且竞争比较充分的产品。国家集采既要节省医保基金，又要保证质量和供应，让患者获益。由此可见，国内多种生物类似药基本符合条件。</w:t>
      </w:r>
    </w:p>
    <w:p w14:paraId="41A5F115"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随着我国药企研发水平的提升及政策放开，我国生物类似药近年来发展迅猛，并在一些疾病治疗领域显示出明显的临床优势，因此将生物药纳入集采范围对企业的影响已是不容忽视。</w:t>
      </w:r>
    </w:p>
    <w:p w14:paraId="161E8760"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在业内人士看来，集采、医保谈判是近几年中国生物医药行业必谈的话题，也是所有在中国生存的生物医药企业都绕不开的问题。集采困局和之前提到的同质化竞争困难是类似的根源，就是生产同款药的企业太多了，只能降价拼市场。</w:t>
      </w:r>
    </w:p>
    <w:p w14:paraId="2C3C3210"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但国家集采并不是一味地让企业降低价格，而是缓解竞争，让国内制药企业谨慎选择研发药物，不仅避免产品过度集中、竞争过于激烈导致价格过低，也有利于国内头部企业研发更具有临床价值的药物。</w:t>
      </w:r>
    </w:p>
    <w:p w14:paraId="1C594E88"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29266C28"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42100F93" w14:textId="77777777" w:rsidR="00E75D8B"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附件4</w:t>
      </w:r>
    </w:p>
    <w:p w14:paraId="7D325A75" w14:textId="77777777" w:rsidR="00E75D8B" w:rsidRDefault="00E75D8B">
      <w:pPr>
        <w:rPr>
          <w:rFonts w:ascii="微软雅黑" w:eastAsia="微软雅黑" w:hAnsi="微软雅黑" w:cs="宋体"/>
          <w:color w:val="333333"/>
          <w:spacing w:val="8"/>
          <w:kern w:val="0"/>
          <w:sz w:val="33"/>
          <w:szCs w:val="33"/>
        </w:rPr>
      </w:pPr>
    </w:p>
    <w:p w14:paraId="0FC53577" w14:textId="77777777" w:rsidR="00E75D8B" w:rsidRDefault="00000000">
      <w:r>
        <w:rPr>
          <w:rFonts w:ascii="微软雅黑" w:eastAsia="微软雅黑" w:hAnsi="微软雅黑" w:cs="宋体" w:hint="eastAsia"/>
          <w:color w:val="333333"/>
          <w:spacing w:val="8"/>
          <w:kern w:val="0"/>
          <w:sz w:val="33"/>
          <w:szCs w:val="33"/>
        </w:rPr>
        <w:t>益丰药房市值超阿里健康，模式单一拷问线上售药!</w:t>
      </w:r>
    </w:p>
    <w:p w14:paraId="1BA0CC8E" w14:textId="77777777" w:rsidR="00E75D8B" w:rsidRDefault="00E75D8B">
      <w:pPr>
        <w:jc w:val="left"/>
      </w:pPr>
    </w:p>
    <w:p w14:paraId="02D43184" w14:textId="77777777" w:rsidR="00E75D8B" w:rsidRDefault="00000000">
      <w:pPr>
        <w:jc w:val="left"/>
      </w:pPr>
      <w:r>
        <w:rPr>
          <w:rFonts w:hint="eastAsia"/>
        </w:rPr>
        <w:t>原创</w:t>
      </w:r>
      <w:r>
        <w:rPr>
          <w:rFonts w:hint="eastAsia"/>
        </w:rPr>
        <w:t xml:space="preserve"> </w:t>
      </w:r>
      <w:r>
        <w:rPr>
          <w:rFonts w:hint="eastAsia"/>
        </w:rPr>
        <w:t>泽生</w:t>
      </w:r>
      <w:r>
        <w:rPr>
          <w:rFonts w:hint="eastAsia"/>
        </w:rPr>
        <w:t xml:space="preserve"> </w:t>
      </w:r>
      <w:r>
        <w:rPr>
          <w:rFonts w:hint="eastAsia"/>
        </w:rPr>
        <w:t>新媒体中心</w:t>
      </w:r>
      <w:r>
        <w:rPr>
          <w:rFonts w:hint="eastAsia"/>
        </w:rPr>
        <w:t xml:space="preserve">  </w:t>
      </w:r>
      <w:r>
        <w:rPr>
          <w:rFonts w:hint="eastAsia"/>
        </w:rPr>
        <w:t>医药经济报</w:t>
      </w:r>
      <w:r>
        <w:rPr>
          <w:rFonts w:hint="eastAsia"/>
        </w:rPr>
        <w:t xml:space="preserve">  2022-10-24</w:t>
      </w:r>
    </w:p>
    <w:p w14:paraId="217C44D6" w14:textId="77777777" w:rsidR="00E75D8B" w:rsidRDefault="00E75D8B">
      <w:pPr>
        <w:jc w:val="left"/>
        <w:rPr>
          <w:rStyle w:val="ad"/>
          <w:rFonts w:ascii="微软雅黑" w:eastAsia="微软雅黑" w:hAnsi="微软雅黑"/>
          <w:color w:val="CD0202"/>
          <w:spacing w:val="8"/>
          <w:sz w:val="60"/>
          <w:szCs w:val="60"/>
        </w:rPr>
      </w:pPr>
    </w:p>
    <w:p w14:paraId="37697BD8" w14:textId="77777777" w:rsidR="00E75D8B" w:rsidRDefault="00000000">
      <w:pPr>
        <w:ind w:firstLineChars="200" w:firstLine="56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10月24日，阿里健康港股价格一路下行，截至收市跌幅超14.5%。每股价格为3.05港元，总市值缩水至412.36亿港元折合人民币约为381.36亿元。</w:t>
      </w:r>
    </w:p>
    <w:p w14:paraId="64C0DD7E" w14:textId="77777777" w:rsidR="00E75D8B" w:rsidRDefault="00000000">
      <w:pP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5F083C18" wp14:editId="59F63B09">
            <wp:extent cx="5274310" cy="2641600"/>
            <wp:effectExtent l="0" t="0" r="2540" b="6350"/>
            <wp:docPr id="7" name="图片 7" descr="C:\Users\Administrator\Documents\WeChat Files\ppdeboke\FileStorage\Temp\fab30621d76d8402ca01f7ee9623c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WeChat Files\ppdeboke\FileStorage\Temp\fab30621d76d8402ca01f7ee9623c89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4310" cy="2642104"/>
                    </a:xfrm>
                    <a:prstGeom prst="rect">
                      <a:avLst/>
                    </a:prstGeom>
                    <a:noFill/>
                    <a:ln>
                      <a:noFill/>
                    </a:ln>
                  </pic:spPr>
                </pic:pic>
              </a:graphicData>
            </a:graphic>
          </wp:inline>
        </w:drawing>
      </w:r>
    </w:p>
    <w:p w14:paraId="55FE0450"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与之形成对比，作为传统零售药业的龙头企业，益丰药房今日开盘虽有起伏，但收盘前回调收盘价为54.90元，仅比上周五交易收盘跌0.06元。</w:t>
      </w:r>
    </w:p>
    <w:p w14:paraId="0CF84D3A"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值得关注的是，益丰药房凭借396.22亿元人民币总市值，对阿里健康实现超越，这一局面让医药零售市场不甚唏嘘。背</w:t>
      </w:r>
      <w:r>
        <w:rPr>
          <w:rStyle w:val="ad"/>
          <w:rFonts w:asciiTheme="minorEastAsia" w:hAnsiTheme="minorEastAsia" w:cs="Helvetica" w:hint="eastAsia"/>
          <w:b w:val="0"/>
          <w:spacing w:val="15"/>
          <w:sz w:val="28"/>
          <w:szCs w:val="28"/>
        </w:rPr>
        <w:lastRenderedPageBreak/>
        <w:t>靠巨大的线上流量池，却被传统线下零售终端实现价值反超，此番反转不禁让人发出疑问：线上售药到底行不行？</w:t>
      </w:r>
    </w:p>
    <w:p w14:paraId="2CB76D95" w14:textId="77777777" w:rsidR="00E75D8B" w:rsidRDefault="00000000">
      <w:pPr>
        <w:widowControl/>
        <w:jc w:val="left"/>
        <w:rPr>
          <w:rFonts w:ascii="微软雅黑" w:eastAsia="微软雅黑" w:hAnsi="微软雅黑" w:cs="宋体"/>
          <w:color w:val="222222"/>
          <w:spacing w:val="8"/>
          <w:kern w:val="0"/>
          <w:sz w:val="28"/>
          <w:szCs w:val="28"/>
        </w:rPr>
      </w:pPr>
      <w:r>
        <w:rPr>
          <w:rFonts w:ascii="微软雅黑" w:eastAsia="微软雅黑" w:hAnsi="微软雅黑" w:cs="宋体"/>
          <w:b/>
          <w:bCs/>
          <w:color w:val="3DA742"/>
          <w:spacing w:val="15"/>
          <w:kern w:val="0"/>
          <w:sz w:val="28"/>
          <w:szCs w:val="28"/>
        </w:rPr>
        <w:t>01</w:t>
      </w:r>
      <w:r>
        <w:rPr>
          <w:rFonts w:ascii="微软雅黑" w:eastAsia="微软雅黑" w:hAnsi="微软雅黑" w:cs="宋体" w:hint="eastAsia"/>
          <w:b/>
          <w:bCs/>
          <w:color w:val="3DA742"/>
          <w:spacing w:val="15"/>
          <w:kern w:val="0"/>
          <w:sz w:val="28"/>
          <w:szCs w:val="28"/>
        </w:rPr>
        <w:t>全新价值发现，实体零售迎来大反转？</w:t>
      </w:r>
    </w:p>
    <w:p w14:paraId="13F3B9DC"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随着两票制、带量采购、医保改革等政策持续落地，药店分级分类管理制度的实施、电子处方流转平台设立等政策逐步完善、执业药师配套等政策的不断细化，均从各个维度支持院外零售市场发展，从而为线下实体零售转型升级提供了条件。</w:t>
      </w:r>
    </w:p>
    <w:p w14:paraId="082DE067"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行业生态转变，让实体零售获得的政策利好开始释放。在益丰药房此前发布的2022年前三季度业绩预告中，信息显示：预计归属于上市公司股东的扣除非经常性损益的净利润约有7.9~8.1亿元人民币，预计同期比增长15.94%~18.87%。</w:t>
      </w:r>
    </w:p>
    <w:p w14:paraId="63067ABA" w14:textId="77777777" w:rsidR="00E75D8B" w:rsidRDefault="00000000">
      <w:pP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5643ABB3" wp14:editId="7D1ECD49">
            <wp:extent cx="5274310" cy="1929765"/>
            <wp:effectExtent l="0" t="0" r="2540" b="0"/>
            <wp:docPr id="8" name="图片 8" descr="C:\Users\Administrator\Documents\WeChat Files\ppdeboke\FileStorage\Temp\95cd0b6db6659e1b896d1d761a20f2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ppdeboke\FileStorage\Temp\95cd0b6db6659e1b896d1d761a20f2f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74310" cy="1930317"/>
                    </a:xfrm>
                    <a:prstGeom prst="rect">
                      <a:avLst/>
                    </a:prstGeom>
                    <a:noFill/>
                    <a:ln>
                      <a:noFill/>
                    </a:ln>
                  </pic:spPr>
                </pic:pic>
              </a:graphicData>
            </a:graphic>
          </wp:inline>
        </w:drawing>
      </w:r>
    </w:p>
    <w:p w14:paraId="0A9F0AF7"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事实上，益丰药房的价值也能在门店扩展和盈利能力上有所体现。</w:t>
      </w:r>
    </w:p>
    <w:p w14:paraId="12744D98"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根据益丰药房2022年半年报显示，截至2022年6月30日，益丰药房在湖南、湖北、上海、江苏、江西、浙江、广东、河北、 北京、天津十省市拥有连锁药店 9200 家，距离“万家门店”仅一步之遥。</w:t>
      </w:r>
    </w:p>
    <w:p w14:paraId="12D18BF9"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lastRenderedPageBreak/>
        <w:t>报告期内，净增加门店 1391 家，营业收入和归属于上市公司股东的净利润同比提升19.11%和 14.20% （含加盟店）。其中，益丰药房下7684家直营连锁门店中约有八成以上门店获得了各类医保定点资格。</w:t>
      </w:r>
    </w:p>
    <w:p w14:paraId="0BF39B70"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与此同时，实体零售触网的“新零售”布局已然提速。据不完全统计，益丰几乎所有的门店都建立起了对应的网络销售平台（多为饿了么，美团外卖等网售配送平台），期内营收额约为87.5亿元，2022年上半年净利润约有6.4亿元，企业实现稳定盈利。</w:t>
      </w:r>
    </w:p>
    <w:p w14:paraId="1B9ED236" w14:textId="77777777" w:rsidR="00E75D8B"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事实上，强监管时代已经来临，更高的药品销售和处方验证要求，将对专业规范的零售药店龙头更为有利。市场观点认为，医药院外市场虽大，互联网平台与线下药店持续角逐，实体零售终端“新零售”觉醒，其拥有的网络、社区、社群、私域流量等资源，一旦借助互联网工具高效盘活，将释放巨大的终端商业能量。</w:t>
      </w:r>
    </w:p>
    <w:p w14:paraId="36F30FC6" w14:textId="77777777" w:rsidR="00E75D8B" w:rsidRDefault="00000000">
      <w:pPr>
        <w:widowControl/>
        <w:jc w:val="left"/>
        <w:rPr>
          <w:rFonts w:ascii="微软雅黑" w:eastAsia="微软雅黑" w:hAnsi="微软雅黑" w:cs="宋体"/>
          <w:b/>
          <w:bCs/>
          <w:color w:val="3DA742"/>
          <w:spacing w:val="15"/>
          <w:kern w:val="0"/>
          <w:sz w:val="28"/>
          <w:szCs w:val="28"/>
        </w:rPr>
      </w:pPr>
      <w:r>
        <w:rPr>
          <w:rFonts w:ascii="微软雅黑" w:eastAsia="微软雅黑" w:hAnsi="微软雅黑" w:cs="宋体" w:hint="eastAsia"/>
          <w:b/>
          <w:bCs/>
          <w:color w:val="3DA742"/>
          <w:spacing w:val="15"/>
          <w:kern w:val="0"/>
          <w:sz w:val="28"/>
          <w:szCs w:val="28"/>
        </w:rPr>
        <w:t>02模式单一，昔日线上龙头荣光不再？</w:t>
      </w:r>
    </w:p>
    <w:p w14:paraId="25B0F493"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与之形成对比，自2014年阿里健康上市以来，增长一直不温不火。</w:t>
      </w:r>
    </w:p>
    <w:p w14:paraId="10A3767C"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2020年以来，新冠疫情爆发和常态化疫情防控，放大了线上医药服务需求，阿里健康也得到了资本市场的高度关注，股价呈现拉升走强趋势，企业也在市场需求快速释放下得到快速发展。</w:t>
      </w:r>
    </w:p>
    <w:p w14:paraId="6A0526AC"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随着疫情防控趋于稳定，2021年第三季度，阿里健康市值也来</w:t>
      </w:r>
      <w:r>
        <w:rPr>
          <w:rFonts w:asciiTheme="minorEastAsia" w:hAnsiTheme="minorEastAsia" w:hint="eastAsia"/>
          <w:sz w:val="28"/>
          <w:szCs w:val="28"/>
        </w:rPr>
        <w:lastRenderedPageBreak/>
        <w:t>到了顶峰每股价值约为26港元，总市值约为3515.2亿港元，折合人民币约3250.9亿元（汇率按照1：1.08计算，股份总数按照135.2亿股计算）。</w:t>
      </w:r>
    </w:p>
    <w:p w14:paraId="62A97417" w14:textId="77777777" w:rsidR="00E75D8B" w:rsidRDefault="00000000">
      <w:pPr>
        <w:rPr>
          <w:rFonts w:asciiTheme="minorEastAsia" w:hAnsiTheme="minorEastAsia"/>
          <w:sz w:val="28"/>
          <w:szCs w:val="28"/>
        </w:rPr>
      </w:pPr>
      <w:r>
        <w:rPr>
          <w:rFonts w:asciiTheme="minorEastAsia" w:hAnsiTheme="minorEastAsia"/>
          <w:noProof/>
          <w:sz w:val="28"/>
          <w:szCs w:val="28"/>
        </w:rPr>
        <w:drawing>
          <wp:inline distT="0" distB="0" distL="0" distR="0" wp14:anchorId="21B672DE" wp14:editId="6F61602C">
            <wp:extent cx="5273675" cy="2384425"/>
            <wp:effectExtent l="0" t="0" r="3175" b="0"/>
            <wp:docPr id="1" name="图片 1" descr="C:\Users\Administrator\Documents\WeChat Files\ppdeboke\FileStorage\Temp\2b8134a8a163c41bddfe6b55da235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ppdeboke\FileStorage\Temp\2b8134a8a163c41bddfe6b55da235e3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4310" cy="2384779"/>
                    </a:xfrm>
                    <a:prstGeom prst="rect">
                      <a:avLst/>
                    </a:prstGeom>
                    <a:noFill/>
                    <a:ln>
                      <a:noFill/>
                    </a:ln>
                  </pic:spPr>
                </pic:pic>
              </a:graphicData>
            </a:graphic>
          </wp:inline>
        </w:drawing>
      </w:r>
    </w:p>
    <w:p w14:paraId="19D78DDE"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然而，曾经的医药电商龙头阿里健康自2021年10月底达到市值顶峰后，股价瞬间变脸，走势一路下行，如今和巅峰时期相比，阿里健康的市值缩水近9成。</w:t>
      </w:r>
    </w:p>
    <w:p w14:paraId="7D6A4C9F"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细看阿里健康的财报，2021年半年报就已经开始显露企业盈利压力。财报显示，截至2021年9月30日期内亏损约为2.32亿元人民币。根据财报披露，亏损原因是因为集团一系列创新业务的资源配置增加导致。</w:t>
      </w:r>
    </w:p>
    <w:p w14:paraId="720A5AD5" w14:textId="77777777" w:rsidR="00E75D8B" w:rsidRDefault="00000000">
      <w:pPr>
        <w:rPr>
          <w:rFonts w:asciiTheme="minorEastAsia" w:hAnsiTheme="minorEastAsia"/>
          <w:sz w:val="28"/>
          <w:szCs w:val="28"/>
        </w:rPr>
      </w:pPr>
      <w:r>
        <w:rPr>
          <w:rFonts w:asciiTheme="minorEastAsia" w:hAnsiTheme="minorEastAsia"/>
          <w:noProof/>
          <w:sz w:val="28"/>
          <w:szCs w:val="28"/>
        </w:rPr>
        <w:drawing>
          <wp:inline distT="0" distB="0" distL="0" distR="0" wp14:anchorId="05B37AAA" wp14:editId="517576D7">
            <wp:extent cx="5274310" cy="2174875"/>
            <wp:effectExtent l="0" t="0" r="2540" b="0"/>
            <wp:docPr id="10" name="图片 10" descr="C:\Users\Administrator\Documents\WeChat Files\ppdeboke\FileStorage\Temp\81327eb5c39f6ca2350b0a58493f8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ppdeboke\FileStorage\Temp\81327eb5c39f6ca2350b0a58493f849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74310" cy="2174967"/>
                    </a:xfrm>
                    <a:prstGeom prst="rect">
                      <a:avLst/>
                    </a:prstGeom>
                    <a:noFill/>
                    <a:ln>
                      <a:noFill/>
                    </a:ln>
                  </pic:spPr>
                </pic:pic>
              </a:graphicData>
            </a:graphic>
          </wp:inline>
        </w:drawing>
      </w:r>
    </w:p>
    <w:p w14:paraId="124B8CF3"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lastRenderedPageBreak/>
        <w:t>曾有业内人士分析指出，医药电商因不需要店铺成本和在商品流通的中间环节的减少，加之较之传统零售店铺，只需要依托于网络平台，建立一支超强的运营团队即可满足消费者的需求，有着节约成本，方便管理的先天优势。</w:t>
      </w:r>
    </w:p>
    <w:p w14:paraId="776B0B95"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话虽如此，阿里健康现披露财报显示2022集团依然难以扭转局面，竞争者的加速追赶，同样也让阿里健康难以高枕无忧。2022年上半年，阿里健康虽然宣称医药自营业务收入达到179亿元，但京东健康的2022年中期财报医药自营收入数据已经快速逼近，细分赛道竞争呈现高度集中。</w:t>
      </w:r>
    </w:p>
    <w:p w14:paraId="60A85401"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市场观点认为，医药电商毛利率下降、成本开支增长、增量不增利，似乎成为了影响阿里健康盈利和发展的重大考验。</w:t>
      </w:r>
    </w:p>
    <w:p w14:paraId="34AB9463" w14:textId="77777777" w:rsidR="00E75D8B" w:rsidRDefault="00000000">
      <w:pPr>
        <w:rPr>
          <w:rFonts w:asciiTheme="minorEastAsia" w:hAnsiTheme="minorEastAsia"/>
          <w:sz w:val="28"/>
          <w:szCs w:val="28"/>
        </w:rPr>
      </w:pPr>
      <w:r>
        <w:rPr>
          <w:rFonts w:asciiTheme="minorEastAsia" w:hAnsiTheme="minorEastAsia"/>
          <w:noProof/>
          <w:sz w:val="28"/>
          <w:szCs w:val="28"/>
        </w:rPr>
        <w:drawing>
          <wp:inline distT="0" distB="0" distL="0" distR="0" wp14:anchorId="225D00F5" wp14:editId="64FA6B3A">
            <wp:extent cx="5274310" cy="3509010"/>
            <wp:effectExtent l="0" t="0" r="2540" b="0"/>
            <wp:docPr id="60" name="图片 60" descr="C:\Users\Administrator\Documents\WeChat Files\ppdeboke\FileStorage\Temp\f65faff604892bc08a61f5a9ac9db1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Documents\WeChat Files\ppdeboke\FileStorage\Temp\f65faff604892bc08a61f5a9ac9db1a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310" cy="3509316"/>
                    </a:xfrm>
                    <a:prstGeom prst="rect">
                      <a:avLst/>
                    </a:prstGeom>
                    <a:noFill/>
                    <a:ln>
                      <a:noFill/>
                    </a:ln>
                  </pic:spPr>
                </pic:pic>
              </a:graphicData>
            </a:graphic>
          </wp:inline>
        </w:drawing>
      </w:r>
    </w:p>
    <w:p w14:paraId="356874A1"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除此之外，顶层政策也在大幅提升医药电商服务监管门槛。随着2022年9月《药品网络销售监督管理办法》颁布，以及12月新规即</w:t>
      </w:r>
      <w:r>
        <w:rPr>
          <w:rFonts w:asciiTheme="minorEastAsia" w:hAnsiTheme="minorEastAsia" w:hint="eastAsia"/>
          <w:sz w:val="28"/>
          <w:szCs w:val="28"/>
        </w:rPr>
        <w:lastRenderedPageBreak/>
        <w:t>将实施，监管层面对医药电商平台的合规监管正在逐步趋严，也让资本市场进一步收紧了对线上医药服务“野蛮生长”的预期。</w:t>
      </w:r>
    </w:p>
    <w:p w14:paraId="034F1617" w14:textId="77777777" w:rsidR="00E75D8B" w:rsidRDefault="00000000">
      <w:pPr>
        <w:ind w:firstLineChars="200" w:firstLine="560"/>
        <w:rPr>
          <w:rFonts w:asciiTheme="minorEastAsia" w:hAnsiTheme="minorEastAsia"/>
          <w:sz w:val="28"/>
          <w:szCs w:val="28"/>
        </w:rPr>
      </w:pPr>
      <w:r>
        <w:rPr>
          <w:rFonts w:asciiTheme="minorEastAsia" w:hAnsiTheme="minorEastAsia" w:hint="eastAsia"/>
          <w:sz w:val="28"/>
          <w:szCs w:val="28"/>
        </w:rPr>
        <w:t>显然，规范线上药品销售的同时，也在一定程度上促进了实体零售药店“触网”，线上用药工具和平台也为传统零售药企赋能提供了可能。实体零售在快速提升服务水平迎合现代人快节奏消费习惯的同时，也在逐步削弱因疫情影响导致的客流下降和销售下滑，实体零售终端正在迎来新一轮行业洗牌。</w:t>
      </w:r>
    </w:p>
    <w:p w14:paraId="0C0F1C6B"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3AC1E0DB"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3ADC13EE"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27F56EF9"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0DAF1450"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10AAE9FA"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07DED60B"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0AC61CA5" w14:textId="77777777" w:rsidR="00E75D8B" w:rsidRDefault="00E75D8B">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6D45A5B4" w14:textId="77777777" w:rsidR="00E75D8B"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附件5</w:t>
      </w:r>
    </w:p>
    <w:p w14:paraId="23F2DA56" w14:textId="77777777" w:rsidR="00E75D8B" w:rsidRDefault="00E75D8B">
      <w:pPr>
        <w:rPr>
          <w:rFonts w:ascii="微软雅黑" w:eastAsia="微软雅黑" w:hAnsi="微软雅黑" w:cs="宋体"/>
          <w:color w:val="333333"/>
          <w:spacing w:val="8"/>
          <w:kern w:val="0"/>
          <w:sz w:val="33"/>
          <w:szCs w:val="33"/>
        </w:rPr>
      </w:pPr>
    </w:p>
    <w:p w14:paraId="36AED71B" w14:textId="77777777" w:rsidR="00E75D8B" w:rsidRDefault="00000000">
      <w:r>
        <w:rPr>
          <w:rFonts w:ascii="微软雅黑" w:eastAsia="微软雅黑" w:hAnsi="微软雅黑" w:cs="宋体" w:hint="eastAsia"/>
          <w:color w:val="333333"/>
          <w:spacing w:val="8"/>
          <w:kern w:val="0"/>
          <w:sz w:val="33"/>
          <w:szCs w:val="33"/>
        </w:rPr>
        <w:t>双通道药店，重点品种分析</w:t>
      </w:r>
    </w:p>
    <w:p w14:paraId="6C7EF3AF" w14:textId="77777777" w:rsidR="00E75D8B" w:rsidRDefault="00E75D8B">
      <w:pPr>
        <w:jc w:val="left"/>
      </w:pPr>
    </w:p>
    <w:p w14:paraId="5D576859" w14:textId="77777777" w:rsidR="00E75D8B" w:rsidRDefault="00000000">
      <w:pPr>
        <w:jc w:val="left"/>
      </w:pPr>
      <w:r>
        <w:rPr>
          <w:rFonts w:hint="eastAsia"/>
        </w:rPr>
        <w:t>原创</w:t>
      </w:r>
      <w:r>
        <w:rPr>
          <w:rFonts w:hint="eastAsia"/>
        </w:rPr>
        <w:t xml:space="preserve"> </w:t>
      </w:r>
      <w:r>
        <w:rPr>
          <w:rFonts w:hint="eastAsia"/>
        </w:rPr>
        <w:t>权公子</w:t>
      </w:r>
      <w:r>
        <w:rPr>
          <w:rFonts w:hint="eastAsia"/>
        </w:rPr>
        <w:t xml:space="preserve">  </w:t>
      </w:r>
      <w:r>
        <w:rPr>
          <w:rFonts w:hint="eastAsia"/>
        </w:rPr>
        <w:t>第一药店财智</w:t>
      </w:r>
      <w:r>
        <w:rPr>
          <w:rFonts w:hint="eastAsia"/>
        </w:rPr>
        <w:t xml:space="preserve">  2022-10-16</w:t>
      </w:r>
    </w:p>
    <w:p w14:paraId="7D4B0E32" w14:textId="77777777" w:rsidR="00E75D8B" w:rsidRDefault="00E75D8B">
      <w:pPr>
        <w:jc w:val="left"/>
        <w:rPr>
          <w:rStyle w:val="ad"/>
          <w:rFonts w:asciiTheme="minorEastAsia" w:hAnsiTheme="minorEastAsia" w:cs="Helvetica"/>
          <w:b w:val="0"/>
          <w:spacing w:val="15"/>
          <w:sz w:val="28"/>
          <w:szCs w:val="28"/>
        </w:rPr>
      </w:pPr>
    </w:p>
    <w:p w14:paraId="436C9BA2"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75F0810F" wp14:editId="2694195B">
            <wp:extent cx="5761990" cy="1931670"/>
            <wp:effectExtent l="0" t="0" r="0" b="0"/>
            <wp:docPr id="61" name="图片 61" descr="C:\Users\ADMINI~1\AppData\Local\Temp\16663376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1666337630(1).png"/>
                    <pic:cNvPicPr>
                      <a:picLocks noChangeAspect="1" noChangeArrowheads="1"/>
                    </pic:cNvPicPr>
                  </pic:nvPicPr>
                  <pic:blipFill>
                    <a:blip r:embed="rId56">
                      <a:extLst>
                        <a:ext uri="{28A0092B-C50C-407E-A947-70E740481C1C}">
                          <a14:useLocalDpi xmlns:a14="http://schemas.microsoft.com/office/drawing/2010/main" val="0"/>
                        </a:ext>
                      </a:extLst>
                    </a:blip>
                    <a:srcRect l="1843" r="1997"/>
                    <a:stretch>
                      <a:fillRect/>
                    </a:stretch>
                  </pic:blipFill>
                  <pic:spPr>
                    <a:xfrm>
                      <a:off x="0" y="0"/>
                      <a:ext cx="5767841" cy="1934084"/>
                    </a:xfrm>
                    <a:prstGeom prst="rect">
                      <a:avLst/>
                    </a:prstGeom>
                    <a:noFill/>
                    <a:ln>
                      <a:noFill/>
                    </a:ln>
                  </pic:spPr>
                </pic:pic>
              </a:graphicData>
            </a:graphic>
          </wp:inline>
        </w:drawing>
      </w:r>
    </w:p>
    <w:p w14:paraId="389B7F47" w14:textId="77777777" w:rsidR="00E75D8B" w:rsidRDefault="00000000">
      <w:pPr>
        <w:jc w:val="left"/>
        <w:rPr>
          <w:rStyle w:val="ad"/>
          <w:rFonts w:asciiTheme="minorEastAsia" w:hAnsiTheme="minorEastAsia" w:cs="Helvetica"/>
          <w:b w:val="0"/>
          <w:spacing w:val="15"/>
          <w:sz w:val="28"/>
          <w:szCs w:val="28"/>
        </w:rPr>
      </w:pPr>
      <w:r>
        <w:rPr>
          <w:rStyle w:val="ad"/>
          <w:rFonts w:ascii="微软雅黑" w:eastAsia="微软雅黑" w:hAnsi="微软雅黑" w:hint="eastAsia"/>
          <w:color w:val="CD0202"/>
          <w:spacing w:val="8"/>
          <w:sz w:val="60"/>
          <w:szCs w:val="60"/>
        </w:rPr>
        <w:t>01</w:t>
      </w:r>
      <w:r>
        <w:rPr>
          <w:rStyle w:val="ad"/>
          <w:spacing w:val="30"/>
          <w:sz w:val="23"/>
          <w:szCs w:val="23"/>
        </w:rPr>
        <w:t>“</w:t>
      </w:r>
      <w:r>
        <w:rPr>
          <w:rStyle w:val="ad"/>
          <w:spacing w:val="30"/>
          <w:sz w:val="23"/>
          <w:szCs w:val="23"/>
        </w:rPr>
        <w:t>双通道</w:t>
      </w:r>
      <w:r>
        <w:rPr>
          <w:rStyle w:val="ad"/>
          <w:spacing w:val="30"/>
          <w:sz w:val="23"/>
          <w:szCs w:val="23"/>
        </w:rPr>
        <w:t>”</w:t>
      </w:r>
      <w:r>
        <w:rPr>
          <w:rStyle w:val="ad"/>
          <w:spacing w:val="30"/>
          <w:sz w:val="23"/>
          <w:szCs w:val="23"/>
        </w:rPr>
        <w:t>药店重点关注</w:t>
      </w:r>
      <w:r>
        <w:rPr>
          <w:rStyle w:val="ad"/>
          <w:spacing w:val="30"/>
          <w:sz w:val="23"/>
          <w:szCs w:val="23"/>
        </w:rPr>
        <w:t>47</w:t>
      </w:r>
      <w:r>
        <w:rPr>
          <w:rStyle w:val="ad"/>
          <w:spacing w:val="30"/>
          <w:sz w:val="23"/>
          <w:szCs w:val="23"/>
        </w:rPr>
        <w:t>个品种</w:t>
      </w:r>
    </w:p>
    <w:p w14:paraId="406E9013"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从调查结果来看，截至2022年3月31日，55家样本企业涉855家“双通道”药店的重点品种有47个。从品类角度来看，经营品类主要是抗肿瘤、抗病毒、治疗自身免疫疾病的新特药和治疗慢性病的品牌药物。</w:t>
      </w:r>
    </w:p>
    <w:p w14:paraId="6C99F51A"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其中，4个品种的企业单品位列全国处方药零售市场的TOP10品牌。中康CMH监测中国零售药店市场7月数据显示，晖制的立普妥，阿斯利康的泰瑞沙长期稳居处方药市场规模前四名，销售额持续增长。在慢病领域，阿斯利康的可定销售额实现双位数提升。此外，正大天晴的肿瘤药福可维为6、7月</w:t>
      </w:r>
      <w:r>
        <w:rPr>
          <w:rStyle w:val="ad"/>
          <w:rFonts w:asciiTheme="minorEastAsia" w:hAnsiTheme="minorEastAsia" w:cs="Helvetica" w:hint="eastAsia"/>
          <w:b w:val="0"/>
          <w:spacing w:val="15"/>
          <w:sz w:val="28"/>
          <w:szCs w:val="28"/>
        </w:rPr>
        <w:lastRenderedPageBreak/>
        <w:t>份销售额持续提升，跻身处方药市场前十名。</w:t>
      </w:r>
    </w:p>
    <w:p w14:paraId="695CDC3B"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1A9D8A1C" wp14:editId="28C803AE">
            <wp:extent cx="5274310" cy="3784600"/>
            <wp:effectExtent l="0" t="0" r="2540" b="6350"/>
            <wp:docPr id="62" name="图片 62" descr="C:\Users\Administrator\Documents\WeChat Files\ppdeboke\FileStorage\Temp\58715cbb6271de22483778428cd42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ocuments\WeChat Files\ppdeboke\FileStorage\Temp\58715cbb6271de22483778428cd42bc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74310" cy="3785234"/>
                    </a:xfrm>
                    <a:prstGeom prst="rect">
                      <a:avLst/>
                    </a:prstGeom>
                    <a:noFill/>
                    <a:ln>
                      <a:noFill/>
                    </a:ln>
                  </pic:spPr>
                </pic:pic>
              </a:graphicData>
            </a:graphic>
          </wp:inline>
        </w:drawing>
      </w:r>
    </w:p>
    <w:p w14:paraId="2A79B1F4"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此外，值得关注的是，今年下半年，部分品种如蓝芩口服液、百令胶囊等被调出部分省份的“双通道”药品目录之外。比如江西省医保局2022年6月发布《关于将“百令胶囊”等19个药品调出双通道药品名单的通知》，将百令胶囊、阿卡波糖咀嚼片、度拉糖肽注射液、蓝芩口服液、注射用紫杉醇脂质体、牛黄清感胶囊、金银花口服液、利拉鲁肽注射液等调出双通道药品名单，按国家医保谈判药品乙类管理。这些品种退出双通道名单，都是药品生产企业自主申请。截至今年6月1日，江西共有38个药品主动申请退出。从目前退出双通道的药品来看，大多为B类。</w:t>
      </w:r>
    </w:p>
    <w:p w14:paraId="19ACB469"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总体来说，“双通道”品种目录将坚持基金可承受、待遇</w:t>
      </w:r>
      <w:r>
        <w:rPr>
          <w:rStyle w:val="ad"/>
          <w:rFonts w:asciiTheme="minorEastAsia" w:hAnsiTheme="minorEastAsia" w:cs="Helvetica" w:hint="eastAsia"/>
          <w:b w:val="0"/>
          <w:spacing w:val="15"/>
          <w:sz w:val="28"/>
          <w:szCs w:val="28"/>
        </w:rPr>
        <w:lastRenderedPageBreak/>
        <w:t>可衔接、公平公正等原则进行动态调整。</w:t>
      </w:r>
    </w:p>
    <w:p w14:paraId="1191E0A9" w14:textId="77777777" w:rsidR="00E75D8B" w:rsidRDefault="00000000">
      <w:pPr>
        <w:widowControl/>
        <w:shd w:val="clear" w:color="auto" w:fill="FFFFFF"/>
        <w:spacing w:line="420" w:lineRule="atLeast"/>
        <w:ind w:left="120" w:right="120"/>
        <w:rPr>
          <w:rFonts w:ascii="微软雅黑" w:eastAsia="微软雅黑" w:hAnsi="微软雅黑" w:cs="宋体"/>
          <w:color w:val="222222"/>
          <w:spacing w:val="8"/>
          <w:kern w:val="0"/>
          <w:sz w:val="26"/>
          <w:szCs w:val="26"/>
        </w:rPr>
      </w:pPr>
      <w:r>
        <w:rPr>
          <w:rFonts w:ascii="微软雅黑" w:eastAsia="微软雅黑" w:hAnsi="微软雅黑" w:cs="宋体" w:hint="eastAsia"/>
          <w:b/>
          <w:bCs/>
          <w:color w:val="CD0202"/>
          <w:spacing w:val="8"/>
          <w:kern w:val="0"/>
          <w:sz w:val="60"/>
          <w:szCs w:val="60"/>
        </w:rPr>
        <w:t>02</w:t>
      </w:r>
      <w:r>
        <w:rPr>
          <w:rFonts w:ascii="微软雅黑" w:eastAsia="微软雅黑" w:hAnsi="微软雅黑" w:cs="宋体" w:hint="eastAsia"/>
          <w:b/>
          <w:bCs/>
          <w:color w:val="222222"/>
          <w:spacing w:val="30"/>
          <w:kern w:val="0"/>
          <w:sz w:val="23"/>
          <w:szCs w:val="23"/>
        </w:rPr>
        <w:t>院内抗肿瘤药销售额负增长</w:t>
      </w:r>
      <w:r>
        <w:rPr>
          <w:rFonts w:ascii="微软雅黑" w:eastAsia="微软雅黑" w:hAnsi="微软雅黑" w:cs="宋体" w:hint="eastAsia"/>
          <w:color w:val="222222"/>
          <w:spacing w:val="8"/>
          <w:kern w:val="0"/>
          <w:sz w:val="26"/>
          <w:szCs w:val="26"/>
        </w:rPr>
        <w:t>，</w:t>
      </w:r>
      <w:r>
        <w:rPr>
          <w:rFonts w:ascii="微软雅黑" w:eastAsia="微软雅黑" w:hAnsi="微软雅黑" w:cs="宋体" w:hint="eastAsia"/>
          <w:b/>
          <w:bCs/>
          <w:color w:val="222222"/>
          <w:spacing w:val="30"/>
          <w:kern w:val="0"/>
          <w:sz w:val="23"/>
          <w:szCs w:val="23"/>
        </w:rPr>
        <w:t>零售药店市场广阔</w:t>
      </w:r>
    </w:p>
    <w:p w14:paraId="246475EF"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随着院内药品市场销售额下滑，抗肿瘤药、免疫机能调节药等品种在院外零售市场广阔。</w:t>
      </w:r>
    </w:p>
    <w:p w14:paraId="3D0D10B1"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中康CMH数据显示，2022年上半年中国医院药品市场销售额总数达4529亿元，同比下降7.3%。从品类表现来看，多个治疗领域用药均呈现不同程度的下跌。其中，从 ATC1 分类来看，2022年上半年医院TOP1治疗大类的抗肿瘤药和免疫机能调节药，其销售额为负增长，同比增速为-3.1%。</w:t>
      </w:r>
    </w:p>
    <w:p w14:paraId="394618FD"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1C41E3D5" wp14:editId="26CE3002">
            <wp:extent cx="5274310" cy="3128010"/>
            <wp:effectExtent l="0" t="0" r="2540" b="0"/>
            <wp:docPr id="63" name="图片 63" descr="C:\Users\Administrator\Documents\WeChat Files\ppdeboke\FileStorage\Temp\4049088f72d5d15c9d81567975448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ocuments\WeChat Files\ppdeboke\FileStorage\Temp\4049088f72d5d15c9d8156797544832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3128277"/>
                    </a:xfrm>
                    <a:prstGeom prst="rect">
                      <a:avLst/>
                    </a:prstGeom>
                    <a:noFill/>
                    <a:ln>
                      <a:noFill/>
                    </a:ln>
                  </pic:spPr>
                </pic:pic>
              </a:graphicData>
            </a:graphic>
          </wp:inline>
        </w:drawing>
      </w:r>
    </w:p>
    <w:p w14:paraId="51396EB6"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随着国谈药品可及性的进一步加强，以及在医院、厂家、药店等多方参与者力求分羹的"处方外流”市场中，被寄予厚望的“双通道”药店未来将担当大任。后续，“双通道”药店在承接“双通道”目录药品销售时，仍需破解几大难题。</w:t>
      </w:r>
    </w:p>
    <w:p w14:paraId="23591CED"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lastRenderedPageBreak/>
        <w:t>从样本企业反馈的“双通道”药店承接障碍——厂家原因来看，部分大厂家依然强势，“双通道”药店承接障碍主要有7个原因。</w:t>
      </w:r>
    </w:p>
    <w:p w14:paraId="2CB77DA6" w14:textId="77777777" w:rsidR="00E75D8B"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图表中18.10%连锁企业认为，厂家在一个市级城市只开1家授权药房，新店开通基本不合作。21%则是太多品种的购进渠道被控，导致一家“双通道”药店独大，其他连锁有顾客也只能到指定的门店才能买到；19.90%是厂家对于合作药店的要求偏高，部分厂家只与DTP药房合作；13.40%认为在县级市场，找大厂家拿授权困难；3.10%反馈厂家要提报目标药房，周期3-6个月，目标药房未确定前，不能核算为临床代表的销售业绩；7.90%则是与厂家申请定点关联药房困难，相互合作不畅通；16.60%认为毛利太低导致业绩承压。</w:t>
      </w:r>
    </w:p>
    <w:p w14:paraId="165C2312" w14:textId="77777777" w:rsidR="00E75D8B" w:rsidRDefault="00000000">
      <w:pPr>
        <w:jc w:val="left"/>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4F147718" wp14:editId="5F29C0AA">
            <wp:extent cx="5274310" cy="3170555"/>
            <wp:effectExtent l="0" t="0" r="2540" b="0"/>
            <wp:docPr id="64" name="图片 64" descr="C:\Users\Administrator\Documents\WeChat Files\ppdeboke\FileStorage\Temp\5d7917ab78d9742adec9fb68dd3c4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ocuments\WeChat Files\ppdeboke\FileStorage\Temp\5d7917ab78d9742adec9fb68dd3c47eb.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4310" cy="3171135"/>
                    </a:xfrm>
                    <a:prstGeom prst="rect">
                      <a:avLst/>
                    </a:prstGeom>
                    <a:noFill/>
                    <a:ln>
                      <a:noFill/>
                    </a:ln>
                  </pic:spPr>
                </pic:pic>
              </a:graphicData>
            </a:graphic>
          </wp:inline>
        </w:drawing>
      </w:r>
    </w:p>
    <w:p w14:paraId="67BA343E" w14:textId="77777777" w:rsidR="00E75D8B" w:rsidRDefault="00000000">
      <w:pPr>
        <w:jc w:val="left"/>
        <w:rPr>
          <w:rStyle w:val="ad"/>
          <w:rFonts w:ascii="微软雅黑" w:eastAsia="微软雅黑" w:hAnsi="微软雅黑"/>
          <w:color w:val="222222"/>
          <w:spacing w:val="8"/>
          <w:sz w:val="26"/>
          <w:szCs w:val="26"/>
          <w:shd w:val="clear" w:color="auto" w:fill="FFFFFF"/>
        </w:rPr>
      </w:pPr>
      <w:r>
        <w:rPr>
          <w:rStyle w:val="ad"/>
          <w:rFonts w:ascii="微软雅黑" w:eastAsia="微软雅黑" w:hAnsi="微软雅黑" w:hint="eastAsia"/>
          <w:color w:val="222222"/>
          <w:spacing w:val="8"/>
          <w:sz w:val="26"/>
          <w:szCs w:val="26"/>
          <w:shd w:val="clear" w:color="auto" w:fill="FFFFFF"/>
        </w:rPr>
        <w:t>附：连锁药店经营“双通道”目录药品的重点品种</w:t>
      </w:r>
    </w:p>
    <w:p w14:paraId="6D730C08" w14:textId="77777777" w:rsidR="00E75D8B" w:rsidRDefault="00E75D8B">
      <w:pPr>
        <w:jc w:val="left"/>
        <w:rPr>
          <w:rStyle w:val="ad"/>
          <w:rFonts w:ascii="微软雅黑" w:eastAsia="微软雅黑" w:hAnsi="微软雅黑"/>
          <w:color w:val="222222"/>
          <w:spacing w:val="8"/>
          <w:sz w:val="26"/>
          <w:szCs w:val="26"/>
          <w:shd w:val="clear" w:color="auto" w:fill="FFFFFF"/>
        </w:rPr>
      </w:pPr>
    </w:p>
    <w:p w14:paraId="71A1831E" w14:textId="77777777" w:rsidR="00E75D8B" w:rsidRDefault="00000000">
      <w:pPr>
        <w:jc w:val="center"/>
        <w:rPr>
          <w:rFonts w:asciiTheme="minorEastAsia" w:hAnsiTheme="minorEastAsia" w:cs="Helvetica"/>
          <w:bCs/>
          <w:spacing w:val="15"/>
          <w:sz w:val="28"/>
          <w:szCs w:val="28"/>
        </w:rPr>
      </w:pPr>
      <w:r>
        <w:rPr>
          <w:rFonts w:asciiTheme="minorEastAsia" w:hAnsiTheme="minorEastAsia" w:cs="Helvetica"/>
          <w:bCs/>
          <w:noProof/>
          <w:spacing w:val="15"/>
          <w:sz w:val="28"/>
          <w:szCs w:val="28"/>
        </w:rPr>
        <w:lastRenderedPageBreak/>
        <w:drawing>
          <wp:inline distT="0" distB="0" distL="0" distR="0" wp14:anchorId="5FD117A4" wp14:editId="7384DF44">
            <wp:extent cx="4637405" cy="8612505"/>
            <wp:effectExtent l="0" t="0" r="0" b="0"/>
            <wp:docPr id="65" name="图片 65" descr="C:\Users\Administrator\Documents\WeChat Files\ppdeboke\FileStorage\Temp\5b901d9d8653afb8c79c4d2fdf4e7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Documents\WeChat Files\ppdeboke\FileStorage\Temp\5b901d9d8653afb8c79c4d2fdf4e70f8.jpg"/>
                    <pic:cNvPicPr>
                      <a:picLocks noChangeAspect="1" noChangeArrowheads="1"/>
                    </pic:cNvPicPr>
                  </pic:nvPicPr>
                  <pic:blipFill>
                    <a:blip r:embed="rId60">
                      <a:extLst>
                        <a:ext uri="{28A0092B-C50C-407E-A947-70E740481C1C}">
                          <a14:useLocalDpi xmlns:a14="http://schemas.microsoft.com/office/drawing/2010/main" val="0"/>
                        </a:ext>
                      </a:extLst>
                    </a:blip>
                    <a:srcRect b="45069"/>
                    <a:stretch>
                      <a:fillRect/>
                    </a:stretch>
                  </pic:blipFill>
                  <pic:spPr>
                    <a:xfrm>
                      <a:off x="0" y="0"/>
                      <a:ext cx="4637840" cy="8613135"/>
                    </a:xfrm>
                    <a:prstGeom prst="rect">
                      <a:avLst/>
                    </a:prstGeom>
                    <a:noFill/>
                    <a:ln>
                      <a:noFill/>
                    </a:ln>
                  </pic:spPr>
                </pic:pic>
              </a:graphicData>
            </a:graphic>
          </wp:inline>
        </w:drawing>
      </w:r>
    </w:p>
    <w:p w14:paraId="5C300B9C" w14:textId="77777777" w:rsidR="00E75D8B" w:rsidRDefault="00000000">
      <w:pPr>
        <w:jc w:val="center"/>
        <w:rPr>
          <w:rStyle w:val="ad"/>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4B763B19" wp14:editId="11C6109E">
            <wp:extent cx="4706620" cy="7219950"/>
            <wp:effectExtent l="0" t="0" r="0" b="0"/>
            <wp:docPr id="6" name="图片 6" descr="C:\Users\Administrator\Documents\WeChat Files\ppdeboke\FileStorage\Temp\5b901d9d8653afb8c79c4d2fdf4e7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ppdeboke\FileStorage\Temp\5b901d9d8653afb8c79c4d2fdf4e70f8.jpg"/>
                    <pic:cNvPicPr>
                      <a:picLocks noChangeAspect="1" noChangeArrowheads="1"/>
                    </pic:cNvPicPr>
                  </pic:nvPicPr>
                  <pic:blipFill>
                    <a:blip r:embed="rId60">
                      <a:extLst>
                        <a:ext uri="{28A0092B-C50C-407E-A947-70E740481C1C}">
                          <a14:useLocalDpi xmlns:a14="http://schemas.microsoft.com/office/drawing/2010/main" val="0"/>
                        </a:ext>
                      </a:extLst>
                    </a:blip>
                    <a:srcRect t="54630"/>
                    <a:stretch>
                      <a:fillRect/>
                    </a:stretch>
                  </pic:blipFill>
                  <pic:spPr>
                    <a:xfrm>
                      <a:off x="0" y="0"/>
                      <a:ext cx="4715740" cy="7233582"/>
                    </a:xfrm>
                    <a:prstGeom prst="rect">
                      <a:avLst/>
                    </a:prstGeom>
                    <a:noFill/>
                    <a:ln>
                      <a:noFill/>
                    </a:ln>
                  </pic:spPr>
                </pic:pic>
              </a:graphicData>
            </a:graphic>
          </wp:inline>
        </w:drawing>
      </w:r>
    </w:p>
    <w:p w14:paraId="3A3A474C" w14:textId="77777777" w:rsidR="00E75D8B" w:rsidRDefault="00E75D8B">
      <w:pPr>
        <w:widowControl/>
        <w:spacing w:before="100" w:beforeAutospacing="1" w:after="100" w:afterAutospacing="1" w:line="900" w:lineRule="atLeast"/>
        <w:outlineLvl w:val="1"/>
        <w:rPr>
          <w:rFonts w:asciiTheme="minorEastAsia" w:hAnsiTheme="minorEastAsia" w:cs="Helvetica"/>
          <w:bCs/>
          <w:spacing w:val="15"/>
          <w:sz w:val="28"/>
          <w:szCs w:val="28"/>
        </w:rPr>
      </w:pPr>
    </w:p>
    <w:sectPr w:rsidR="00E75D8B">
      <w:footerReference w:type="default" r:id="rId61"/>
      <w:pgSz w:w="11906" w:h="16838"/>
      <w:pgMar w:top="1440" w:right="1797" w:bottom="1134"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1E5B6" w14:textId="77777777" w:rsidR="00D6361C" w:rsidRDefault="00D6361C">
      <w:r>
        <w:separator/>
      </w:r>
    </w:p>
  </w:endnote>
  <w:endnote w:type="continuationSeparator" w:id="0">
    <w:p w14:paraId="2267B0A9" w14:textId="77777777" w:rsidR="00D6361C" w:rsidRDefault="00D6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altName w:val="Arial Unicode MS"/>
    <w:charset w:val="50"/>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Helvetica">
    <w:panose1 w:val="020B0504020202020204"/>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510609"/>
    </w:sdtPr>
    <w:sdtContent>
      <w:p w14:paraId="4E5CD47D" w14:textId="77777777" w:rsidR="00E75D8B" w:rsidRDefault="00000000">
        <w:pPr>
          <w:pStyle w:val="a7"/>
          <w:jc w:val="center"/>
        </w:pPr>
        <w:r>
          <w:fldChar w:fldCharType="begin"/>
        </w:r>
        <w:r>
          <w:instrText>PAGE   \* MERGEFORMAT</w:instrText>
        </w:r>
        <w:r>
          <w:fldChar w:fldCharType="separate"/>
        </w:r>
        <w:r>
          <w:rPr>
            <w:lang w:val="zh-CN"/>
          </w:rPr>
          <w:t>1</w:t>
        </w:r>
        <w:r>
          <w:fldChar w:fldCharType="end"/>
        </w:r>
      </w:p>
    </w:sdtContent>
  </w:sdt>
  <w:p w14:paraId="5A509354" w14:textId="77777777" w:rsidR="00E75D8B" w:rsidRDefault="00E75D8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4036"/>
    </w:sdtPr>
    <w:sdtContent>
      <w:p w14:paraId="4F4672C3" w14:textId="77777777" w:rsidR="00E75D8B" w:rsidRDefault="00000000">
        <w:pPr>
          <w:pStyle w:val="a7"/>
          <w:jc w:val="center"/>
        </w:pPr>
        <w:r>
          <w:fldChar w:fldCharType="begin"/>
        </w:r>
        <w:r>
          <w:instrText xml:space="preserve"> PAGE   \* MERGEFORMAT </w:instrText>
        </w:r>
        <w:r>
          <w:fldChar w:fldCharType="separate"/>
        </w:r>
        <w:r>
          <w:rPr>
            <w:lang w:val="zh-CN"/>
          </w:rPr>
          <w:t>86</w:t>
        </w:r>
        <w:r>
          <w:rPr>
            <w:lang w:val="zh-CN"/>
          </w:rPr>
          <w:fldChar w:fldCharType="end"/>
        </w:r>
      </w:p>
    </w:sdtContent>
  </w:sdt>
  <w:p w14:paraId="5CAD79D5" w14:textId="77777777" w:rsidR="00E75D8B" w:rsidRDefault="00E75D8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8F92" w14:textId="77777777" w:rsidR="00D6361C" w:rsidRDefault="00D6361C">
      <w:r>
        <w:separator/>
      </w:r>
    </w:p>
  </w:footnote>
  <w:footnote w:type="continuationSeparator" w:id="0">
    <w:p w14:paraId="28E438EA" w14:textId="77777777" w:rsidR="00D6361C" w:rsidRDefault="00D63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06B1"/>
    <w:multiLevelType w:val="multilevel"/>
    <w:tmpl w:val="047706B1"/>
    <w:lvl w:ilvl="0">
      <w:start w:val="1"/>
      <w:numFmt w:val="japaneseCounting"/>
      <w:lvlText w:val="%1、"/>
      <w:lvlJc w:val="left"/>
      <w:pPr>
        <w:ind w:left="1212" w:hanging="720"/>
      </w:pPr>
      <w:rPr>
        <w:rFonts w:hint="default"/>
      </w:rPr>
    </w:lvl>
    <w:lvl w:ilvl="1">
      <w:start w:val="1"/>
      <w:numFmt w:val="lowerLetter"/>
      <w:lvlText w:val="%2)"/>
      <w:lvlJc w:val="left"/>
      <w:pPr>
        <w:ind w:left="1332" w:hanging="420"/>
      </w:pPr>
    </w:lvl>
    <w:lvl w:ilvl="2">
      <w:start w:val="1"/>
      <w:numFmt w:val="lowerRoman"/>
      <w:lvlText w:val="%3."/>
      <w:lvlJc w:val="right"/>
      <w:pPr>
        <w:ind w:left="1752" w:hanging="420"/>
      </w:pPr>
    </w:lvl>
    <w:lvl w:ilvl="3">
      <w:start w:val="1"/>
      <w:numFmt w:val="decimal"/>
      <w:lvlText w:val="%4."/>
      <w:lvlJc w:val="left"/>
      <w:pPr>
        <w:ind w:left="2172" w:hanging="420"/>
      </w:pPr>
    </w:lvl>
    <w:lvl w:ilvl="4">
      <w:start w:val="1"/>
      <w:numFmt w:val="lowerLetter"/>
      <w:lvlText w:val="%5)"/>
      <w:lvlJc w:val="left"/>
      <w:pPr>
        <w:ind w:left="2592" w:hanging="420"/>
      </w:pPr>
    </w:lvl>
    <w:lvl w:ilvl="5">
      <w:start w:val="1"/>
      <w:numFmt w:val="lowerRoman"/>
      <w:lvlText w:val="%6."/>
      <w:lvlJc w:val="right"/>
      <w:pPr>
        <w:ind w:left="3012" w:hanging="420"/>
      </w:pPr>
    </w:lvl>
    <w:lvl w:ilvl="6">
      <w:start w:val="1"/>
      <w:numFmt w:val="decimal"/>
      <w:lvlText w:val="%7."/>
      <w:lvlJc w:val="left"/>
      <w:pPr>
        <w:ind w:left="3432" w:hanging="420"/>
      </w:pPr>
    </w:lvl>
    <w:lvl w:ilvl="7">
      <w:start w:val="1"/>
      <w:numFmt w:val="lowerLetter"/>
      <w:lvlText w:val="%8)"/>
      <w:lvlJc w:val="left"/>
      <w:pPr>
        <w:ind w:left="3852" w:hanging="420"/>
      </w:pPr>
    </w:lvl>
    <w:lvl w:ilvl="8">
      <w:start w:val="1"/>
      <w:numFmt w:val="lowerRoman"/>
      <w:lvlText w:val="%9."/>
      <w:lvlJc w:val="right"/>
      <w:pPr>
        <w:ind w:left="4272" w:hanging="420"/>
      </w:pPr>
    </w:lvl>
  </w:abstractNum>
  <w:abstractNum w:abstractNumId="1" w15:restartNumberingAfterBreak="0">
    <w:nsid w:val="16A90D7D"/>
    <w:multiLevelType w:val="multilevel"/>
    <w:tmpl w:val="16A90D7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7DB4EF7"/>
    <w:multiLevelType w:val="multilevel"/>
    <w:tmpl w:val="47DB4EF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CA578B3"/>
    <w:multiLevelType w:val="multilevel"/>
    <w:tmpl w:val="5CA578B3"/>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09F6DE6"/>
    <w:multiLevelType w:val="multilevel"/>
    <w:tmpl w:val="609F6DE6"/>
    <w:lvl w:ilvl="0">
      <w:start w:val="1"/>
      <w:numFmt w:val="japaneseCounting"/>
      <w:lvlText w:val="%1、"/>
      <w:lvlJc w:val="left"/>
      <w:pPr>
        <w:ind w:left="1270" w:hanging="570"/>
      </w:pPr>
      <w:rPr>
        <w:rFonts w:hint="default"/>
      </w:rPr>
    </w:lvl>
    <w:lvl w:ilvl="1">
      <w:start w:val="1"/>
      <w:numFmt w:val="lowerLetter"/>
      <w:lvlText w:val="%2)"/>
      <w:lvlJc w:val="left"/>
      <w:pPr>
        <w:ind w:left="1540" w:hanging="420"/>
      </w:pPr>
    </w:lvl>
    <w:lvl w:ilvl="2">
      <w:start w:val="1"/>
      <w:numFmt w:val="lowerRoman"/>
      <w:lvlText w:val="%3."/>
      <w:lvlJc w:val="right"/>
      <w:pPr>
        <w:ind w:left="1960" w:hanging="420"/>
      </w:pPr>
    </w:lvl>
    <w:lvl w:ilvl="3">
      <w:start w:val="1"/>
      <w:numFmt w:val="decimal"/>
      <w:lvlText w:val="%4."/>
      <w:lvlJc w:val="left"/>
      <w:pPr>
        <w:ind w:left="2380" w:hanging="420"/>
      </w:pPr>
    </w:lvl>
    <w:lvl w:ilvl="4">
      <w:start w:val="1"/>
      <w:numFmt w:val="lowerLetter"/>
      <w:lvlText w:val="%5)"/>
      <w:lvlJc w:val="left"/>
      <w:pPr>
        <w:ind w:left="2800" w:hanging="420"/>
      </w:pPr>
    </w:lvl>
    <w:lvl w:ilvl="5">
      <w:start w:val="1"/>
      <w:numFmt w:val="lowerRoman"/>
      <w:lvlText w:val="%6."/>
      <w:lvlJc w:val="right"/>
      <w:pPr>
        <w:ind w:left="3220" w:hanging="420"/>
      </w:pPr>
    </w:lvl>
    <w:lvl w:ilvl="6">
      <w:start w:val="1"/>
      <w:numFmt w:val="decimal"/>
      <w:lvlText w:val="%7."/>
      <w:lvlJc w:val="left"/>
      <w:pPr>
        <w:ind w:left="3640" w:hanging="420"/>
      </w:pPr>
    </w:lvl>
    <w:lvl w:ilvl="7">
      <w:start w:val="1"/>
      <w:numFmt w:val="lowerLetter"/>
      <w:lvlText w:val="%8)"/>
      <w:lvlJc w:val="left"/>
      <w:pPr>
        <w:ind w:left="4060" w:hanging="420"/>
      </w:pPr>
    </w:lvl>
    <w:lvl w:ilvl="8">
      <w:start w:val="1"/>
      <w:numFmt w:val="lowerRoman"/>
      <w:lvlText w:val="%9."/>
      <w:lvlJc w:val="right"/>
      <w:pPr>
        <w:ind w:left="4480" w:hanging="420"/>
      </w:pPr>
    </w:lvl>
  </w:abstractNum>
  <w:abstractNum w:abstractNumId="5" w15:restartNumberingAfterBreak="0">
    <w:nsid w:val="622F7D69"/>
    <w:multiLevelType w:val="multilevel"/>
    <w:tmpl w:val="622F7D69"/>
    <w:lvl w:ilvl="0">
      <w:start w:val="1"/>
      <w:numFmt w:val="decimal"/>
      <w:lvlText w:val="%1、"/>
      <w:lvlJc w:val="left"/>
      <w:pPr>
        <w:ind w:left="1420" w:hanging="720"/>
      </w:pPr>
      <w:rPr>
        <w:rFonts w:hint="default"/>
      </w:rPr>
    </w:lvl>
    <w:lvl w:ilvl="1">
      <w:start w:val="1"/>
      <w:numFmt w:val="lowerLetter"/>
      <w:lvlText w:val="%2)"/>
      <w:lvlJc w:val="left"/>
      <w:pPr>
        <w:ind w:left="1540" w:hanging="420"/>
      </w:pPr>
    </w:lvl>
    <w:lvl w:ilvl="2">
      <w:start w:val="1"/>
      <w:numFmt w:val="lowerRoman"/>
      <w:lvlText w:val="%3."/>
      <w:lvlJc w:val="right"/>
      <w:pPr>
        <w:ind w:left="1960" w:hanging="420"/>
      </w:pPr>
    </w:lvl>
    <w:lvl w:ilvl="3">
      <w:start w:val="1"/>
      <w:numFmt w:val="decimal"/>
      <w:lvlText w:val="%4."/>
      <w:lvlJc w:val="left"/>
      <w:pPr>
        <w:ind w:left="2380" w:hanging="420"/>
      </w:pPr>
    </w:lvl>
    <w:lvl w:ilvl="4">
      <w:start w:val="1"/>
      <w:numFmt w:val="lowerLetter"/>
      <w:lvlText w:val="%5)"/>
      <w:lvlJc w:val="left"/>
      <w:pPr>
        <w:ind w:left="2800" w:hanging="420"/>
      </w:pPr>
    </w:lvl>
    <w:lvl w:ilvl="5">
      <w:start w:val="1"/>
      <w:numFmt w:val="lowerRoman"/>
      <w:lvlText w:val="%6."/>
      <w:lvlJc w:val="right"/>
      <w:pPr>
        <w:ind w:left="3220" w:hanging="420"/>
      </w:pPr>
    </w:lvl>
    <w:lvl w:ilvl="6">
      <w:start w:val="1"/>
      <w:numFmt w:val="decimal"/>
      <w:lvlText w:val="%7."/>
      <w:lvlJc w:val="left"/>
      <w:pPr>
        <w:ind w:left="3640" w:hanging="420"/>
      </w:pPr>
    </w:lvl>
    <w:lvl w:ilvl="7">
      <w:start w:val="1"/>
      <w:numFmt w:val="lowerLetter"/>
      <w:lvlText w:val="%8)"/>
      <w:lvlJc w:val="left"/>
      <w:pPr>
        <w:ind w:left="4060" w:hanging="420"/>
      </w:pPr>
    </w:lvl>
    <w:lvl w:ilvl="8">
      <w:start w:val="1"/>
      <w:numFmt w:val="lowerRoman"/>
      <w:lvlText w:val="%9."/>
      <w:lvlJc w:val="right"/>
      <w:pPr>
        <w:ind w:left="4480" w:hanging="420"/>
      </w:pPr>
    </w:lvl>
  </w:abstractNum>
  <w:abstractNum w:abstractNumId="6" w15:restartNumberingAfterBreak="0">
    <w:nsid w:val="69E129CB"/>
    <w:multiLevelType w:val="multilevel"/>
    <w:tmpl w:val="69E129CB"/>
    <w:lvl w:ilvl="0">
      <w:start w:val="1"/>
      <w:numFmt w:val="japaneseCounting"/>
      <w:lvlText w:val="%1、"/>
      <w:lvlJc w:val="left"/>
      <w:pPr>
        <w:ind w:left="1180" w:hanging="720"/>
      </w:pPr>
      <w:rPr>
        <w:rFonts w:hint="default"/>
      </w:rPr>
    </w:lvl>
    <w:lvl w:ilvl="1">
      <w:start w:val="1"/>
      <w:numFmt w:val="lowerLetter"/>
      <w:lvlText w:val="%2)"/>
      <w:lvlJc w:val="left"/>
      <w:pPr>
        <w:ind w:left="1300" w:hanging="420"/>
      </w:pPr>
    </w:lvl>
    <w:lvl w:ilvl="2">
      <w:start w:val="1"/>
      <w:numFmt w:val="lowerRoman"/>
      <w:lvlText w:val="%3."/>
      <w:lvlJc w:val="right"/>
      <w:pPr>
        <w:ind w:left="1720" w:hanging="420"/>
      </w:pPr>
    </w:lvl>
    <w:lvl w:ilvl="3">
      <w:start w:val="1"/>
      <w:numFmt w:val="decimal"/>
      <w:lvlText w:val="%4."/>
      <w:lvlJc w:val="left"/>
      <w:pPr>
        <w:ind w:left="2140" w:hanging="420"/>
      </w:pPr>
    </w:lvl>
    <w:lvl w:ilvl="4">
      <w:start w:val="1"/>
      <w:numFmt w:val="lowerLetter"/>
      <w:lvlText w:val="%5)"/>
      <w:lvlJc w:val="left"/>
      <w:pPr>
        <w:ind w:left="2560" w:hanging="420"/>
      </w:pPr>
    </w:lvl>
    <w:lvl w:ilvl="5">
      <w:start w:val="1"/>
      <w:numFmt w:val="lowerRoman"/>
      <w:lvlText w:val="%6."/>
      <w:lvlJc w:val="right"/>
      <w:pPr>
        <w:ind w:left="2980" w:hanging="420"/>
      </w:pPr>
    </w:lvl>
    <w:lvl w:ilvl="6">
      <w:start w:val="1"/>
      <w:numFmt w:val="decimal"/>
      <w:lvlText w:val="%7."/>
      <w:lvlJc w:val="left"/>
      <w:pPr>
        <w:ind w:left="3400" w:hanging="420"/>
      </w:pPr>
    </w:lvl>
    <w:lvl w:ilvl="7">
      <w:start w:val="1"/>
      <w:numFmt w:val="lowerLetter"/>
      <w:lvlText w:val="%8)"/>
      <w:lvlJc w:val="left"/>
      <w:pPr>
        <w:ind w:left="3820" w:hanging="420"/>
      </w:pPr>
    </w:lvl>
    <w:lvl w:ilvl="8">
      <w:start w:val="1"/>
      <w:numFmt w:val="lowerRoman"/>
      <w:lvlText w:val="%9."/>
      <w:lvlJc w:val="right"/>
      <w:pPr>
        <w:ind w:left="4240" w:hanging="420"/>
      </w:pPr>
    </w:lvl>
  </w:abstractNum>
  <w:abstractNum w:abstractNumId="7" w15:restartNumberingAfterBreak="0">
    <w:nsid w:val="6B98727E"/>
    <w:multiLevelType w:val="multilevel"/>
    <w:tmpl w:val="6B98727E"/>
    <w:lvl w:ilvl="0">
      <w:start w:val="1"/>
      <w:numFmt w:val="japaneseCounting"/>
      <w:lvlText w:val="第%1篇、"/>
      <w:lvlJc w:val="left"/>
      <w:pPr>
        <w:ind w:left="1700" w:hanging="114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73903E66"/>
    <w:multiLevelType w:val="multilevel"/>
    <w:tmpl w:val="73903E66"/>
    <w:lvl w:ilvl="0">
      <w:start w:val="1"/>
      <w:numFmt w:val="japaneseCounting"/>
      <w:lvlText w:val="%1、"/>
      <w:lvlJc w:val="left"/>
      <w:pPr>
        <w:ind w:left="1180" w:hanging="720"/>
      </w:pPr>
      <w:rPr>
        <w:rFonts w:hint="default"/>
      </w:rPr>
    </w:lvl>
    <w:lvl w:ilvl="1">
      <w:start w:val="1"/>
      <w:numFmt w:val="lowerLetter"/>
      <w:lvlText w:val="%2)"/>
      <w:lvlJc w:val="left"/>
      <w:pPr>
        <w:ind w:left="1300" w:hanging="420"/>
      </w:pPr>
    </w:lvl>
    <w:lvl w:ilvl="2">
      <w:start w:val="1"/>
      <w:numFmt w:val="lowerRoman"/>
      <w:lvlText w:val="%3."/>
      <w:lvlJc w:val="right"/>
      <w:pPr>
        <w:ind w:left="1720" w:hanging="420"/>
      </w:pPr>
    </w:lvl>
    <w:lvl w:ilvl="3">
      <w:start w:val="1"/>
      <w:numFmt w:val="decimal"/>
      <w:lvlText w:val="%4."/>
      <w:lvlJc w:val="left"/>
      <w:pPr>
        <w:ind w:left="2140" w:hanging="420"/>
      </w:pPr>
    </w:lvl>
    <w:lvl w:ilvl="4">
      <w:start w:val="1"/>
      <w:numFmt w:val="lowerLetter"/>
      <w:lvlText w:val="%5)"/>
      <w:lvlJc w:val="left"/>
      <w:pPr>
        <w:ind w:left="2560" w:hanging="420"/>
      </w:pPr>
    </w:lvl>
    <w:lvl w:ilvl="5">
      <w:start w:val="1"/>
      <w:numFmt w:val="lowerRoman"/>
      <w:lvlText w:val="%6."/>
      <w:lvlJc w:val="right"/>
      <w:pPr>
        <w:ind w:left="2980" w:hanging="420"/>
      </w:pPr>
    </w:lvl>
    <w:lvl w:ilvl="6">
      <w:start w:val="1"/>
      <w:numFmt w:val="decimal"/>
      <w:lvlText w:val="%7."/>
      <w:lvlJc w:val="left"/>
      <w:pPr>
        <w:ind w:left="3400" w:hanging="420"/>
      </w:pPr>
    </w:lvl>
    <w:lvl w:ilvl="7">
      <w:start w:val="1"/>
      <w:numFmt w:val="lowerLetter"/>
      <w:lvlText w:val="%8)"/>
      <w:lvlJc w:val="left"/>
      <w:pPr>
        <w:ind w:left="3820" w:hanging="420"/>
      </w:pPr>
    </w:lvl>
    <w:lvl w:ilvl="8">
      <w:start w:val="1"/>
      <w:numFmt w:val="lowerRoman"/>
      <w:lvlText w:val="%9."/>
      <w:lvlJc w:val="right"/>
      <w:pPr>
        <w:ind w:left="4240" w:hanging="420"/>
      </w:pPr>
    </w:lvl>
  </w:abstractNum>
  <w:abstractNum w:abstractNumId="9" w15:restartNumberingAfterBreak="0">
    <w:nsid w:val="77844C6C"/>
    <w:multiLevelType w:val="multilevel"/>
    <w:tmpl w:val="77844C6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27720225">
    <w:abstractNumId w:val="7"/>
  </w:num>
  <w:num w:numId="2" w16cid:durableId="2078899012">
    <w:abstractNumId w:val="1"/>
  </w:num>
  <w:num w:numId="3" w16cid:durableId="1315182374">
    <w:abstractNumId w:val="4"/>
  </w:num>
  <w:num w:numId="4" w16cid:durableId="646208778">
    <w:abstractNumId w:val="5"/>
  </w:num>
  <w:num w:numId="5" w16cid:durableId="2069761667">
    <w:abstractNumId w:val="0"/>
  </w:num>
  <w:num w:numId="6" w16cid:durableId="2114006362">
    <w:abstractNumId w:val="6"/>
  </w:num>
  <w:num w:numId="7" w16cid:durableId="2127767418">
    <w:abstractNumId w:val="2"/>
  </w:num>
  <w:num w:numId="8" w16cid:durableId="677276522">
    <w:abstractNumId w:val="9"/>
  </w:num>
  <w:num w:numId="9" w16cid:durableId="1795757509">
    <w:abstractNumId w:val="8"/>
  </w:num>
  <w:num w:numId="10" w16cid:durableId="692220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IyYzMyZjhjZWI0MmYzYWUxYzE2YThlOTgxY2RjYTIifQ=="/>
  </w:docVars>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5B1"/>
    <w:rsid w:val="0007594B"/>
    <w:rsid w:val="00076278"/>
    <w:rsid w:val="00076422"/>
    <w:rsid w:val="00076AA0"/>
    <w:rsid w:val="00077AA6"/>
    <w:rsid w:val="0008101C"/>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4"/>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37FA"/>
    <w:rsid w:val="000D44E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47"/>
    <w:rsid w:val="001016A6"/>
    <w:rsid w:val="00101B15"/>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28E1"/>
    <w:rsid w:val="00123126"/>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452F"/>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965"/>
    <w:rsid w:val="001B7DF4"/>
    <w:rsid w:val="001C27A9"/>
    <w:rsid w:val="001C2967"/>
    <w:rsid w:val="001C3235"/>
    <w:rsid w:val="001C33F7"/>
    <w:rsid w:val="001C39E0"/>
    <w:rsid w:val="001C39FD"/>
    <w:rsid w:val="001C4801"/>
    <w:rsid w:val="001C508D"/>
    <w:rsid w:val="001C5A48"/>
    <w:rsid w:val="001D0737"/>
    <w:rsid w:val="001D107C"/>
    <w:rsid w:val="001D13D4"/>
    <w:rsid w:val="001D146A"/>
    <w:rsid w:val="001D1E3F"/>
    <w:rsid w:val="001D2159"/>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F04"/>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91C"/>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C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1C2"/>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EA0"/>
    <w:rsid w:val="002E2D86"/>
    <w:rsid w:val="002E36AC"/>
    <w:rsid w:val="002E3F25"/>
    <w:rsid w:val="002E4FD9"/>
    <w:rsid w:val="002E5E7D"/>
    <w:rsid w:val="002E6ABE"/>
    <w:rsid w:val="002F0685"/>
    <w:rsid w:val="002F06C9"/>
    <w:rsid w:val="002F1160"/>
    <w:rsid w:val="002F13BC"/>
    <w:rsid w:val="002F1F90"/>
    <w:rsid w:val="002F3403"/>
    <w:rsid w:val="002F3F94"/>
    <w:rsid w:val="002F40B3"/>
    <w:rsid w:val="002F526F"/>
    <w:rsid w:val="002F55CA"/>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6472"/>
    <w:rsid w:val="00317276"/>
    <w:rsid w:val="0031748B"/>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5B8"/>
    <w:rsid w:val="00364EDB"/>
    <w:rsid w:val="00365092"/>
    <w:rsid w:val="003656A7"/>
    <w:rsid w:val="00365C24"/>
    <w:rsid w:val="003662F1"/>
    <w:rsid w:val="00366589"/>
    <w:rsid w:val="00366A50"/>
    <w:rsid w:val="00366F4D"/>
    <w:rsid w:val="0036711D"/>
    <w:rsid w:val="00367305"/>
    <w:rsid w:val="0036751A"/>
    <w:rsid w:val="003679CE"/>
    <w:rsid w:val="00370103"/>
    <w:rsid w:val="003712D6"/>
    <w:rsid w:val="00371710"/>
    <w:rsid w:val="003724C8"/>
    <w:rsid w:val="003730BD"/>
    <w:rsid w:val="00373967"/>
    <w:rsid w:val="00373A5F"/>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6661"/>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C89"/>
    <w:rsid w:val="003F1D3F"/>
    <w:rsid w:val="003F1F98"/>
    <w:rsid w:val="003F3312"/>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5249"/>
    <w:rsid w:val="0042555B"/>
    <w:rsid w:val="00425DDE"/>
    <w:rsid w:val="00430063"/>
    <w:rsid w:val="00431042"/>
    <w:rsid w:val="00431504"/>
    <w:rsid w:val="00432908"/>
    <w:rsid w:val="00432E09"/>
    <w:rsid w:val="00433299"/>
    <w:rsid w:val="0043362D"/>
    <w:rsid w:val="00433A99"/>
    <w:rsid w:val="00434263"/>
    <w:rsid w:val="0043430C"/>
    <w:rsid w:val="004348D6"/>
    <w:rsid w:val="00434C44"/>
    <w:rsid w:val="00436B3A"/>
    <w:rsid w:val="00440712"/>
    <w:rsid w:val="004407B0"/>
    <w:rsid w:val="00441126"/>
    <w:rsid w:val="00442243"/>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0E3"/>
    <w:rsid w:val="00486251"/>
    <w:rsid w:val="0048680C"/>
    <w:rsid w:val="0048796A"/>
    <w:rsid w:val="00487EF9"/>
    <w:rsid w:val="00490155"/>
    <w:rsid w:val="00490629"/>
    <w:rsid w:val="00490B34"/>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3CBE"/>
    <w:rsid w:val="004C3CE4"/>
    <w:rsid w:val="004C4274"/>
    <w:rsid w:val="004C7281"/>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0913"/>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B7"/>
    <w:rsid w:val="005373E7"/>
    <w:rsid w:val="00537403"/>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0EC8"/>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576"/>
    <w:rsid w:val="005B08EE"/>
    <w:rsid w:val="005B0B4C"/>
    <w:rsid w:val="005B0E29"/>
    <w:rsid w:val="005B1D49"/>
    <w:rsid w:val="005B25AE"/>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8A0"/>
    <w:rsid w:val="005E4B49"/>
    <w:rsid w:val="005E5241"/>
    <w:rsid w:val="005E5B1D"/>
    <w:rsid w:val="005E6377"/>
    <w:rsid w:val="005E750B"/>
    <w:rsid w:val="005E7CEA"/>
    <w:rsid w:val="005F023A"/>
    <w:rsid w:val="005F02AF"/>
    <w:rsid w:val="005F1719"/>
    <w:rsid w:val="005F2817"/>
    <w:rsid w:val="005F3812"/>
    <w:rsid w:val="005F4451"/>
    <w:rsid w:val="005F4590"/>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37E77"/>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4A1"/>
    <w:rsid w:val="0066206F"/>
    <w:rsid w:val="00662406"/>
    <w:rsid w:val="00662DE2"/>
    <w:rsid w:val="006633BC"/>
    <w:rsid w:val="006640EE"/>
    <w:rsid w:val="006646B8"/>
    <w:rsid w:val="006651AD"/>
    <w:rsid w:val="00666B51"/>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304B"/>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0F83"/>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3EC"/>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5990"/>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5CD"/>
    <w:rsid w:val="00757837"/>
    <w:rsid w:val="00757842"/>
    <w:rsid w:val="00760E20"/>
    <w:rsid w:val="00761093"/>
    <w:rsid w:val="007623D4"/>
    <w:rsid w:val="0076594F"/>
    <w:rsid w:val="0076649E"/>
    <w:rsid w:val="00767C54"/>
    <w:rsid w:val="00770794"/>
    <w:rsid w:val="007709D9"/>
    <w:rsid w:val="007723B4"/>
    <w:rsid w:val="007731B4"/>
    <w:rsid w:val="007736E3"/>
    <w:rsid w:val="00773C00"/>
    <w:rsid w:val="00773F73"/>
    <w:rsid w:val="007740F8"/>
    <w:rsid w:val="00774901"/>
    <w:rsid w:val="00774B6B"/>
    <w:rsid w:val="00775274"/>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F8E"/>
    <w:rsid w:val="007918EF"/>
    <w:rsid w:val="007927AC"/>
    <w:rsid w:val="007945BD"/>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2C83"/>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173"/>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675B"/>
    <w:rsid w:val="007E67DF"/>
    <w:rsid w:val="007E7290"/>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5DF"/>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7288"/>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969"/>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2FE8"/>
    <w:rsid w:val="008D35ED"/>
    <w:rsid w:val="008D4328"/>
    <w:rsid w:val="008D4801"/>
    <w:rsid w:val="008D60D0"/>
    <w:rsid w:val="008D7C67"/>
    <w:rsid w:val="008E0F93"/>
    <w:rsid w:val="008E11A3"/>
    <w:rsid w:val="008E284F"/>
    <w:rsid w:val="008E2B11"/>
    <w:rsid w:val="008E2C35"/>
    <w:rsid w:val="008E332B"/>
    <w:rsid w:val="008E33D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000F"/>
    <w:rsid w:val="00911372"/>
    <w:rsid w:val="009113F4"/>
    <w:rsid w:val="00911E31"/>
    <w:rsid w:val="00911F96"/>
    <w:rsid w:val="00912091"/>
    <w:rsid w:val="009121AE"/>
    <w:rsid w:val="009126F0"/>
    <w:rsid w:val="0091338F"/>
    <w:rsid w:val="009134C8"/>
    <w:rsid w:val="00914D4E"/>
    <w:rsid w:val="00915499"/>
    <w:rsid w:val="009171AD"/>
    <w:rsid w:val="00917213"/>
    <w:rsid w:val="009175A9"/>
    <w:rsid w:val="00920C58"/>
    <w:rsid w:val="00921525"/>
    <w:rsid w:val="0092155F"/>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35A6"/>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2C4E"/>
    <w:rsid w:val="009A316A"/>
    <w:rsid w:val="009A3900"/>
    <w:rsid w:val="009A3AEF"/>
    <w:rsid w:val="009A410B"/>
    <w:rsid w:val="009A426B"/>
    <w:rsid w:val="009A5C27"/>
    <w:rsid w:val="009A5F5C"/>
    <w:rsid w:val="009A63AB"/>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A47"/>
    <w:rsid w:val="009C4922"/>
    <w:rsid w:val="009C58CA"/>
    <w:rsid w:val="009C5E0F"/>
    <w:rsid w:val="009C6689"/>
    <w:rsid w:val="009C6DED"/>
    <w:rsid w:val="009C718C"/>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6736"/>
    <w:rsid w:val="009F73B9"/>
    <w:rsid w:val="009F78CA"/>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429B"/>
    <w:rsid w:val="00A35A71"/>
    <w:rsid w:val="00A35C38"/>
    <w:rsid w:val="00A36446"/>
    <w:rsid w:val="00A36D74"/>
    <w:rsid w:val="00A36EC6"/>
    <w:rsid w:val="00A37B99"/>
    <w:rsid w:val="00A4034A"/>
    <w:rsid w:val="00A4089B"/>
    <w:rsid w:val="00A41593"/>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ED0"/>
    <w:rsid w:val="00A63C89"/>
    <w:rsid w:val="00A65750"/>
    <w:rsid w:val="00A658BB"/>
    <w:rsid w:val="00A66A3A"/>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2F8"/>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517"/>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1AEA"/>
    <w:rsid w:val="00AE2237"/>
    <w:rsid w:val="00AE289B"/>
    <w:rsid w:val="00AE2B82"/>
    <w:rsid w:val="00AE326C"/>
    <w:rsid w:val="00AE3954"/>
    <w:rsid w:val="00AE3E63"/>
    <w:rsid w:val="00AE3EE7"/>
    <w:rsid w:val="00AE4AE7"/>
    <w:rsid w:val="00AE4CB8"/>
    <w:rsid w:val="00AE5602"/>
    <w:rsid w:val="00AE58D3"/>
    <w:rsid w:val="00AE5F1F"/>
    <w:rsid w:val="00AE61B5"/>
    <w:rsid w:val="00AE6E0E"/>
    <w:rsid w:val="00AE72D1"/>
    <w:rsid w:val="00AE7332"/>
    <w:rsid w:val="00AF0B6E"/>
    <w:rsid w:val="00AF1CCD"/>
    <w:rsid w:val="00AF25EE"/>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5BFD"/>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6E6A"/>
    <w:rsid w:val="00BA7A8B"/>
    <w:rsid w:val="00BA7E8A"/>
    <w:rsid w:val="00BB0826"/>
    <w:rsid w:val="00BB0FDB"/>
    <w:rsid w:val="00BB1700"/>
    <w:rsid w:val="00BB2A6D"/>
    <w:rsid w:val="00BB3376"/>
    <w:rsid w:val="00BB34F9"/>
    <w:rsid w:val="00BB38D1"/>
    <w:rsid w:val="00BB3EB4"/>
    <w:rsid w:val="00BB4C13"/>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6F41"/>
    <w:rsid w:val="00BD70AC"/>
    <w:rsid w:val="00BE0105"/>
    <w:rsid w:val="00BE01E9"/>
    <w:rsid w:val="00BE02B8"/>
    <w:rsid w:val="00BE0AAC"/>
    <w:rsid w:val="00BE373C"/>
    <w:rsid w:val="00BE39DB"/>
    <w:rsid w:val="00BE41B7"/>
    <w:rsid w:val="00BE5441"/>
    <w:rsid w:val="00BE5D8D"/>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F9E"/>
    <w:rsid w:val="00C001F1"/>
    <w:rsid w:val="00C004C1"/>
    <w:rsid w:val="00C00B5D"/>
    <w:rsid w:val="00C00C20"/>
    <w:rsid w:val="00C00DFC"/>
    <w:rsid w:val="00C01736"/>
    <w:rsid w:val="00C01911"/>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66"/>
    <w:rsid w:val="00C258B1"/>
    <w:rsid w:val="00C26B69"/>
    <w:rsid w:val="00C27046"/>
    <w:rsid w:val="00C277A8"/>
    <w:rsid w:val="00C27A54"/>
    <w:rsid w:val="00C32822"/>
    <w:rsid w:val="00C337A0"/>
    <w:rsid w:val="00C341A0"/>
    <w:rsid w:val="00C35900"/>
    <w:rsid w:val="00C3722B"/>
    <w:rsid w:val="00C4065D"/>
    <w:rsid w:val="00C4143B"/>
    <w:rsid w:val="00C43DFF"/>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C85"/>
    <w:rsid w:val="00C54BDB"/>
    <w:rsid w:val="00C55F17"/>
    <w:rsid w:val="00C56532"/>
    <w:rsid w:val="00C56ACF"/>
    <w:rsid w:val="00C571BC"/>
    <w:rsid w:val="00C57B8D"/>
    <w:rsid w:val="00C60807"/>
    <w:rsid w:val="00C60A1C"/>
    <w:rsid w:val="00C615DA"/>
    <w:rsid w:val="00C621A0"/>
    <w:rsid w:val="00C62AB8"/>
    <w:rsid w:val="00C62CF3"/>
    <w:rsid w:val="00C64576"/>
    <w:rsid w:val="00C6491C"/>
    <w:rsid w:val="00C64D1E"/>
    <w:rsid w:val="00C650F0"/>
    <w:rsid w:val="00C65542"/>
    <w:rsid w:val="00C65FF2"/>
    <w:rsid w:val="00C667F6"/>
    <w:rsid w:val="00C670F1"/>
    <w:rsid w:val="00C67FAC"/>
    <w:rsid w:val="00C70A22"/>
    <w:rsid w:val="00C70E62"/>
    <w:rsid w:val="00C71581"/>
    <w:rsid w:val="00C717C1"/>
    <w:rsid w:val="00C722BD"/>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642"/>
    <w:rsid w:val="00C75737"/>
    <w:rsid w:val="00C75EF7"/>
    <w:rsid w:val="00C76181"/>
    <w:rsid w:val="00C764F3"/>
    <w:rsid w:val="00C767F0"/>
    <w:rsid w:val="00C76DAB"/>
    <w:rsid w:val="00C803CF"/>
    <w:rsid w:val="00C808F9"/>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0AA3"/>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696D"/>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361C"/>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B7C"/>
    <w:rsid w:val="00D86C94"/>
    <w:rsid w:val="00D90FDA"/>
    <w:rsid w:val="00D917F9"/>
    <w:rsid w:val="00D92564"/>
    <w:rsid w:val="00D926FA"/>
    <w:rsid w:val="00D93556"/>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507"/>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163CE"/>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1F5F"/>
    <w:rsid w:val="00E3284A"/>
    <w:rsid w:val="00E32B86"/>
    <w:rsid w:val="00E32F8A"/>
    <w:rsid w:val="00E3450F"/>
    <w:rsid w:val="00E35150"/>
    <w:rsid w:val="00E35603"/>
    <w:rsid w:val="00E36441"/>
    <w:rsid w:val="00E40A55"/>
    <w:rsid w:val="00E40BD9"/>
    <w:rsid w:val="00E41A3C"/>
    <w:rsid w:val="00E427EA"/>
    <w:rsid w:val="00E42915"/>
    <w:rsid w:val="00E43501"/>
    <w:rsid w:val="00E436CF"/>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5D8B"/>
    <w:rsid w:val="00E76096"/>
    <w:rsid w:val="00E77ABA"/>
    <w:rsid w:val="00E77E24"/>
    <w:rsid w:val="00E81029"/>
    <w:rsid w:val="00E814A1"/>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526A"/>
    <w:rsid w:val="00ED543B"/>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4C9"/>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6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5983"/>
    <w:rsid w:val="00F55991"/>
    <w:rsid w:val="00F55E2C"/>
    <w:rsid w:val="00F56579"/>
    <w:rsid w:val="00F56887"/>
    <w:rsid w:val="00F61F49"/>
    <w:rsid w:val="00F620DD"/>
    <w:rsid w:val="00F6277C"/>
    <w:rsid w:val="00F63440"/>
    <w:rsid w:val="00F647F9"/>
    <w:rsid w:val="00F64B62"/>
    <w:rsid w:val="00F64F4B"/>
    <w:rsid w:val="00F661C7"/>
    <w:rsid w:val="00F66588"/>
    <w:rsid w:val="00F67F56"/>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621"/>
    <w:rsid w:val="00F968A3"/>
    <w:rsid w:val="00F96A2B"/>
    <w:rsid w:val="00FA0219"/>
    <w:rsid w:val="00FA1A82"/>
    <w:rsid w:val="00FA30A2"/>
    <w:rsid w:val="00FA337C"/>
    <w:rsid w:val="00FA389D"/>
    <w:rsid w:val="00FA3CCE"/>
    <w:rsid w:val="00FA460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6D76"/>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7F6"/>
    <w:rsid w:val="00FF4A83"/>
    <w:rsid w:val="00FF52CF"/>
    <w:rsid w:val="00FF5CC9"/>
    <w:rsid w:val="00FF6D43"/>
    <w:rsid w:val="00FF73E8"/>
    <w:rsid w:val="00FF796E"/>
    <w:rsid w:val="09D05DEC"/>
    <w:rsid w:val="09F63639"/>
    <w:rsid w:val="0DA70698"/>
    <w:rsid w:val="14C87824"/>
    <w:rsid w:val="21E6608D"/>
    <w:rsid w:val="262D4274"/>
    <w:rsid w:val="352A7C67"/>
    <w:rsid w:val="4B5821D0"/>
    <w:rsid w:val="60723523"/>
    <w:rsid w:val="72D4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color="#739cc3">
      <v:fill color="white"/>
      <v:stroke color="#739cc3" weight="1.25pt"/>
    </o:shapedefaults>
    <o:shapelayout v:ext="edit">
      <o:idmap v:ext="edit" data="1"/>
    </o:shapelayout>
  </w:shapeDefaults>
  <w:decimalSymbol w:val="."/>
  <w:listSeparator w:val=","/>
  <w14:docId w14:val="4EEE3766"/>
  <w15:docId w15:val="{ABEA42EE-365A-4C9B-8CE1-01A92187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0"/>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emiHidden/>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c">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Strong"/>
    <w:basedOn w:val="a0"/>
    <w:uiPriority w:val="22"/>
    <w:qFormat/>
    <w:rPr>
      <w:b/>
      <w:bCs/>
    </w:r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character" w:customStyle="1" w:styleId="a6">
    <w:name w:val="批注框文本 字符"/>
    <w:basedOn w:val="a0"/>
    <w:link w:val="a5"/>
    <w:uiPriority w:val="99"/>
    <w:semiHidden/>
    <w:qFormat/>
    <w:rPr>
      <w:sz w:val="18"/>
      <w:szCs w:val="18"/>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qFormat/>
    <w:rPr>
      <w:sz w:val="18"/>
      <w:szCs w:val="18"/>
    </w:rPr>
  </w:style>
  <w:style w:type="paragraph" w:styleId="af0">
    <w:name w:val="No Spacing"/>
    <w:link w:val="af1"/>
    <w:uiPriority w:val="1"/>
    <w:qFormat/>
    <w:rPr>
      <w:rFonts w:asciiTheme="minorHAnsi" w:eastAsiaTheme="minorEastAsia" w:hAnsiTheme="minorHAnsi" w:cstheme="minorBidi"/>
      <w:sz w:val="22"/>
      <w:szCs w:val="22"/>
    </w:rPr>
  </w:style>
  <w:style w:type="character" w:customStyle="1" w:styleId="af1">
    <w:name w:val="无间隔 字符"/>
    <w:basedOn w:val="a0"/>
    <w:link w:val="af0"/>
    <w:uiPriority w:val="1"/>
    <w:qFormat/>
    <w:rPr>
      <w:rFonts w:asciiTheme="minorHAnsi" w:eastAsiaTheme="minorEastAsia" w:hAnsiTheme="minorHAnsi" w:cstheme="minorBidi"/>
      <w:sz w:val="22"/>
      <w:szCs w:val="22"/>
    </w:rPr>
  </w:style>
  <w:style w:type="paragraph" w:styleId="af2">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uiPriority w:val="9"/>
    <w:qFormat/>
    <w:rPr>
      <w:rFonts w:ascii="宋体" w:hAnsi="宋体" w:cs="宋体"/>
      <w:sz w:val="36"/>
      <w:szCs w:val="36"/>
    </w:rPr>
  </w:style>
  <w:style w:type="character" w:customStyle="1" w:styleId="40">
    <w:name w:val="标题 4 字符"/>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a4">
    <w:name w:val="日期 字符"/>
    <w:basedOn w:val="a0"/>
    <w:link w:val="a3"/>
    <w:semiHidden/>
    <w:qFormat/>
    <w:rPr>
      <w:rFonts w:ascii="Calibri" w:hAnsi="Calibri"/>
      <w:kern w:val="2"/>
      <w:sz w:val="21"/>
      <w:szCs w:val="22"/>
    </w:rPr>
  </w:style>
  <w:style w:type="character" w:customStyle="1" w:styleId="10">
    <w:name w:val="标题 1 字符"/>
    <w:basedOn w:val="a0"/>
    <w:link w:val="1"/>
    <w:uiPriority w:val="9"/>
    <w:qFormat/>
    <w:rPr>
      <w:rFonts w:asciiTheme="minorHAnsi" w:eastAsiaTheme="minorEastAsia" w:hAnsiTheme="minorHAnsi"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footer" Target="footer1.xml"/><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D910FB0-B353-4446-AC1E-F605A52D92C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2937</Words>
  <Characters>16747</Characters>
  <Application>Microsoft Office Word</Application>
  <DocSecurity>0</DocSecurity>
  <Lines>139</Lines>
  <Paragraphs>39</Paragraphs>
  <ScaleCrop>false</ScaleCrop>
  <Company>Lenovo</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2015年第一期</dc:title>
  <dc:subject>2015年7月29日</dc:subject>
  <dc:creator>FtpDown</dc:creator>
  <cp:lastModifiedBy>songyy@hayao.com</cp:lastModifiedBy>
  <cp:revision>2</cp:revision>
  <cp:lastPrinted>2018-09-29T05:55:00Z</cp:lastPrinted>
  <dcterms:created xsi:type="dcterms:W3CDTF">2022-11-11T08:49:00Z</dcterms:created>
  <dcterms:modified xsi:type="dcterms:W3CDTF">2022-11-11T08:49:00Z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2204A7525F384D2B9EB9497DD3A1866A</vt:lpwstr>
  </property>
</Properties>
</file>