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921172"/>
      </w:sdtPr>
      <w:sdtContent>
        <w:p w14:paraId="14D1BE64" w14:textId="77777777" w:rsidR="003F5F97" w:rsidRDefault="00000000">
          <w:r>
            <w:rPr>
              <w:noProof/>
            </w:rPr>
            <w:drawing>
              <wp:anchor distT="0" distB="0" distL="114300" distR="114300" simplePos="0" relativeHeight="251653632" behindDoc="1" locked="0" layoutInCell="1" allowOverlap="1" wp14:anchorId="4712A5B3" wp14:editId="316B9733">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14:paraId="4D81C7C9" w14:textId="77777777" w:rsidR="003F5F97" w:rsidRDefault="003F5F97"/>
        <w:tbl>
          <w:tblPr>
            <w:tblpPr w:leftFromText="187" w:rightFromText="187" w:horzAnchor="margin" w:tblpXSpec="center" w:tblpYSpec="bottom"/>
            <w:tblW w:w="4000" w:type="pct"/>
            <w:tblLook w:val="04A0" w:firstRow="1" w:lastRow="0" w:firstColumn="1" w:lastColumn="0" w:noHBand="0" w:noVBand="1"/>
          </w:tblPr>
          <w:tblGrid>
            <w:gridCol w:w="6650"/>
          </w:tblGrid>
          <w:tr w:rsidR="003F5F97" w14:paraId="009AA761" w14:textId="77777777">
            <w:tc>
              <w:tcPr>
                <w:tcW w:w="7672" w:type="dxa"/>
                <w:tcMar>
                  <w:top w:w="216" w:type="dxa"/>
                  <w:left w:w="115" w:type="dxa"/>
                  <w:bottom w:w="216" w:type="dxa"/>
                  <w:right w:w="115" w:type="dxa"/>
                </w:tcMar>
              </w:tcPr>
              <w:p w14:paraId="06DA5279" w14:textId="77777777" w:rsidR="003F5F97" w:rsidRDefault="003F5F97">
                <w:pPr>
                  <w:pStyle w:val="af0"/>
                  <w:rPr>
                    <w:color w:val="4F81BD" w:themeColor="accent1"/>
                  </w:rPr>
                </w:pPr>
              </w:p>
            </w:tc>
          </w:tr>
        </w:tbl>
        <w:p w14:paraId="4813E94A" w14:textId="77777777" w:rsidR="003F5F97" w:rsidRDefault="003F5F97"/>
        <w:p w14:paraId="3EE98670" w14:textId="77777777" w:rsidR="003F5F97" w:rsidRDefault="003F5F97"/>
        <w:p w14:paraId="1FD751BA" w14:textId="77777777" w:rsidR="003F5F97" w:rsidRDefault="003F5F97"/>
        <w:p w14:paraId="22671AA6" w14:textId="77777777" w:rsidR="003F5F97" w:rsidRDefault="003F5F97"/>
        <w:p w14:paraId="6876101E" w14:textId="77777777" w:rsidR="003F5F97" w:rsidRDefault="00000000">
          <w:r>
            <w:rPr>
              <w:rFonts w:hint="eastAsia"/>
            </w:rPr>
            <w:t xml:space="preserve">   </w:t>
          </w:r>
        </w:p>
        <w:p w14:paraId="1455497C" w14:textId="77777777" w:rsidR="003F5F97" w:rsidRDefault="003F5F97"/>
        <w:p w14:paraId="26F0D3D2" w14:textId="77777777" w:rsidR="003F5F97" w:rsidRDefault="003F5F97"/>
        <w:p w14:paraId="7FFAD47C" w14:textId="77777777" w:rsidR="003F5F97" w:rsidRDefault="003F5F97"/>
        <w:p w14:paraId="54B697E6" w14:textId="77777777" w:rsidR="003F5F97" w:rsidRDefault="003F5F97"/>
        <w:p w14:paraId="7BEE4052" w14:textId="77777777" w:rsidR="003F5F97" w:rsidRDefault="003F5F97"/>
        <w:p w14:paraId="7E268DF6" w14:textId="77777777" w:rsidR="003F5F97" w:rsidRDefault="003F5F97"/>
        <w:p w14:paraId="28210018" w14:textId="77777777" w:rsidR="003F5F97" w:rsidRDefault="003F5F97"/>
        <w:p w14:paraId="150D5796" w14:textId="77777777" w:rsidR="003F5F97" w:rsidRDefault="003F5F97"/>
        <w:p w14:paraId="3BE5D82E" w14:textId="77777777" w:rsidR="003F5F97" w:rsidRDefault="00000000">
          <w:pPr>
            <w:tabs>
              <w:tab w:val="left" w:pos="7050"/>
            </w:tabs>
          </w:pPr>
          <w:r>
            <w:tab/>
          </w:r>
        </w:p>
        <w:p w14:paraId="7BA32982" w14:textId="77777777" w:rsidR="003F5F97" w:rsidRDefault="003F5F97"/>
        <w:p w14:paraId="3D7C6766" w14:textId="77777777" w:rsidR="003F5F97" w:rsidRDefault="003F5F97"/>
        <w:p w14:paraId="6897819A" w14:textId="77777777" w:rsidR="003F5F97" w:rsidRDefault="003F5F97"/>
        <w:p w14:paraId="1753F113" w14:textId="77777777" w:rsidR="003F5F97" w:rsidRDefault="003F5F97"/>
        <w:p w14:paraId="0A54309C" w14:textId="77777777" w:rsidR="003F5F97" w:rsidRDefault="00000000">
          <w:pPr>
            <w:jc w:val="center"/>
            <w:rPr>
              <w:rFonts w:ascii="Heiti SC Light" w:eastAsia="Heiti SC Light"/>
              <w:color w:val="FFFFFF"/>
              <w:sz w:val="32"/>
              <w:szCs w:val="32"/>
            </w:rPr>
          </w:pPr>
          <w:r>
            <w:rPr>
              <w:rFonts w:ascii="Heiti SC Light" w:eastAsia="Heiti SC Light" w:hint="eastAsia"/>
              <w:color w:val="FFFFFF"/>
              <w:sz w:val="32"/>
              <w:szCs w:val="32"/>
            </w:rPr>
            <w:t>（2022年第12期） 2022年12月26日</w:t>
          </w:r>
        </w:p>
        <w:p w14:paraId="5AD987D1" w14:textId="77777777" w:rsidR="003F5F97" w:rsidRDefault="003F5F97"/>
        <w:p w14:paraId="663C5123" w14:textId="77777777" w:rsidR="003F5F97" w:rsidRDefault="003F5F97"/>
        <w:p w14:paraId="3301A15A" w14:textId="77777777" w:rsidR="003F5F97" w:rsidRDefault="003F5F97"/>
        <w:p w14:paraId="6097DA47" w14:textId="77777777" w:rsidR="003F5F97" w:rsidRDefault="003F5F97"/>
        <w:p w14:paraId="3C9DB4CD" w14:textId="77777777" w:rsidR="003F5F97" w:rsidRDefault="003F5F97"/>
        <w:p w14:paraId="092E029B" w14:textId="77777777" w:rsidR="003F5F97" w:rsidRDefault="00000000">
          <w:r>
            <w:rPr>
              <w:rFonts w:hint="eastAsia"/>
            </w:rPr>
            <w:t xml:space="preserve"> </w:t>
          </w:r>
        </w:p>
        <w:p w14:paraId="45269786" w14:textId="77777777" w:rsidR="003F5F97" w:rsidRDefault="003F5F97"/>
        <w:p w14:paraId="748FD7C1" w14:textId="77777777" w:rsidR="003F5F97" w:rsidRDefault="003F5F97"/>
        <w:p w14:paraId="4D54EC6A" w14:textId="77777777" w:rsidR="003F5F97" w:rsidRDefault="003F5F97"/>
        <w:p w14:paraId="4DFE8E86" w14:textId="77777777" w:rsidR="003F5F97" w:rsidRDefault="003F5F97"/>
        <w:p w14:paraId="39AE99B9" w14:textId="77777777" w:rsidR="003F5F97" w:rsidRDefault="003F5F97"/>
        <w:p w14:paraId="7A4C2F63" w14:textId="77777777" w:rsidR="003F5F97" w:rsidRDefault="003F5F97"/>
        <w:p w14:paraId="57C2D95B" w14:textId="77777777" w:rsidR="003F5F97" w:rsidRDefault="003F5F97"/>
        <w:p w14:paraId="69196394" w14:textId="77777777" w:rsidR="003F5F97" w:rsidRDefault="003F5F97"/>
        <w:p w14:paraId="0E0E17B6" w14:textId="77777777" w:rsidR="003F5F97" w:rsidRDefault="003F5F97"/>
        <w:p w14:paraId="4DB046A8" w14:textId="77777777" w:rsidR="003F5F97" w:rsidRDefault="003F5F97"/>
        <w:p w14:paraId="7E9374F1" w14:textId="77777777" w:rsidR="003F5F97" w:rsidRDefault="003F5F97"/>
        <w:p w14:paraId="79FA408D" w14:textId="77777777" w:rsidR="003F5F97" w:rsidRDefault="003F5F97"/>
        <w:p w14:paraId="108B5CEF" w14:textId="77777777" w:rsidR="003F5F97" w:rsidRDefault="003F5F97">
          <w:pPr>
            <w:tabs>
              <w:tab w:val="left" w:pos="5245"/>
            </w:tabs>
          </w:pPr>
        </w:p>
        <w:p w14:paraId="4D78EC1A" w14:textId="77777777" w:rsidR="003F5F97" w:rsidRDefault="003F5F97">
          <w:pPr>
            <w:tabs>
              <w:tab w:val="left" w:pos="5245"/>
            </w:tabs>
          </w:pPr>
        </w:p>
        <w:p w14:paraId="330692E3" w14:textId="77777777" w:rsidR="003F5F97" w:rsidRDefault="003F5F97">
          <w:pPr>
            <w:widowControl/>
            <w:tabs>
              <w:tab w:val="left" w:pos="5245"/>
            </w:tabs>
            <w:jc w:val="left"/>
          </w:pPr>
        </w:p>
        <w:p w14:paraId="1E3DE875" w14:textId="77777777" w:rsidR="003F5F97" w:rsidRDefault="003F5F97">
          <w:pPr>
            <w:widowControl/>
            <w:tabs>
              <w:tab w:val="left" w:pos="5245"/>
            </w:tabs>
            <w:jc w:val="left"/>
          </w:pPr>
        </w:p>
        <w:p w14:paraId="480B89C0" w14:textId="77777777" w:rsidR="003F5F97" w:rsidRDefault="00000000">
          <w:pPr>
            <w:widowControl/>
            <w:tabs>
              <w:tab w:val="left" w:pos="5245"/>
            </w:tabs>
            <w:jc w:val="left"/>
          </w:pPr>
        </w:p>
      </w:sdtContent>
    </w:sdt>
    <w:p w14:paraId="7DB05BE5" w14:textId="77777777" w:rsidR="003F5F97" w:rsidRDefault="00000000">
      <w:pPr>
        <w:tabs>
          <w:tab w:val="left" w:pos="5245"/>
        </w:tabs>
      </w:pPr>
      <w:r>
        <w:rPr>
          <w:noProof/>
        </w:rPr>
        <w:lastRenderedPageBreak/>
        <mc:AlternateContent>
          <mc:Choice Requires="wps">
            <w:drawing>
              <wp:anchor distT="0" distB="0" distL="114300" distR="114300" simplePos="0" relativeHeight="251654656" behindDoc="0" locked="0" layoutInCell="1" allowOverlap="1" wp14:anchorId="07944AD6" wp14:editId="5F0795E8">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type w14:anchorId="42C0A0FC" id="_x0000_t32" coordsize="21600,21600" o:spt="32" o:oned="t" path="m,l21600,21600e" filled="f">
                <v:path arrowok="t" fillok="f" o:connecttype="none"/>
                <o:lock v:ext="edit" shapetype="t"/>
              </v:shapetype>
              <v:shape id="Straight Connector 2" o:spid="_x0000_s1026" type="#_x0000_t32" style="position:absolute;left:0;text-align:left;margin-left:-67.5pt;margin-top:.75pt;width:539.25pt;height:.0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" strokecolor="#548dd4" strokeweight="3pt"/>
            </w:pict>
          </mc:Fallback>
        </mc:AlternateContent>
      </w:r>
      <w:r>
        <w:rPr>
          <w:noProof/>
        </w:rPr>
        <mc:AlternateContent>
          <mc:Choice Requires="wps">
            <w:drawing>
              <wp:anchor distT="0" distB="0" distL="114300" distR="114300" simplePos="0" relativeHeight="251655680" behindDoc="0" locked="0" layoutInCell="1" allowOverlap="1" wp14:anchorId="410EDEE4" wp14:editId="7289A319">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w14:anchorId="54F7A38F" id="Straight Connector 3" o:spid="_x0000_s1026" type="#_x0000_t32" style="position:absolute;left:0;text-align:left;margin-left:102pt;margin-top:.8pt;width:.05pt;height:692.9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" strokecolor="#548dd4" strokeweight="2.5pt"/>
            </w:pict>
          </mc:Fallback>
        </mc:AlternateContent>
      </w:r>
      <w:r>
        <w:rPr>
          <w:rFonts w:hint="eastAsia"/>
        </w:rPr>
        <w:t xml:space="preserve"> </w:t>
      </w:r>
    </w:p>
    <w:p w14:paraId="71C25587" w14:textId="77777777" w:rsidR="003F5F97" w:rsidRDefault="00000000">
      <w:pPr>
        <w:tabs>
          <w:tab w:val="center" w:pos="4156"/>
        </w:tabs>
      </w:pPr>
      <w:r>
        <w:rPr>
          <w:noProof/>
        </w:rPr>
        <mc:AlternateContent>
          <mc:Choice Requires="wps">
            <w:drawing>
              <wp:anchor distT="0" distB="0" distL="114300" distR="114300" simplePos="0" relativeHeight="251657728" behindDoc="0" locked="0" layoutInCell="1" allowOverlap="1" wp14:anchorId="2542E0DB" wp14:editId="11B90542">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14:paraId="02CA351E" w14:textId="77777777" w:rsidR="003F5F97" w:rsidRDefault="003F5F97"/>
                          <w:p w14:paraId="22647DB7" w14:textId="77777777" w:rsidR="003F5F97" w:rsidRDefault="003F5F97"/>
                          <w:p w14:paraId="0437A9B5" w14:textId="77777777" w:rsidR="003F5F97" w:rsidRDefault="003F5F97"/>
                          <w:p w14:paraId="66762F29" w14:textId="77777777" w:rsidR="003F5F97" w:rsidRDefault="00000000">
                            <w:pPr>
                              <w:jc w:val="center"/>
                              <w:rPr>
                                <w:b/>
                                <w:sz w:val="44"/>
                                <w:szCs w:val="44"/>
                              </w:rPr>
                            </w:pPr>
                            <w:r>
                              <w:rPr>
                                <w:rFonts w:hint="eastAsia"/>
                                <w:b/>
                                <w:sz w:val="44"/>
                                <w:szCs w:val="44"/>
                              </w:rPr>
                              <w:t>目录</w:t>
                            </w:r>
                          </w:p>
                          <w:p w14:paraId="5EFC30C1" w14:textId="77777777" w:rsidR="003F5F97" w:rsidRDefault="003F5F97">
                            <w:pPr>
                              <w:jc w:val="center"/>
                              <w:rPr>
                                <w:b/>
                                <w:sz w:val="44"/>
                                <w:szCs w:val="44"/>
                              </w:rPr>
                            </w:pPr>
                          </w:p>
                          <w:p w14:paraId="0BE7356E" w14:textId="77777777" w:rsidR="003F5F97" w:rsidRDefault="003F5F97">
                            <w:pPr>
                              <w:jc w:val="center"/>
                              <w:rPr>
                                <w:b/>
                                <w:sz w:val="44"/>
                                <w:szCs w:val="44"/>
                              </w:rPr>
                            </w:pPr>
                          </w:p>
                          <w:p w14:paraId="3FF98438" w14:textId="77777777" w:rsidR="003F5F97" w:rsidRDefault="003F5F97">
                            <w:pPr>
                              <w:jc w:val="center"/>
                              <w:rPr>
                                <w:b/>
                                <w:sz w:val="44"/>
                                <w:szCs w:val="44"/>
                              </w:rPr>
                            </w:pPr>
                          </w:p>
                          <w:p w14:paraId="62522837" w14:textId="77777777" w:rsidR="003F5F97" w:rsidRDefault="00000000">
                            <w:pPr>
                              <w:jc w:val="center"/>
                              <w:rPr>
                                <w:b/>
                                <w:sz w:val="36"/>
                                <w:szCs w:val="36"/>
                              </w:rPr>
                            </w:pPr>
                            <w:r>
                              <w:rPr>
                                <w:rFonts w:hint="eastAsia"/>
                                <w:b/>
                                <w:sz w:val="36"/>
                                <w:szCs w:val="36"/>
                              </w:rPr>
                              <w:t>（</w:t>
                            </w:r>
                            <w:r>
                              <w:rPr>
                                <w:rFonts w:hint="eastAsia"/>
                                <w:b/>
                                <w:sz w:val="36"/>
                                <w:szCs w:val="36"/>
                              </w:rPr>
                              <w:t>12</w:t>
                            </w:r>
                            <w:r>
                              <w:rPr>
                                <w:rFonts w:hint="eastAsia"/>
                                <w:b/>
                                <w:sz w:val="36"/>
                                <w:szCs w:val="36"/>
                              </w:rPr>
                              <w:t>月第</w:t>
                            </w:r>
                            <w:r>
                              <w:rPr>
                                <w:rFonts w:hint="eastAsia"/>
                                <w:b/>
                                <w:sz w:val="36"/>
                                <w:szCs w:val="36"/>
                              </w:rPr>
                              <w:t>12</w:t>
                            </w:r>
                            <w:r>
                              <w:rPr>
                                <w:rFonts w:hint="eastAsia"/>
                                <w:b/>
                                <w:sz w:val="36"/>
                                <w:szCs w:val="36"/>
                              </w:rPr>
                              <w:t>期）</w:t>
                            </w:r>
                          </w:p>
                        </w:txbxContent>
                      </wps:txbx>
                      <wps:bodyPr upright="1"/>
                    </wps:wsp>
                  </a:graphicData>
                </a:graphic>
              </wp:anchor>
            </w:drawing>
          </mc:Choice>
          <mc:Fallback>
            <w:pict>
              <v:shapetype w14:anchorId="2542E0DB" id="_x0000_t202" coordsize="21600,21600" o:spt="202" path="m,l,21600r21600,l21600,xe">
                <v:stroke joinstyle="miter"/>
                <v:path gradientshapeok="t" o:connecttype="rect"/>
              </v:shapetype>
              <v:shape id="文本框 11" o:spid="_x0000_s1026" type="#_x0000_t202" style="position:absolute;left:0;text-align:left;margin-left:-62.1pt;margin-top:3.15pt;width:156.1pt;height:251.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" filled="f" stroked="f" strokeweight="1.25pt">
                <v:textbox>
                  <w:txbxContent>
                    <w:p w14:paraId="02CA351E" w14:textId="77777777" w:rsidR="003F5F97" w:rsidRDefault="003F5F97"/>
                    <w:p w14:paraId="22647DB7" w14:textId="77777777" w:rsidR="003F5F97" w:rsidRDefault="003F5F97"/>
                    <w:p w14:paraId="0437A9B5" w14:textId="77777777" w:rsidR="003F5F97" w:rsidRDefault="003F5F97"/>
                    <w:p w14:paraId="66762F29" w14:textId="77777777" w:rsidR="003F5F97" w:rsidRDefault="00000000">
                      <w:pPr>
                        <w:jc w:val="center"/>
                        <w:rPr>
                          <w:b/>
                          <w:sz w:val="44"/>
                          <w:szCs w:val="44"/>
                        </w:rPr>
                      </w:pPr>
                      <w:r>
                        <w:rPr>
                          <w:rFonts w:hint="eastAsia"/>
                          <w:b/>
                          <w:sz w:val="44"/>
                          <w:szCs w:val="44"/>
                        </w:rPr>
                        <w:t>目录</w:t>
                      </w:r>
                    </w:p>
                    <w:p w14:paraId="5EFC30C1" w14:textId="77777777" w:rsidR="003F5F97" w:rsidRDefault="003F5F97">
                      <w:pPr>
                        <w:jc w:val="center"/>
                        <w:rPr>
                          <w:b/>
                          <w:sz w:val="44"/>
                          <w:szCs w:val="44"/>
                        </w:rPr>
                      </w:pPr>
                    </w:p>
                    <w:p w14:paraId="0BE7356E" w14:textId="77777777" w:rsidR="003F5F97" w:rsidRDefault="003F5F97">
                      <w:pPr>
                        <w:jc w:val="center"/>
                        <w:rPr>
                          <w:b/>
                          <w:sz w:val="44"/>
                          <w:szCs w:val="44"/>
                        </w:rPr>
                      </w:pPr>
                    </w:p>
                    <w:p w14:paraId="3FF98438" w14:textId="77777777" w:rsidR="003F5F97" w:rsidRDefault="003F5F97">
                      <w:pPr>
                        <w:jc w:val="center"/>
                        <w:rPr>
                          <w:b/>
                          <w:sz w:val="44"/>
                          <w:szCs w:val="44"/>
                        </w:rPr>
                      </w:pPr>
                    </w:p>
                    <w:p w14:paraId="62522837" w14:textId="77777777" w:rsidR="003F5F97" w:rsidRDefault="00000000">
                      <w:pPr>
                        <w:jc w:val="center"/>
                        <w:rPr>
                          <w:b/>
                          <w:sz w:val="36"/>
                          <w:szCs w:val="36"/>
                        </w:rPr>
                      </w:pPr>
                      <w:r>
                        <w:rPr>
                          <w:rFonts w:hint="eastAsia"/>
                          <w:b/>
                          <w:sz w:val="36"/>
                          <w:szCs w:val="36"/>
                        </w:rPr>
                        <w:t>（</w:t>
                      </w:r>
                      <w:r>
                        <w:rPr>
                          <w:rFonts w:hint="eastAsia"/>
                          <w:b/>
                          <w:sz w:val="36"/>
                          <w:szCs w:val="36"/>
                        </w:rPr>
                        <w:t>12</w:t>
                      </w:r>
                      <w:r>
                        <w:rPr>
                          <w:rFonts w:hint="eastAsia"/>
                          <w:b/>
                          <w:sz w:val="36"/>
                          <w:szCs w:val="36"/>
                        </w:rPr>
                        <w:t>月第</w:t>
                      </w:r>
                      <w:r>
                        <w:rPr>
                          <w:rFonts w:hint="eastAsia"/>
                          <w:b/>
                          <w:sz w:val="36"/>
                          <w:szCs w:val="36"/>
                        </w:rPr>
                        <w:t>12</w:t>
                      </w:r>
                      <w:r>
                        <w:rPr>
                          <w:rFonts w:hint="eastAsia"/>
                          <w:b/>
                          <w:sz w:val="36"/>
                          <w:szCs w:val="36"/>
                        </w:rPr>
                        <w:t>期）</w:t>
                      </w:r>
                    </w:p>
                  </w:txbxContent>
                </v:textbox>
              </v:shape>
            </w:pict>
          </mc:Fallback>
        </mc:AlternateContent>
      </w:r>
    </w:p>
    <w:p w14:paraId="47580744" w14:textId="77777777" w:rsidR="003F5F97" w:rsidRDefault="00000000">
      <w:pPr>
        <w:tabs>
          <w:tab w:val="left" w:pos="5245"/>
        </w:tabs>
      </w:pPr>
      <w:r>
        <w:rPr>
          <w:noProof/>
        </w:rPr>
        <mc:AlternateContent>
          <mc:Choice Requires="wps">
            <w:drawing>
              <wp:anchor distT="0" distB="0" distL="114300" distR="114300" simplePos="0" relativeHeight="251661824" behindDoc="0" locked="0" layoutInCell="1" allowOverlap="1" wp14:anchorId="020B6456" wp14:editId="0A14E2EE">
                <wp:simplePos x="0" y="0"/>
                <wp:positionH relativeFrom="column">
                  <wp:posOffset>1554480</wp:posOffset>
                </wp:positionH>
                <wp:positionV relativeFrom="paragraph">
                  <wp:posOffset>53340</wp:posOffset>
                </wp:positionV>
                <wp:extent cx="4210050" cy="8143875"/>
                <wp:effectExtent l="0" t="0" r="0" b="0"/>
                <wp:wrapNone/>
                <wp:docPr id="3"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14:paraId="48E6A351"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1.中共中央 国务院印发《扩大内需战略规划纲要（2022－2035年）》</w:t>
                            </w:r>
                          </w:p>
                          <w:p w14:paraId="5314438D" w14:textId="77777777" w:rsidR="003F5F97" w:rsidRDefault="003F5F97">
                            <w:pPr>
                              <w:widowControl/>
                              <w:shd w:val="clear" w:color="auto" w:fill="FFFFFF"/>
                              <w:spacing w:after="210" w:line="360" w:lineRule="auto"/>
                              <w:jc w:val="left"/>
                              <w:outlineLvl w:val="1"/>
                              <w:rPr>
                                <w:rFonts w:asciiTheme="minorEastAsia" w:eastAsiaTheme="minorEastAsia" w:hAnsiTheme="minorEastAsia"/>
                                <w:b/>
                                <w:sz w:val="84"/>
                                <w:szCs w:val="84"/>
                              </w:rPr>
                            </w:pPr>
                          </w:p>
                          <w:p w14:paraId="4B704BFE"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2.中康CMH《2022中国药品市场全域零售报告》发布</w:t>
                            </w:r>
                          </w:p>
                          <w:p w14:paraId="2E202BF6" w14:textId="77777777" w:rsidR="003F5F97" w:rsidRDefault="003F5F97">
                            <w:pPr>
                              <w:widowControl/>
                              <w:shd w:val="clear" w:color="auto" w:fill="FFFFFF"/>
                              <w:spacing w:after="210"/>
                              <w:jc w:val="left"/>
                              <w:outlineLvl w:val="1"/>
                              <w:rPr>
                                <w:rFonts w:asciiTheme="minorEastAsia" w:eastAsiaTheme="minorEastAsia" w:hAnsiTheme="minorEastAsia"/>
                                <w:b/>
                                <w:sz w:val="84"/>
                                <w:szCs w:val="84"/>
                              </w:rPr>
                            </w:pPr>
                          </w:p>
                          <w:p w14:paraId="23434A4B"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3.工信部中国医药工业百强榜发布</w:t>
                            </w:r>
                          </w:p>
                          <w:p w14:paraId="6785F57D" w14:textId="77777777" w:rsidR="003F5F97" w:rsidRDefault="003F5F97">
                            <w:pPr>
                              <w:widowControl/>
                              <w:shd w:val="clear" w:color="auto" w:fill="FFFFFF"/>
                              <w:spacing w:after="210"/>
                              <w:jc w:val="left"/>
                              <w:outlineLvl w:val="1"/>
                              <w:rPr>
                                <w:rFonts w:asciiTheme="minorEastAsia" w:eastAsiaTheme="minorEastAsia" w:hAnsiTheme="minorEastAsia"/>
                                <w:b/>
                                <w:sz w:val="84"/>
                                <w:szCs w:val="84"/>
                              </w:rPr>
                            </w:pPr>
                          </w:p>
                          <w:p w14:paraId="192798E0" w14:textId="77777777" w:rsidR="003F5F97" w:rsidRDefault="00000000">
                            <w:pPr>
                              <w:widowControl/>
                              <w:numPr>
                                <w:ilvl w:val="0"/>
                                <w:numId w:val="1"/>
                              </w:numPr>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益丰公布详细开店计划</w:t>
                            </w:r>
                          </w:p>
                          <w:p w14:paraId="1F208266" w14:textId="77777777" w:rsidR="003F5F97" w:rsidRDefault="003F5F97">
                            <w:pPr>
                              <w:widowControl/>
                              <w:shd w:val="clear" w:color="auto" w:fill="FFFFFF"/>
                              <w:spacing w:after="210"/>
                              <w:jc w:val="left"/>
                              <w:outlineLvl w:val="1"/>
                              <w:rPr>
                                <w:rFonts w:asciiTheme="minorEastAsia" w:eastAsiaTheme="minorEastAsia" w:hAnsiTheme="minorEastAsia"/>
                                <w:b/>
                                <w:sz w:val="84"/>
                                <w:szCs w:val="84"/>
                              </w:rPr>
                            </w:pPr>
                          </w:p>
                          <w:p w14:paraId="3D373F4C"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5.思派健康上市，首日大涨超30%</w:t>
                            </w:r>
                          </w:p>
                          <w:p w14:paraId="0B8421F3" w14:textId="77777777" w:rsidR="003F5F97" w:rsidRDefault="003F5F97">
                            <w:pPr>
                              <w:widowControl/>
                              <w:shd w:val="clear" w:color="auto" w:fill="FFFFFF"/>
                              <w:spacing w:after="210"/>
                              <w:jc w:val="left"/>
                              <w:outlineLvl w:val="1"/>
                              <w:rPr>
                                <w:rFonts w:asciiTheme="minorEastAsia" w:eastAsiaTheme="minorEastAsia" w:hAnsiTheme="minorEastAsia"/>
                                <w:b/>
                                <w:sz w:val="36"/>
                                <w:szCs w:val="36"/>
                              </w:rPr>
                            </w:pPr>
                          </w:p>
                        </w:txbxContent>
                      </wps:txbx>
                      <wps:bodyPr upright="1"/>
                    </wps:wsp>
                  </a:graphicData>
                </a:graphic>
              </wp:anchor>
            </w:drawing>
          </mc:Choice>
          <mc:Fallback>
            <w:pict>
              <v:shape w14:anchorId="020B6456" id="文本框 14" o:spid="_x0000_s1027" type="#_x0000_t202" style="position:absolute;left:0;text-align:left;margin-left:122.4pt;margin-top:4.2pt;width:331.5pt;height:641.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" filled="f" stroked="f" strokeweight="1.25pt">
                <v:textbox>
                  <w:txbxContent>
                    <w:p w14:paraId="48E6A351"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1.中共中央 国务院印发《扩大内需战略规划纲要（2022－2035年）》</w:t>
                      </w:r>
                    </w:p>
                    <w:p w14:paraId="5314438D" w14:textId="77777777" w:rsidR="003F5F97" w:rsidRDefault="003F5F97">
                      <w:pPr>
                        <w:widowControl/>
                        <w:shd w:val="clear" w:color="auto" w:fill="FFFFFF"/>
                        <w:spacing w:after="210" w:line="360" w:lineRule="auto"/>
                        <w:jc w:val="left"/>
                        <w:outlineLvl w:val="1"/>
                        <w:rPr>
                          <w:rFonts w:asciiTheme="minorEastAsia" w:eastAsiaTheme="minorEastAsia" w:hAnsiTheme="minorEastAsia"/>
                          <w:b/>
                          <w:sz w:val="84"/>
                          <w:szCs w:val="84"/>
                        </w:rPr>
                      </w:pPr>
                    </w:p>
                    <w:p w14:paraId="4B704BFE"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2.中康CMH《2022中国药品市场全域零售报告》发布</w:t>
                      </w:r>
                    </w:p>
                    <w:p w14:paraId="2E202BF6" w14:textId="77777777" w:rsidR="003F5F97" w:rsidRDefault="003F5F97">
                      <w:pPr>
                        <w:widowControl/>
                        <w:shd w:val="clear" w:color="auto" w:fill="FFFFFF"/>
                        <w:spacing w:after="210"/>
                        <w:jc w:val="left"/>
                        <w:outlineLvl w:val="1"/>
                        <w:rPr>
                          <w:rFonts w:asciiTheme="minorEastAsia" w:eastAsiaTheme="minorEastAsia" w:hAnsiTheme="minorEastAsia"/>
                          <w:b/>
                          <w:sz w:val="84"/>
                          <w:szCs w:val="84"/>
                        </w:rPr>
                      </w:pPr>
                    </w:p>
                    <w:p w14:paraId="23434A4B"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3.工信部中国医药工业百强榜发布</w:t>
                      </w:r>
                    </w:p>
                    <w:p w14:paraId="6785F57D" w14:textId="77777777" w:rsidR="003F5F97" w:rsidRDefault="003F5F97">
                      <w:pPr>
                        <w:widowControl/>
                        <w:shd w:val="clear" w:color="auto" w:fill="FFFFFF"/>
                        <w:spacing w:after="210"/>
                        <w:jc w:val="left"/>
                        <w:outlineLvl w:val="1"/>
                        <w:rPr>
                          <w:rFonts w:asciiTheme="minorEastAsia" w:eastAsiaTheme="minorEastAsia" w:hAnsiTheme="minorEastAsia"/>
                          <w:b/>
                          <w:sz w:val="84"/>
                          <w:szCs w:val="84"/>
                        </w:rPr>
                      </w:pPr>
                    </w:p>
                    <w:p w14:paraId="192798E0" w14:textId="77777777" w:rsidR="003F5F97" w:rsidRDefault="00000000">
                      <w:pPr>
                        <w:widowControl/>
                        <w:numPr>
                          <w:ilvl w:val="0"/>
                          <w:numId w:val="1"/>
                        </w:numPr>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益丰公布详细开店计划</w:t>
                      </w:r>
                    </w:p>
                    <w:p w14:paraId="1F208266" w14:textId="77777777" w:rsidR="003F5F97" w:rsidRDefault="003F5F97">
                      <w:pPr>
                        <w:widowControl/>
                        <w:shd w:val="clear" w:color="auto" w:fill="FFFFFF"/>
                        <w:spacing w:after="210"/>
                        <w:jc w:val="left"/>
                        <w:outlineLvl w:val="1"/>
                        <w:rPr>
                          <w:rFonts w:asciiTheme="minorEastAsia" w:eastAsiaTheme="minorEastAsia" w:hAnsiTheme="minorEastAsia"/>
                          <w:b/>
                          <w:sz w:val="84"/>
                          <w:szCs w:val="84"/>
                        </w:rPr>
                      </w:pPr>
                    </w:p>
                    <w:p w14:paraId="3D373F4C" w14:textId="77777777" w:rsidR="003F5F97" w:rsidRDefault="00000000">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5.思派健康上市，首日大涨超30%</w:t>
                      </w:r>
                    </w:p>
                    <w:p w14:paraId="0B8421F3" w14:textId="77777777" w:rsidR="003F5F97" w:rsidRDefault="003F5F97">
                      <w:pPr>
                        <w:widowControl/>
                        <w:shd w:val="clear" w:color="auto" w:fill="FFFFFF"/>
                        <w:spacing w:after="210"/>
                        <w:jc w:val="left"/>
                        <w:outlineLvl w:val="1"/>
                        <w:rPr>
                          <w:rFonts w:asciiTheme="minorEastAsia" w:eastAsiaTheme="minorEastAsia" w:hAnsiTheme="minorEastAsia"/>
                          <w:b/>
                          <w:sz w:val="36"/>
                          <w:szCs w:val="36"/>
                        </w:rPr>
                      </w:pPr>
                    </w:p>
                  </w:txbxContent>
                </v:textbox>
              </v:shape>
            </w:pict>
          </mc:Fallback>
        </mc:AlternateContent>
      </w:r>
      <w:r>
        <w:rPr>
          <w:rFonts w:hint="eastAsia"/>
        </w:rPr>
        <w:t xml:space="preserve">    </w:t>
      </w:r>
    </w:p>
    <w:p w14:paraId="171B92D9" w14:textId="77777777" w:rsidR="003F5F97" w:rsidRDefault="00000000">
      <w:pPr>
        <w:tabs>
          <w:tab w:val="left" w:pos="5245"/>
        </w:tabs>
      </w:pPr>
      <w:r>
        <w:rPr>
          <w:rFonts w:hint="eastAsia"/>
        </w:rPr>
        <w:t xml:space="preserve"> </w:t>
      </w:r>
    </w:p>
    <w:p w14:paraId="17DD4BD4" w14:textId="77777777" w:rsidR="003F5F97" w:rsidRDefault="003F5F97">
      <w:pPr>
        <w:tabs>
          <w:tab w:val="left" w:pos="5245"/>
        </w:tabs>
      </w:pPr>
    </w:p>
    <w:p w14:paraId="1FB2B1F3" w14:textId="77777777" w:rsidR="003F5F97" w:rsidRDefault="003F5F97">
      <w:pPr>
        <w:tabs>
          <w:tab w:val="left" w:pos="5245"/>
        </w:tabs>
      </w:pPr>
    </w:p>
    <w:p w14:paraId="25617804" w14:textId="77777777" w:rsidR="003F5F97" w:rsidRDefault="003F5F97">
      <w:pPr>
        <w:tabs>
          <w:tab w:val="left" w:pos="5245"/>
        </w:tabs>
      </w:pPr>
    </w:p>
    <w:p w14:paraId="274608E5" w14:textId="77777777" w:rsidR="003F5F97" w:rsidRDefault="003F5F97">
      <w:pPr>
        <w:tabs>
          <w:tab w:val="left" w:pos="5245"/>
        </w:tabs>
      </w:pPr>
    </w:p>
    <w:p w14:paraId="44D0120E" w14:textId="77777777" w:rsidR="003F5F97" w:rsidRDefault="003F5F97">
      <w:pPr>
        <w:tabs>
          <w:tab w:val="left" w:pos="5245"/>
        </w:tabs>
      </w:pPr>
    </w:p>
    <w:p w14:paraId="7D518D42" w14:textId="77777777" w:rsidR="003F5F97" w:rsidRDefault="003F5F97">
      <w:pPr>
        <w:tabs>
          <w:tab w:val="left" w:pos="5245"/>
        </w:tabs>
      </w:pPr>
    </w:p>
    <w:p w14:paraId="3CA50594" w14:textId="77777777" w:rsidR="003F5F97" w:rsidRDefault="003F5F97">
      <w:pPr>
        <w:tabs>
          <w:tab w:val="left" w:pos="5245"/>
        </w:tabs>
      </w:pPr>
    </w:p>
    <w:p w14:paraId="21D3C81F" w14:textId="77777777" w:rsidR="003F5F97" w:rsidRDefault="003F5F97">
      <w:pPr>
        <w:tabs>
          <w:tab w:val="left" w:pos="5245"/>
        </w:tabs>
      </w:pPr>
    </w:p>
    <w:p w14:paraId="54B1206E" w14:textId="77777777" w:rsidR="003F5F97" w:rsidRDefault="003F5F97">
      <w:pPr>
        <w:tabs>
          <w:tab w:val="left" w:pos="5245"/>
        </w:tabs>
      </w:pPr>
    </w:p>
    <w:p w14:paraId="2A360DA1" w14:textId="77777777" w:rsidR="003F5F97" w:rsidRDefault="003F5F97">
      <w:pPr>
        <w:tabs>
          <w:tab w:val="left" w:pos="5245"/>
        </w:tabs>
      </w:pPr>
    </w:p>
    <w:p w14:paraId="76B5A204" w14:textId="77777777" w:rsidR="003F5F97" w:rsidRDefault="003F5F97">
      <w:pPr>
        <w:tabs>
          <w:tab w:val="left" w:pos="5245"/>
        </w:tabs>
      </w:pPr>
    </w:p>
    <w:p w14:paraId="31156D10" w14:textId="77777777" w:rsidR="003F5F97" w:rsidRDefault="003F5F97">
      <w:pPr>
        <w:tabs>
          <w:tab w:val="left" w:pos="5245"/>
        </w:tabs>
      </w:pPr>
    </w:p>
    <w:p w14:paraId="1E05D129" w14:textId="77777777" w:rsidR="003F5F97" w:rsidRDefault="003F5F97">
      <w:pPr>
        <w:tabs>
          <w:tab w:val="left" w:pos="5245"/>
        </w:tabs>
      </w:pPr>
    </w:p>
    <w:p w14:paraId="6035DD45" w14:textId="77777777" w:rsidR="003F5F97" w:rsidRDefault="003F5F97">
      <w:pPr>
        <w:tabs>
          <w:tab w:val="left" w:pos="5245"/>
        </w:tabs>
      </w:pPr>
    </w:p>
    <w:p w14:paraId="0D7695EF" w14:textId="77777777" w:rsidR="003F5F97" w:rsidRDefault="00000000">
      <w:pPr>
        <w:tabs>
          <w:tab w:val="left" w:pos="5245"/>
        </w:tabs>
      </w:pPr>
      <w:r>
        <w:rPr>
          <w:noProof/>
        </w:rPr>
        <mc:AlternateContent>
          <mc:Choice Requires="wps">
            <w:drawing>
              <wp:anchor distT="0" distB="0" distL="114300" distR="114300" simplePos="0" relativeHeight="251658752" behindDoc="0" locked="0" layoutInCell="1" allowOverlap="1" wp14:anchorId="5E5273F7" wp14:editId="1C37C1B6">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w14:anchorId="0A25D41C" id="Straight Connector 5" o:spid="_x0000_s1026" type="#_x0000_t32" style="position:absolute;left:0;text-align:left;margin-left:-67.5pt;margin-top:9.45pt;width:168.75pt;height:.0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" strokecolor="#548dd4" strokeweight="2.75pt"/>
            </w:pict>
          </mc:Fallback>
        </mc:AlternateContent>
      </w:r>
    </w:p>
    <w:p w14:paraId="19629A97" w14:textId="77777777" w:rsidR="003F5F97" w:rsidRDefault="003F5F97">
      <w:pPr>
        <w:tabs>
          <w:tab w:val="left" w:pos="5245"/>
        </w:tabs>
      </w:pPr>
    </w:p>
    <w:p w14:paraId="76D13F23" w14:textId="77777777" w:rsidR="003F5F97" w:rsidRDefault="003F5F97">
      <w:pPr>
        <w:tabs>
          <w:tab w:val="left" w:pos="5245"/>
        </w:tabs>
      </w:pPr>
    </w:p>
    <w:p w14:paraId="547008F7" w14:textId="77777777" w:rsidR="003F5F97" w:rsidRDefault="003F5F97">
      <w:pPr>
        <w:tabs>
          <w:tab w:val="left" w:pos="5245"/>
        </w:tabs>
      </w:pPr>
    </w:p>
    <w:p w14:paraId="6914D142" w14:textId="77777777" w:rsidR="003F5F97" w:rsidRDefault="00000000">
      <w:pPr>
        <w:tabs>
          <w:tab w:val="left" w:pos="5245"/>
        </w:tabs>
      </w:pPr>
      <w:r>
        <w:rPr>
          <w:noProof/>
        </w:rPr>
        <mc:AlternateContent>
          <mc:Choice Requires="wps">
            <w:drawing>
              <wp:anchor distT="0" distB="0" distL="114300" distR="114300" simplePos="0" relativeHeight="251659776" behindDoc="0" locked="0" layoutInCell="1" allowOverlap="1" wp14:anchorId="220F1865" wp14:editId="382793CA">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14:paraId="7ED433FA" w14:textId="77777777" w:rsidR="003F5F97" w:rsidRDefault="00000000">
                            <w:pPr>
                              <w:jc w:val="center"/>
                              <w:rPr>
                                <w:sz w:val="44"/>
                                <w:szCs w:val="44"/>
                              </w:rPr>
                            </w:pPr>
                            <w:r>
                              <w:rPr>
                                <w:rFonts w:hint="eastAsia"/>
                                <w:sz w:val="44"/>
                                <w:szCs w:val="44"/>
                              </w:rPr>
                              <w:t>2022.12.26</w:t>
                            </w:r>
                          </w:p>
                        </w:txbxContent>
                      </wps:txbx>
                      <wps:bodyPr upright="1"/>
                    </wps:wsp>
                  </a:graphicData>
                </a:graphic>
              </wp:anchor>
            </w:drawing>
          </mc:Choice>
          <mc:Fallback>
            <w:pict>
              <v:shape w14:anchorId="220F1865" id="文本框 12" o:spid="_x0000_s1028" type="#_x0000_t202" style="position:absolute;left:0;text-align:left;margin-left:-53.1pt;margin-top:10.65pt;width:140.25pt;height:60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" filled="f" stroked="f" strokeweight="1.25pt">
                <v:textbox>
                  <w:txbxContent>
                    <w:p w14:paraId="7ED433FA" w14:textId="77777777" w:rsidR="003F5F97" w:rsidRDefault="00000000">
                      <w:pPr>
                        <w:jc w:val="center"/>
                        <w:rPr>
                          <w:sz w:val="44"/>
                          <w:szCs w:val="44"/>
                        </w:rPr>
                      </w:pPr>
                      <w:r>
                        <w:rPr>
                          <w:rFonts w:hint="eastAsia"/>
                          <w:sz w:val="44"/>
                          <w:szCs w:val="44"/>
                        </w:rPr>
                        <w:t>2022.12.26</w:t>
                      </w:r>
                    </w:p>
                  </w:txbxContent>
                </v:textbox>
              </v:shape>
            </w:pict>
          </mc:Fallback>
        </mc:AlternateContent>
      </w:r>
    </w:p>
    <w:p w14:paraId="5EACAF89" w14:textId="77777777" w:rsidR="003F5F97" w:rsidRDefault="003F5F97">
      <w:pPr>
        <w:tabs>
          <w:tab w:val="left" w:pos="5245"/>
        </w:tabs>
      </w:pPr>
    </w:p>
    <w:p w14:paraId="21D6FD74" w14:textId="77777777" w:rsidR="003F5F97" w:rsidRDefault="003F5F97">
      <w:pPr>
        <w:tabs>
          <w:tab w:val="left" w:pos="5245"/>
        </w:tabs>
      </w:pPr>
    </w:p>
    <w:p w14:paraId="4FC60715" w14:textId="77777777" w:rsidR="003F5F97" w:rsidRDefault="003F5F97">
      <w:pPr>
        <w:tabs>
          <w:tab w:val="left" w:pos="5245"/>
        </w:tabs>
      </w:pPr>
    </w:p>
    <w:p w14:paraId="7B0A9674" w14:textId="77777777" w:rsidR="003F5F97" w:rsidRDefault="003F5F97">
      <w:pPr>
        <w:tabs>
          <w:tab w:val="left" w:pos="5245"/>
        </w:tabs>
      </w:pPr>
    </w:p>
    <w:p w14:paraId="603ADA92" w14:textId="77777777" w:rsidR="003F5F97" w:rsidRDefault="003F5F97">
      <w:pPr>
        <w:tabs>
          <w:tab w:val="left" w:pos="5245"/>
        </w:tabs>
      </w:pPr>
    </w:p>
    <w:p w14:paraId="4CE00BC0" w14:textId="77777777" w:rsidR="003F5F97" w:rsidRDefault="003F5F97">
      <w:pPr>
        <w:tabs>
          <w:tab w:val="left" w:pos="5245"/>
        </w:tabs>
      </w:pPr>
    </w:p>
    <w:p w14:paraId="4A2F9021" w14:textId="77777777" w:rsidR="003F5F97" w:rsidRDefault="003F5F97">
      <w:pPr>
        <w:tabs>
          <w:tab w:val="left" w:pos="5245"/>
        </w:tabs>
      </w:pPr>
    </w:p>
    <w:p w14:paraId="1DB9117D" w14:textId="77777777" w:rsidR="003F5F97" w:rsidRDefault="00000000">
      <w:pPr>
        <w:tabs>
          <w:tab w:val="left" w:pos="5245"/>
        </w:tabs>
      </w:pPr>
      <w:r>
        <w:rPr>
          <w:noProof/>
        </w:rPr>
        <mc:AlternateContent>
          <mc:Choice Requires="wps">
            <w:drawing>
              <wp:anchor distT="0" distB="0" distL="114300" distR="114300" simplePos="0" relativeHeight="251660800" behindDoc="0" locked="0" layoutInCell="1" allowOverlap="1" wp14:anchorId="615D6F97" wp14:editId="588EF16F">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14:paraId="44B1E4F7" w14:textId="77777777" w:rsidR="003F5F97" w:rsidRDefault="003F5F97"/>
                          <w:p w14:paraId="77A9AD98" w14:textId="77777777" w:rsidR="003F5F97" w:rsidRDefault="003F5F97"/>
                          <w:p w14:paraId="4375A691" w14:textId="77777777" w:rsidR="003F5F97" w:rsidRDefault="003F5F97"/>
                          <w:p w14:paraId="1383D661" w14:textId="77777777" w:rsidR="003F5F97" w:rsidRDefault="00000000">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r>
                              <w:rPr>
                                <w:rFonts w:hint="eastAsia"/>
                                <w:b/>
                                <w:sz w:val="32"/>
                                <w:szCs w:val="32"/>
                              </w:rPr>
                              <w:t>杨亚南</w:t>
                            </w:r>
                            <w:r>
                              <w:rPr>
                                <w:rFonts w:hint="eastAsia"/>
                                <w:b/>
                                <w:sz w:val="32"/>
                                <w:szCs w:val="32"/>
                              </w:rPr>
                              <w:t xml:space="preserve">  </w:t>
                            </w:r>
                            <w:r>
                              <w:rPr>
                                <w:rFonts w:hint="eastAsia"/>
                                <w:b/>
                                <w:sz w:val="32"/>
                                <w:szCs w:val="32"/>
                              </w:rPr>
                              <w:t>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w14:anchorId="615D6F97" id="文本框 13" o:spid="_x0000_s1029" type="#_x0000_t202" style="position:absolute;left:0;text-align:left;margin-left:-46.2pt;margin-top:12pt;width:133.5pt;height:201.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" filled="f" stroked="f" strokeweight="1.25pt">
                <v:textbox>
                  <w:txbxContent>
                    <w:p w14:paraId="44B1E4F7" w14:textId="77777777" w:rsidR="003F5F97" w:rsidRDefault="003F5F97"/>
                    <w:p w14:paraId="77A9AD98" w14:textId="77777777" w:rsidR="003F5F97" w:rsidRDefault="003F5F97"/>
                    <w:p w14:paraId="4375A691" w14:textId="77777777" w:rsidR="003F5F97" w:rsidRDefault="003F5F97"/>
                    <w:p w14:paraId="1383D661" w14:textId="77777777" w:rsidR="003F5F97" w:rsidRDefault="00000000">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r>
                        <w:rPr>
                          <w:rFonts w:hint="eastAsia"/>
                          <w:b/>
                          <w:sz w:val="32"/>
                          <w:szCs w:val="32"/>
                        </w:rPr>
                        <w:t>杨亚南</w:t>
                      </w:r>
                      <w:r>
                        <w:rPr>
                          <w:rFonts w:hint="eastAsia"/>
                          <w:b/>
                          <w:sz w:val="32"/>
                          <w:szCs w:val="32"/>
                        </w:rPr>
                        <w:t xml:space="preserve">  </w:t>
                      </w:r>
                      <w:r>
                        <w:rPr>
                          <w:rFonts w:hint="eastAsia"/>
                          <w:b/>
                          <w:sz w:val="32"/>
                          <w:szCs w:val="32"/>
                        </w:rPr>
                        <w:t>责任编</w:t>
                      </w:r>
                      <w:r>
                        <w:rPr>
                          <w:rFonts w:hint="eastAsia"/>
                          <w:b/>
                          <w:spacing w:val="22"/>
                          <w:sz w:val="32"/>
                          <w:szCs w:val="32"/>
                        </w:rPr>
                        <w:t>辑彭</w:t>
                      </w:r>
                      <w:r>
                        <w:rPr>
                          <w:rFonts w:hint="eastAsia"/>
                          <w:b/>
                          <w:sz w:val="32"/>
                          <w:szCs w:val="32"/>
                        </w:rPr>
                        <w:t>宇飞</w:t>
                      </w:r>
                    </w:p>
                  </w:txbxContent>
                </v:textbox>
              </v:shape>
            </w:pict>
          </mc:Fallback>
        </mc:AlternateContent>
      </w:r>
    </w:p>
    <w:p w14:paraId="5FE0B788" w14:textId="77777777" w:rsidR="003F5F97" w:rsidRDefault="003F5F97">
      <w:pPr>
        <w:tabs>
          <w:tab w:val="left" w:pos="5245"/>
        </w:tabs>
      </w:pPr>
    </w:p>
    <w:p w14:paraId="4AEDD56A" w14:textId="77777777" w:rsidR="003F5F97" w:rsidRDefault="003F5F97">
      <w:pPr>
        <w:tabs>
          <w:tab w:val="left" w:pos="5245"/>
        </w:tabs>
      </w:pPr>
    </w:p>
    <w:p w14:paraId="21212AC3" w14:textId="77777777" w:rsidR="003F5F97" w:rsidRDefault="003F5F97">
      <w:pPr>
        <w:tabs>
          <w:tab w:val="left" w:pos="5245"/>
        </w:tabs>
      </w:pPr>
    </w:p>
    <w:p w14:paraId="107239DC" w14:textId="77777777" w:rsidR="003F5F97" w:rsidRDefault="003F5F97">
      <w:pPr>
        <w:tabs>
          <w:tab w:val="left" w:pos="5245"/>
        </w:tabs>
      </w:pPr>
    </w:p>
    <w:p w14:paraId="0922572F" w14:textId="77777777" w:rsidR="003F5F97" w:rsidRDefault="003F5F97">
      <w:pPr>
        <w:tabs>
          <w:tab w:val="left" w:pos="5245"/>
        </w:tabs>
      </w:pPr>
    </w:p>
    <w:p w14:paraId="05776AA3" w14:textId="77777777" w:rsidR="003F5F97" w:rsidRDefault="003F5F97">
      <w:pPr>
        <w:tabs>
          <w:tab w:val="left" w:pos="5245"/>
        </w:tabs>
      </w:pPr>
    </w:p>
    <w:p w14:paraId="5142AA68" w14:textId="77777777" w:rsidR="003F5F97" w:rsidRDefault="003F5F97">
      <w:pPr>
        <w:tabs>
          <w:tab w:val="left" w:pos="5245"/>
        </w:tabs>
      </w:pPr>
    </w:p>
    <w:p w14:paraId="059044A8" w14:textId="77777777" w:rsidR="003F5F97" w:rsidRDefault="003F5F97">
      <w:pPr>
        <w:tabs>
          <w:tab w:val="left" w:pos="5245"/>
        </w:tabs>
      </w:pPr>
    </w:p>
    <w:p w14:paraId="0AA69197" w14:textId="77777777" w:rsidR="003F5F97" w:rsidRDefault="003F5F97">
      <w:pPr>
        <w:tabs>
          <w:tab w:val="left" w:pos="5245"/>
        </w:tabs>
      </w:pPr>
    </w:p>
    <w:p w14:paraId="332BF5F1" w14:textId="77777777" w:rsidR="003F5F97" w:rsidRDefault="003F5F97">
      <w:pPr>
        <w:tabs>
          <w:tab w:val="left" w:pos="5245"/>
        </w:tabs>
      </w:pPr>
    </w:p>
    <w:p w14:paraId="3886FF36" w14:textId="77777777" w:rsidR="003F5F97" w:rsidRDefault="003F5F97">
      <w:pPr>
        <w:tabs>
          <w:tab w:val="left" w:pos="5245"/>
        </w:tabs>
      </w:pPr>
    </w:p>
    <w:p w14:paraId="2DF97A3C" w14:textId="77777777" w:rsidR="003F5F97" w:rsidRDefault="00000000">
      <w:pPr>
        <w:tabs>
          <w:tab w:val="left" w:pos="5245"/>
        </w:tabs>
      </w:pPr>
      <w:r>
        <w:rPr>
          <w:noProof/>
        </w:rPr>
        <mc:AlternateContent>
          <mc:Choice Requires="wps">
            <w:drawing>
              <wp:anchor distT="0" distB="0" distL="114300" distR="114300" simplePos="0" relativeHeight="251656704" behindDoc="0" locked="0" layoutInCell="1" allowOverlap="1" wp14:anchorId="7ED119A5" wp14:editId="36D1C57B">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w14:anchorId="3810E377" id="Straight Connector 4" o:spid="_x0000_s1026" type="#_x0000_t32" style="position:absolute;left:0;text-align:left;margin-left:-67.5pt;margin-top:38.5pt;width:534pt;height:.0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" strokecolor="#548dd4" strokeweight="3pt"/>
            </w:pict>
          </mc:Fallback>
        </mc:AlternateContent>
      </w:r>
      <w:r>
        <w:rPr>
          <w:rFonts w:hint="eastAsia"/>
        </w:rPr>
        <w:t xml:space="preserve">                               </w:t>
      </w:r>
    </w:p>
    <w:tbl>
      <w:tblPr>
        <w:tblStyle w:val="ac"/>
        <w:tblW w:w="9073" w:type="dxa"/>
        <w:tblInd w:w="-176" w:type="dxa"/>
        <w:tblLayout w:type="fixed"/>
        <w:tblLook w:val="04A0" w:firstRow="1" w:lastRow="0" w:firstColumn="1" w:lastColumn="0" w:noHBand="0" w:noVBand="1"/>
      </w:tblPr>
      <w:tblGrid>
        <w:gridCol w:w="2127"/>
        <w:gridCol w:w="69"/>
        <w:gridCol w:w="2199"/>
        <w:gridCol w:w="142"/>
        <w:gridCol w:w="1417"/>
        <w:gridCol w:w="632"/>
        <w:gridCol w:w="2487"/>
      </w:tblGrid>
      <w:tr w:rsidR="003F5F97" w14:paraId="0E21E2EC" w14:textId="77777777">
        <w:trPr>
          <w:trHeight w:val="1124"/>
        </w:trPr>
        <w:tc>
          <w:tcPr>
            <w:tcW w:w="2196" w:type="dxa"/>
            <w:gridSpan w:val="2"/>
            <w:vAlign w:val="center"/>
          </w:tcPr>
          <w:p w14:paraId="56D30B70" w14:textId="77777777" w:rsidR="003F5F97"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01</w:t>
            </w:r>
          </w:p>
        </w:tc>
        <w:tc>
          <w:tcPr>
            <w:tcW w:w="6877" w:type="dxa"/>
            <w:gridSpan w:val="5"/>
            <w:vAlign w:val="center"/>
          </w:tcPr>
          <w:p w14:paraId="796AB800" w14:textId="77777777" w:rsidR="003F5F97" w:rsidRDefault="00000000">
            <w:pPr>
              <w:widowControl/>
              <w:shd w:val="clear" w:color="auto" w:fill="FFFFFF"/>
              <w:spacing w:after="210"/>
              <w:jc w:val="left"/>
              <w:outlineLvl w:val="1"/>
              <w:rPr>
                <w:b/>
                <w:sz w:val="32"/>
                <w:szCs w:val="32"/>
              </w:rPr>
            </w:pPr>
            <w:r>
              <w:rPr>
                <w:rFonts w:asciiTheme="minorEastAsia" w:eastAsiaTheme="minorEastAsia" w:hAnsiTheme="minorEastAsia" w:hint="eastAsia"/>
                <w:b/>
                <w:sz w:val="36"/>
                <w:szCs w:val="36"/>
              </w:rPr>
              <w:t>中共中央 国务院印发《扩大内需战略规划纲要（2022－2035年）》</w:t>
            </w:r>
          </w:p>
        </w:tc>
      </w:tr>
      <w:tr w:rsidR="003F5F97" w14:paraId="73305B80" w14:textId="77777777">
        <w:trPr>
          <w:trHeight w:val="717"/>
        </w:trPr>
        <w:tc>
          <w:tcPr>
            <w:tcW w:w="2196" w:type="dxa"/>
            <w:gridSpan w:val="2"/>
            <w:vAlign w:val="center"/>
          </w:tcPr>
          <w:p w14:paraId="450B2238" w14:textId="77777777" w:rsidR="003F5F97" w:rsidRDefault="00000000">
            <w:pPr>
              <w:tabs>
                <w:tab w:val="left" w:pos="7088"/>
              </w:tabs>
              <w:jc w:val="center"/>
            </w:pPr>
            <w:r>
              <w:rPr>
                <w:rFonts w:hint="eastAsia"/>
                <w:b/>
                <w:sz w:val="30"/>
                <w:szCs w:val="30"/>
              </w:rPr>
              <w:t>发布</w:t>
            </w:r>
            <w:r>
              <w:rPr>
                <w:b/>
                <w:sz w:val="30"/>
                <w:szCs w:val="30"/>
              </w:rPr>
              <w:t>时间</w:t>
            </w:r>
          </w:p>
        </w:tc>
        <w:tc>
          <w:tcPr>
            <w:tcW w:w="2341" w:type="dxa"/>
            <w:gridSpan w:val="2"/>
            <w:vAlign w:val="center"/>
          </w:tcPr>
          <w:p w14:paraId="572C97CF" w14:textId="77777777" w:rsidR="003F5F97" w:rsidRDefault="00000000">
            <w:pPr>
              <w:tabs>
                <w:tab w:val="left" w:pos="7088"/>
              </w:tabs>
              <w:jc w:val="center"/>
              <w:rPr>
                <w:rFonts w:asciiTheme="minorEastAsia" w:eastAsiaTheme="minorEastAsia" w:hAnsiTheme="minorEastAsia"/>
                <w:sz w:val="28"/>
                <w:szCs w:val="28"/>
              </w:rPr>
            </w:pPr>
            <w:r>
              <w:rPr>
                <w:rFonts w:asciiTheme="minorEastAsia" w:eastAsiaTheme="minorEastAsia" w:hAnsiTheme="minorEastAsia"/>
                <w:sz w:val="28"/>
                <w:szCs w:val="28"/>
              </w:rPr>
              <w:t>202</w:t>
            </w:r>
            <w:r>
              <w:rPr>
                <w:rFonts w:asciiTheme="minorEastAsia" w:eastAsiaTheme="minorEastAsia" w:hAnsiTheme="minorEastAsia" w:hint="eastAsia"/>
                <w:sz w:val="28"/>
                <w:szCs w:val="28"/>
              </w:rPr>
              <w:t>2</w:t>
            </w:r>
            <w:r>
              <w:rPr>
                <w:rFonts w:asciiTheme="minorEastAsia" w:eastAsiaTheme="minorEastAsia" w:hAnsiTheme="minorEastAsia"/>
                <w:sz w:val="28"/>
                <w:szCs w:val="28"/>
              </w:rPr>
              <w:t>-</w:t>
            </w:r>
            <w:r>
              <w:rPr>
                <w:rFonts w:asciiTheme="minorEastAsia" w:eastAsiaTheme="minorEastAsia" w:hAnsiTheme="minorEastAsia" w:hint="eastAsia"/>
                <w:sz w:val="28"/>
                <w:szCs w:val="28"/>
              </w:rPr>
              <w:t>12</w:t>
            </w:r>
            <w:r>
              <w:rPr>
                <w:rFonts w:asciiTheme="minorEastAsia" w:eastAsiaTheme="minorEastAsia" w:hAnsiTheme="minorEastAsia"/>
                <w:sz w:val="28"/>
                <w:szCs w:val="28"/>
              </w:rPr>
              <w:t>-</w:t>
            </w:r>
            <w:r>
              <w:rPr>
                <w:rFonts w:asciiTheme="minorEastAsia" w:eastAsiaTheme="minorEastAsia" w:hAnsiTheme="minorEastAsia" w:hint="eastAsia"/>
                <w:sz w:val="28"/>
                <w:szCs w:val="28"/>
              </w:rPr>
              <w:t>15</w:t>
            </w:r>
          </w:p>
        </w:tc>
        <w:tc>
          <w:tcPr>
            <w:tcW w:w="2049" w:type="dxa"/>
            <w:gridSpan w:val="2"/>
            <w:vAlign w:val="center"/>
          </w:tcPr>
          <w:p w14:paraId="64C8B564" w14:textId="77777777" w:rsidR="003F5F97" w:rsidRDefault="00000000">
            <w:pPr>
              <w:tabs>
                <w:tab w:val="left" w:pos="7088"/>
              </w:tabs>
              <w:jc w:val="center"/>
              <w:rPr>
                <w:b/>
                <w:sz w:val="28"/>
                <w:szCs w:val="28"/>
              </w:rPr>
            </w:pPr>
            <w:r>
              <w:rPr>
                <w:rFonts w:hint="eastAsia"/>
                <w:b/>
                <w:sz w:val="30"/>
                <w:szCs w:val="30"/>
              </w:rPr>
              <w:t>信息来源</w:t>
            </w:r>
          </w:p>
        </w:tc>
        <w:tc>
          <w:tcPr>
            <w:tcW w:w="2487" w:type="dxa"/>
            <w:vAlign w:val="center"/>
          </w:tcPr>
          <w:p w14:paraId="02E3AB54" w14:textId="77777777" w:rsidR="003F5F97" w:rsidRDefault="00000000">
            <w:pPr>
              <w:tabs>
                <w:tab w:val="left" w:pos="7088"/>
              </w:tabs>
              <w:jc w:val="center"/>
              <w:rPr>
                <w:sz w:val="28"/>
                <w:szCs w:val="28"/>
              </w:rPr>
            </w:pPr>
            <w:r>
              <w:rPr>
                <w:rFonts w:hint="eastAsia"/>
                <w:sz w:val="28"/>
                <w:szCs w:val="28"/>
              </w:rPr>
              <w:t>经济参考报</w:t>
            </w:r>
          </w:p>
        </w:tc>
      </w:tr>
      <w:tr w:rsidR="003F5F97" w14:paraId="78D52371" w14:textId="77777777">
        <w:trPr>
          <w:trHeight w:val="820"/>
        </w:trPr>
        <w:tc>
          <w:tcPr>
            <w:tcW w:w="2196" w:type="dxa"/>
            <w:gridSpan w:val="2"/>
            <w:vAlign w:val="center"/>
          </w:tcPr>
          <w:p w14:paraId="2133413A" w14:textId="77777777" w:rsidR="003F5F97" w:rsidRDefault="00000000">
            <w:pPr>
              <w:tabs>
                <w:tab w:val="left" w:pos="7088"/>
              </w:tabs>
              <w:jc w:val="center"/>
              <w:rPr>
                <w:b/>
                <w:sz w:val="30"/>
                <w:szCs w:val="30"/>
              </w:rPr>
            </w:pPr>
            <w:r>
              <w:rPr>
                <w:rFonts w:hint="eastAsia"/>
                <w:b/>
                <w:sz w:val="30"/>
                <w:szCs w:val="30"/>
              </w:rPr>
              <w:t>信息</w:t>
            </w:r>
            <w:r>
              <w:rPr>
                <w:b/>
                <w:sz w:val="30"/>
                <w:szCs w:val="30"/>
              </w:rPr>
              <w:t>提供</w:t>
            </w:r>
          </w:p>
        </w:tc>
        <w:tc>
          <w:tcPr>
            <w:tcW w:w="2341" w:type="dxa"/>
            <w:gridSpan w:val="2"/>
            <w:vAlign w:val="center"/>
          </w:tcPr>
          <w:p w14:paraId="465A2510" w14:textId="77777777" w:rsidR="003F5F97" w:rsidRDefault="00000000">
            <w:pPr>
              <w:tabs>
                <w:tab w:val="left" w:pos="7088"/>
              </w:tabs>
              <w:jc w:val="center"/>
              <w:rPr>
                <w:sz w:val="28"/>
                <w:szCs w:val="28"/>
              </w:rPr>
            </w:pPr>
            <w:r>
              <w:rPr>
                <w:rFonts w:hint="eastAsia"/>
                <w:sz w:val="28"/>
                <w:szCs w:val="28"/>
              </w:rPr>
              <w:t>运营管理部</w:t>
            </w:r>
          </w:p>
        </w:tc>
        <w:tc>
          <w:tcPr>
            <w:tcW w:w="2049" w:type="dxa"/>
            <w:gridSpan w:val="2"/>
            <w:vAlign w:val="center"/>
          </w:tcPr>
          <w:p w14:paraId="0B4CAC3C" w14:textId="77777777" w:rsidR="003F5F97" w:rsidRDefault="00000000">
            <w:pPr>
              <w:tabs>
                <w:tab w:val="left" w:pos="7088"/>
              </w:tabs>
              <w:jc w:val="center"/>
              <w:rPr>
                <w:b/>
                <w:sz w:val="28"/>
                <w:szCs w:val="28"/>
              </w:rPr>
            </w:pPr>
            <w:r>
              <w:rPr>
                <w:rFonts w:hint="eastAsia"/>
                <w:b/>
                <w:sz w:val="30"/>
                <w:szCs w:val="30"/>
              </w:rPr>
              <w:t>信息确认</w:t>
            </w:r>
          </w:p>
        </w:tc>
        <w:tc>
          <w:tcPr>
            <w:tcW w:w="2487" w:type="dxa"/>
            <w:vAlign w:val="center"/>
          </w:tcPr>
          <w:p w14:paraId="17782FF9" w14:textId="77777777" w:rsidR="003F5F97" w:rsidRDefault="00000000">
            <w:pPr>
              <w:tabs>
                <w:tab w:val="left" w:pos="7088"/>
              </w:tabs>
              <w:jc w:val="center"/>
              <w:rPr>
                <w:sz w:val="28"/>
                <w:szCs w:val="28"/>
              </w:rPr>
            </w:pPr>
            <w:r>
              <w:rPr>
                <w:rFonts w:hint="eastAsia"/>
                <w:sz w:val="28"/>
                <w:szCs w:val="28"/>
              </w:rPr>
              <w:t>彭宇飞</w:t>
            </w:r>
          </w:p>
        </w:tc>
      </w:tr>
      <w:tr w:rsidR="003F5F97" w14:paraId="6E099800" w14:textId="77777777">
        <w:trPr>
          <w:trHeight w:val="930"/>
        </w:trPr>
        <w:tc>
          <w:tcPr>
            <w:tcW w:w="2196" w:type="dxa"/>
            <w:gridSpan w:val="2"/>
            <w:tcBorders>
              <w:bottom w:val="single" w:sz="4" w:space="0" w:color="auto"/>
            </w:tcBorders>
            <w:vAlign w:val="center"/>
          </w:tcPr>
          <w:p w14:paraId="23BDAAE7" w14:textId="77777777" w:rsidR="003F5F97" w:rsidRDefault="00000000">
            <w:pPr>
              <w:tabs>
                <w:tab w:val="left" w:pos="7088"/>
              </w:tabs>
              <w:ind w:firstLineChars="100" w:firstLine="301"/>
              <w:rPr>
                <w:b/>
                <w:sz w:val="30"/>
                <w:szCs w:val="30"/>
              </w:rPr>
            </w:pPr>
            <w:r>
              <w:rPr>
                <w:rFonts w:hint="eastAsia"/>
                <w:b/>
                <w:sz w:val="30"/>
                <w:szCs w:val="30"/>
              </w:rPr>
              <w:t>确认</w:t>
            </w:r>
            <w:r>
              <w:rPr>
                <w:b/>
                <w:sz w:val="30"/>
                <w:szCs w:val="30"/>
              </w:rPr>
              <w:t>结果</w:t>
            </w:r>
          </w:p>
        </w:tc>
        <w:tc>
          <w:tcPr>
            <w:tcW w:w="6877" w:type="dxa"/>
            <w:gridSpan w:val="5"/>
            <w:tcBorders>
              <w:bottom w:val="single" w:sz="4" w:space="0" w:color="auto"/>
            </w:tcBorders>
            <w:vAlign w:val="center"/>
          </w:tcPr>
          <w:p w14:paraId="3E521558" w14:textId="77777777" w:rsidR="003F5F97" w:rsidRDefault="00000000">
            <w:pPr>
              <w:tabs>
                <w:tab w:val="left" w:pos="7088"/>
              </w:tabs>
              <w:jc w:val="left"/>
              <w:rPr>
                <w:sz w:val="28"/>
                <w:szCs w:val="28"/>
              </w:rPr>
            </w:pPr>
            <w:r>
              <w:rPr>
                <w:rFonts w:asciiTheme="minorEastAsia" w:eastAsiaTheme="minorEastAsia" w:hAnsiTheme="minorEastAsia" w:hint="eastAsia"/>
                <w:sz w:val="28"/>
                <w:szCs w:val="28"/>
              </w:rPr>
              <w:t>来源：</w:t>
            </w:r>
            <w:r>
              <w:rPr>
                <w:rFonts w:hint="eastAsia"/>
                <w:sz w:val="28"/>
                <w:szCs w:val="28"/>
              </w:rPr>
              <w:t>经济参考报</w:t>
            </w:r>
          </w:p>
        </w:tc>
      </w:tr>
      <w:tr w:rsidR="003F5F97" w14:paraId="4A9C869F" w14:textId="77777777">
        <w:trPr>
          <w:trHeight w:val="927"/>
        </w:trPr>
        <w:tc>
          <w:tcPr>
            <w:tcW w:w="2196" w:type="dxa"/>
            <w:gridSpan w:val="2"/>
            <w:tcBorders>
              <w:top w:val="single" w:sz="4" w:space="0" w:color="auto"/>
            </w:tcBorders>
            <w:vAlign w:val="center"/>
          </w:tcPr>
          <w:p w14:paraId="01191956" w14:textId="77777777" w:rsidR="003F5F97" w:rsidRDefault="00000000">
            <w:pPr>
              <w:tabs>
                <w:tab w:val="left" w:pos="7088"/>
              </w:tabs>
              <w:jc w:val="center"/>
              <w:rPr>
                <w:b/>
                <w:sz w:val="30"/>
                <w:szCs w:val="30"/>
              </w:rPr>
            </w:pPr>
            <w:r>
              <w:rPr>
                <w:rFonts w:hint="eastAsia"/>
                <w:b/>
                <w:sz w:val="30"/>
                <w:szCs w:val="30"/>
              </w:rPr>
              <w:t>关键词</w:t>
            </w:r>
          </w:p>
        </w:tc>
        <w:tc>
          <w:tcPr>
            <w:tcW w:w="6877" w:type="dxa"/>
            <w:gridSpan w:val="5"/>
            <w:tcBorders>
              <w:top w:val="single" w:sz="4" w:space="0" w:color="auto"/>
            </w:tcBorders>
            <w:vAlign w:val="center"/>
          </w:tcPr>
          <w:p w14:paraId="3AEDA9EC" w14:textId="77777777" w:rsidR="003F5F97" w:rsidRDefault="00000000">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战略  规划  扩大内需  医疗健康  </w:t>
            </w:r>
          </w:p>
        </w:tc>
      </w:tr>
      <w:tr w:rsidR="003F5F97" w14:paraId="4AA1D352" w14:textId="77777777">
        <w:trPr>
          <w:trHeight w:val="3076"/>
        </w:trPr>
        <w:tc>
          <w:tcPr>
            <w:tcW w:w="2196" w:type="dxa"/>
            <w:gridSpan w:val="2"/>
            <w:vAlign w:val="center"/>
          </w:tcPr>
          <w:p w14:paraId="71E5566E" w14:textId="77777777" w:rsidR="003F5F97" w:rsidRDefault="00000000">
            <w:pPr>
              <w:tabs>
                <w:tab w:val="left" w:pos="7088"/>
              </w:tabs>
              <w:jc w:val="center"/>
              <w:rPr>
                <w:b/>
                <w:sz w:val="30"/>
                <w:szCs w:val="30"/>
              </w:rPr>
            </w:pPr>
            <w:r>
              <w:rPr>
                <w:b/>
                <w:sz w:val="30"/>
                <w:szCs w:val="30"/>
              </w:rPr>
              <w:t>内容概要</w:t>
            </w:r>
          </w:p>
        </w:tc>
        <w:tc>
          <w:tcPr>
            <w:tcW w:w="6877" w:type="dxa"/>
            <w:gridSpan w:val="5"/>
          </w:tcPr>
          <w:p w14:paraId="06319D8B" w14:textId="77777777" w:rsidR="003F5F97" w:rsidRDefault="003F5F97">
            <w:pPr>
              <w:jc w:val="left"/>
              <w:rPr>
                <w:rFonts w:asciiTheme="minorEastAsia" w:hAnsiTheme="minorEastAsia"/>
                <w:sz w:val="28"/>
                <w:szCs w:val="28"/>
                <w:shd w:val="clear" w:color="auto" w:fill="FFFFFF"/>
              </w:rPr>
            </w:pPr>
          </w:p>
          <w:p w14:paraId="3875A068" w14:textId="77777777" w:rsidR="003F5F97" w:rsidRDefault="00000000">
            <w:pPr>
              <w:ind w:left="560"/>
              <w:rPr>
                <w:rFonts w:asciiTheme="minorEastAsia" w:hAnsiTheme="minorEastAsia"/>
                <w:sz w:val="28"/>
                <w:szCs w:val="28"/>
                <w:shd w:val="clear" w:color="auto" w:fill="FFFFFF"/>
              </w:rPr>
            </w:pPr>
            <w:r>
              <w:rPr>
                <w:rFonts w:asciiTheme="minorEastAsia" w:hAnsiTheme="minorEastAsia" w:hint="eastAsia"/>
                <w:sz w:val="28"/>
                <w:szCs w:val="28"/>
                <w:shd w:val="clear" w:color="auto" w:fill="FFFFFF"/>
              </w:rPr>
              <w:t>12月14日，中共中央、国务院印发</w:t>
            </w:r>
            <w:proofErr w:type="gramStart"/>
            <w:r>
              <w:rPr>
                <w:rFonts w:asciiTheme="minorEastAsia" w:hAnsiTheme="minorEastAsia" w:hint="eastAsia"/>
                <w:sz w:val="28"/>
                <w:szCs w:val="28"/>
                <w:shd w:val="clear" w:color="auto" w:fill="FFFFFF"/>
              </w:rPr>
              <w:t>《</w:t>
            </w:r>
            <w:proofErr w:type="gramEnd"/>
            <w:r>
              <w:rPr>
                <w:rFonts w:asciiTheme="minorEastAsia" w:hAnsiTheme="minorEastAsia" w:hint="eastAsia"/>
                <w:sz w:val="28"/>
                <w:szCs w:val="28"/>
                <w:shd w:val="clear" w:color="auto" w:fill="FFFFFF"/>
              </w:rPr>
              <w:t>扩大内需战</w:t>
            </w:r>
          </w:p>
          <w:p w14:paraId="1397977E" w14:textId="77777777" w:rsidR="003F5F97" w:rsidRDefault="00000000">
            <w:pPr>
              <w:rPr>
                <w:rFonts w:asciiTheme="minorEastAsia" w:hAnsiTheme="minorEastAsia"/>
                <w:sz w:val="28"/>
                <w:szCs w:val="28"/>
                <w:shd w:val="clear" w:color="auto" w:fill="FFFFFF"/>
              </w:rPr>
            </w:pPr>
            <w:proofErr w:type="gramStart"/>
            <w:r>
              <w:rPr>
                <w:rFonts w:asciiTheme="minorEastAsia" w:hAnsiTheme="minorEastAsia" w:hint="eastAsia"/>
                <w:sz w:val="28"/>
                <w:szCs w:val="28"/>
                <w:shd w:val="clear" w:color="auto" w:fill="FFFFFF"/>
              </w:rPr>
              <w:t>略规划</w:t>
            </w:r>
            <w:proofErr w:type="gramEnd"/>
            <w:r>
              <w:rPr>
                <w:rFonts w:asciiTheme="minorEastAsia" w:hAnsiTheme="minorEastAsia" w:hint="eastAsia"/>
                <w:sz w:val="28"/>
                <w:szCs w:val="28"/>
                <w:shd w:val="clear" w:color="auto" w:fill="FFFFFF"/>
              </w:rPr>
              <w:t>纲要（2022—2035年）》</w:t>
            </w:r>
          </w:p>
          <w:p w14:paraId="399B6ADB" w14:textId="77777777" w:rsidR="003F5F97" w:rsidRDefault="00000000">
            <w:pPr>
              <w:ind w:firstLineChars="200" w:firstLine="592"/>
              <w:rPr>
                <w:rFonts w:asciiTheme="minorEastAsia" w:hAnsiTheme="minorEastAsia"/>
                <w:sz w:val="28"/>
                <w:szCs w:val="28"/>
                <w:shd w:val="clear" w:color="auto" w:fill="FFFFFF"/>
              </w:rPr>
            </w:pPr>
            <w:r>
              <w:rPr>
                <w:rFonts w:ascii="宋体" w:hAnsi="宋体" w:cs="宋体" w:hint="eastAsia"/>
                <w:spacing w:val="8"/>
                <w:sz w:val="28"/>
                <w:szCs w:val="28"/>
                <w:shd w:val="clear" w:color="auto" w:fill="FFFFFF"/>
              </w:rPr>
              <w:t>这份2万多字的文件，围绕</w:t>
            </w:r>
            <w:r>
              <w:rPr>
                <w:rStyle w:val="ad"/>
                <w:rFonts w:ascii="宋体" w:hAnsi="宋体" w:cs="宋体" w:hint="eastAsia"/>
                <w:spacing w:val="8"/>
                <w:sz w:val="28"/>
                <w:szCs w:val="28"/>
                <w:shd w:val="clear" w:color="auto" w:fill="FFFFFF"/>
              </w:rPr>
              <w:t>“扩大内需”</w:t>
            </w:r>
            <w:r>
              <w:rPr>
                <w:rFonts w:ascii="宋体" w:hAnsi="宋体" w:cs="宋体" w:hint="eastAsia"/>
                <w:spacing w:val="8"/>
                <w:sz w:val="28"/>
                <w:szCs w:val="28"/>
                <w:shd w:val="clear" w:color="auto" w:fill="FFFFFF"/>
              </w:rPr>
              <w:t>展开，横跨各行各业，包括地产、基建、汽车、医药、养老等所有核心消费板块。</w:t>
            </w:r>
          </w:p>
          <w:p w14:paraId="1A5F223C" w14:textId="77777777" w:rsidR="003F5F97" w:rsidRDefault="00000000">
            <w:pPr>
              <w:ind w:firstLineChars="200" w:firstLine="560"/>
              <w:rPr>
                <w:sz w:val="28"/>
                <w:szCs w:val="28"/>
              </w:rPr>
            </w:pPr>
            <w:r>
              <w:rPr>
                <w:rFonts w:asciiTheme="minorEastAsia" w:hAnsiTheme="minorEastAsia" w:hint="eastAsia"/>
                <w:sz w:val="28"/>
                <w:szCs w:val="28"/>
                <w:shd w:val="clear" w:color="auto" w:fill="FFFFFF"/>
              </w:rPr>
              <w:t>医药板块着重提到：</w:t>
            </w:r>
            <w:r>
              <w:rPr>
                <w:rFonts w:hint="eastAsia"/>
                <w:sz w:val="28"/>
                <w:szCs w:val="28"/>
              </w:rPr>
              <w:t>提供多层次医疗健康服务。全面推进健康中国建设，深化医药卫生体制改革，完善公共卫生体系，促进公立医院高质量发展等内容。</w:t>
            </w:r>
          </w:p>
          <w:p w14:paraId="4EB126FF" w14:textId="77777777" w:rsidR="003F5F97" w:rsidRDefault="00000000">
            <w:pPr>
              <w:ind w:firstLineChars="200" w:firstLine="560"/>
              <w:rPr>
                <w:rFonts w:asciiTheme="minorEastAsia" w:hAnsiTheme="minorEastAsia"/>
                <w:sz w:val="28"/>
                <w:szCs w:val="28"/>
                <w:shd w:val="clear" w:color="auto" w:fill="FFFFFF"/>
              </w:rPr>
            </w:pPr>
            <w:r>
              <w:rPr>
                <w:rFonts w:hint="eastAsia"/>
                <w:sz w:val="28"/>
                <w:szCs w:val="28"/>
              </w:rPr>
              <w:t>纲要提出加快培育新型消费、加快建立公平统一市场、建设现代流通体系等一系列具体规划措施。</w:t>
            </w:r>
          </w:p>
          <w:p w14:paraId="7D31DE3F" w14:textId="77777777" w:rsidR="003F5F97" w:rsidRDefault="003F5F97">
            <w:pPr>
              <w:widowControl/>
              <w:shd w:val="clear" w:color="auto" w:fill="FFFFFF"/>
              <w:spacing w:after="190"/>
              <w:outlineLvl w:val="1"/>
            </w:pPr>
          </w:p>
          <w:p w14:paraId="7D282060" w14:textId="77777777" w:rsidR="003F5F97" w:rsidRDefault="003F5F97">
            <w:pPr>
              <w:widowControl/>
              <w:shd w:val="clear" w:color="auto" w:fill="FFFFFF"/>
              <w:spacing w:after="190"/>
              <w:outlineLvl w:val="1"/>
            </w:pPr>
          </w:p>
          <w:p w14:paraId="076F0F12" w14:textId="77777777" w:rsidR="003F5F97" w:rsidRDefault="00000000">
            <w:pPr>
              <w:widowControl/>
              <w:shd w:val="clear" w:color="auto" w:fill="FFFFFF"/>
              <w:spacing w:after="190"/>
              <w:outlineLvl w:val="1"/>
              <w:rPr>
                <w:rFonts w:asciiTheme="minorEastAsia" w:hAnsiTheme="minorEastAsia"/>
                <w:sz w:val="28"/>
                <w:szCs w:val="28"/>
                <w:shd w:val="clear" w:color="auto" w:fill="FFFFFF"/>
              </w:rPr>
            </w:pPr>
            <w:r>
              <w:rPr>
                <w:rFonts w:hint="eastAsia"/>
              </w:rPr>
              <w:t>附件</w:t>
            </w:r>
            <w:r>
              <w:rPr>
                <w:rFonts w:hint="eastAsia"/>
              </w:rPr>
              <w:t xml:space="preserve">1: </w:t>
            </w:r>
            <w:r>
              <w:rPr>
                <w:rFonts w:hint="eastAsia"/>
              </w:rPr>
              <w:t>中共中央</w:t>
            </w:r>
            <w:r>
              <w:rPr>
                <w:rFonts w:hint="eastAsia"/>
              </w:rPr>
              <w:t xml:space="preserve"> </w:t>
            </w:r>
            <w:r>
              <w:rPr>
                <w:rFonts w:hint="eastAsia"/>
              </w:rPr>
              <w:t>国务院印发《扩大内需战略规划纲要（</w:t>
            </w:r>
            <w:r>
              <w:rPr>
                <w:rFonts w:hint="eastAsia"/>
              </w:rPr>
              <w:t>2022</w:t>
            </w:r>
            <w:r>
              <w:rPr>
                <w:rFonts w:hint="eastAsia"/>
              </w:rPr>
              <w:t>－</w:t>
            </w:r>
            <w:r>
              <w:rPr>
                <w:rFonts w:hint="eastAsia"/>
              </w:rPr>
              <w:t>2035</w:t>
            </w:r>
            <w:r>
              <w:rPr>
                <w:rFonts w:hint="eastAsia"/>
              </w:rPr>
              <w:t>年）》</w:t>
            </w:r>
          </w:p>
        </w:tc>
      </w:tr>
      <w:tr w:rsidR="003F5F97" w14:paraId="5085C944" w14:textId="77777777">
        <w:trPr>
          <w:trHeight w:val="838"/>
        </w:trPr>
        <w:tc>
          <w:tcPr>
            <w:tcW w:w="2127" w:type="dxa"/>
            <w:vAlign w:val="center"/>
          </w:tcPr>
          <w:p w14:paraId="3D34C9F4" w14:textId="77777777" w:rsidR="003F5F97" w:rsidRDefault="00000000">
            <w:pPr>
              <w:tabs>
                <w:tab w:val="left" w:pos="5245"/>
              </w:tabs>
              <w:jc w:val="center"/>
              <w:rPr>
                <w:b/>
                <w:sz w:val="30"/>
                <w:szCs w:val="30"/>
              </w:rPr>
            </w:pPr>
            <w:r>
              <w:rPr>
                <w:rFonts w:hint="eastAsia"/>
                <w:b/>
                <w:sz w:val="30"/>
                <w:szCs w:val="30"/>
              </w:rPr>
              <w:lastRenderedPageBreak/>
              <w:t>信息</w:t>
            </w:r>
            <w:r>
              <w:rPr>
                <w:rFonts w:hint="eastAsia"/>
                <w:b/>
                <w:sz w:val="30"/>
                <w:szCs w:val="30"/>
              </w:rPr>
              <w:t>02</w:t>
            </w:r>
          </w:p>
        </w:tc>
        <w:tc>
          <w:tcPr>
            <w:tcW w:w="6946" w:type="dxa"/>
            <w:gridSpan w:val="6"/>
            <w:vAlign w:val="center"/>
          </w:tcPr>
          <w:p w14:paraId="2D347553" w14:textId="77777777" w:rsidR="003F5F97" w:rsidRDefault="00000000">
            <w:pPr>
              <w:pStyle w:val="af2"/>
              <w:ind w:firstLineChars="0" w:firstLine="0"/>
              <w:rPr>
                <w:rFonts w:asciiTheme="minorEastAsia" w:eastAsiaTheme="minorEastAsia" w:hAnsiTheme="minorEastAsia"/>
                <w:b/>
                <w:sz w:val="32"/>
                <w:szCs w:val="32"/>
              </w:rPr>
            </w:pPr>
            <w:r>
              <w:rPr>
                <w:rFonts w:asciiTheme="minorEastAsia" w:eastAsiaTheme="minorEastAsia" w:hAnsiTheme="minorEastAsia" w:hint="eastAsia"/>
                <w:b/>
                <w:sz w:val="36"/>
                <w:szCs w:val="36"/>
              </w:rPr>
              <w:t>中康CMH《2022中国药品市场全域零售报告》发布</w:t>
            </w:r>
          </w:p>
        </w:tc>
      </w:tr>
      <w:tr w:rsidR="003F5F97" w14:paraId="1FBF674F" w14:textId="77777777">
        <w:trPr>
          <w:trHeight w:val="838"/>
        </w:trPr>
        <w:tc>
          <w:tcPr>
            <w:tcW w:w="2127" w:type="dxa"/>
            <w:vAlign w:val="center"/>
          </w:tcPr>
          <w:p w14:paraId="378726EC" w14:textId="77777777" w:rsidR="003F5F97" w:rsidRDefault="00000000">
            <w:pPr>
              <w:tabs>
                <w:tab w:val="left" w:pos="5245"/>
              </w:tabs>
              <w:jc w:val="center"/>
            </w:pPr>
            <w:r>
              <w:rPr>
                <w:rFonts w:hint="eastAsia"/>
                <w:b/>
                <w:sz w:val="30"/>
                <w:szCs w:val="30"/>
              </w:rPr>
              <w:t>发布</w:t>
            </w:r>
            <w:r>
              <w:rPr>
                <w:b/>
                <w:sz w:val="30"/>
                <w:szCs w:val="30"/>
              </w:rPr>
              <w:t>时间</w:t>
            </w:r>
          </w:p>
        </w:tc>
        <w:tc>
          <w:tcPr>
            <w:tcW w:w="2268" w:type="dxa"/>
            <w:gridSpan w:val="2"/>
            <w:vAlign w:val="center"/>
          </w:tcPr>
          <w:p w14:paraId="56ECF0D1" w14:textId="77777777" w:rsidR="003F5F97" w:rsidRDefault="00000000">
            <w:pPr>
              <w:widowControl/>
              <w:spacing w:line="300" w:lineRule="atLeast"/>
              <w:jc w:val="center"/>
              <w:rPr>
                <w:rFonts w:asciiTheme="minorEastAsia" w:eastAsiaTheme="minorEastAsia" w:hAnsiTheme="minorEastAsia"/>
                <w:sz w:val="28"/>
                <w:szCs w:val="28"/>
              </w:rPr>
            </w:pPr>
            <w:r>
              <w:rPr>
                <w:rFonts w:asciiTheme="minorEastAsia" w:eastAsiaTheme="minorEastAsia" w:hAnsiTheme="minorEastAsia" w:cs="Helvetica"/>
                <w:kern w:val="0"/>
                <w:sz w:val="28"/>
                <w:szCs w:val="28"/>
              </w:rPr>
              <w:t>202</w:t>
            </w:r>
            <w:r>
              <w:rPr>
                <w:rFonts w:asciiTheme="minorEastAsia" w:eastAsiaTheme="minorEastAsia" w:hAnsiTheme="minorEastAsia" w:cs="Helvetica" w:hint="eastAsia"/>
                <w:kern w:val="0"/>
                <w:sz w:val="28"/>
                <w:szCs w:val="28"/>
              </w:rPr>
              <w:t>2</w:t>
            </w:r>
            <w:r>
              <w:rPr>
                <w:rFonts w:asciiTheme="minorEastAsia" w:eastAsiaTheme="minorEastAsia" w:hAnsiTheme="minorEastAsia" w:cs="Helvetica"/>
                <w:kern w:val="0"/>
                <w:sz w:val="28"/>
                <w:szCs w:val="28"/>
              </w:rPr>
              <w:t>-</w:t>
            </w:r>
            <w:r>
              <w:rPr>
                <w:rFonts w:asciiTheme="minorEastAsia" w:eastAsiaTheme="minorEastAsia" w:hAnsiTheme="minorEastAsia" w:cs="Helvetica" w:hint="eastAsia"/>
                <w:kern w:val="0"/>
                <w:sz w:val="28"/>
                <w:szCs w:val="28"/>
              </w:rPr>
              <w:t>12</w:t>
            </w:r>
            <w:r>
              <w:rPr>
                <w:rFonts w:asciiTheme="minorEastAsia" w:eastAsiaTheme="minorEastAsia" w:hAnsiTheme="minorEastAsia" w:cs="Helvetica"/>
                <w:kern w:val="0"/>
                <w:sz w:val="28"/>
                <w:szCs w:val="28"/>
              </w:rPr>
              <w:t>-</w:t>
            </w:r>
            <w:r>
              <w:rPr>
                <w:rFonts w:asciiTheme="minorEastAsia" w:eastAsiaTheme="minorEastAsia" w:hAnsiTheme="minorEastAsia" w:cs="Helvetica" w:hint="eastAsia"/>
                <w:kern w:val="0"/>
                <w:sz w:val="28"/>
                <w:szCs w:val="28"/>
              </w:rPr>
              <w:t>24</w:t>
            </w:r>
          </w:p>
        </w:tc>
        <w:tc>
          <w:tcPr>
            <w:tcW w:w="1559" w:type="dxa"/>
            <w:gridSpan w:val="2"/>
            <w:vAlign w:val="center"/>
          </w:tcPr>
          <w:p w14:paraId="5ADF6DE5" w14:textId="77777777" w:rsidR="003F5F97" w:rsidRDefault="00000000">
            <w:pPr>
              <w:jc w:val="center"/>
              <w:rPr>
                <w:b/>
                <w:sz w:val="30"/>
                <w:szCs w:val="30"/>
              </w:rPr>
            </w:pPr>
            <w:r>
              <w:rPr>
                <w:rFonts w:hint="eastAsia"/>
                <w:b/>
                <w:sz w:val="30"/>
                <w:szCs w:val="30"/>
              </w:rPr>
              <w:t>信息来源</w:t>
            </w:r>
          </w:p>
        </w:tc>
        <w:tc>
          <w:tcPr>
            <w:tcW w:w="3119" w:type="dxa"/>
            <w:gridSpan w:val="2"/>
            <w:vAlign w:val="center"/>
          </w:tcPr>
          <w:p w14:paraId="4887E094" w14:textId="77777777" w:rsidR="003F5F97" w:rsidRDefault="00000000">
            <w:pPr>
              <w:jc w:val="center"/>
              <w:rPr>
                <w:rFonts w:ascii="Helvetica" w:hAnsi="Helvetica" w:cs="Helvetica"/>
                <w:kern w:val="0"/>
                <w:sz w:val="28"/>
                <w:szCs w:val="28"/>
              </w:rPr>
            </w:pPr>
            <w:r>
              <w:rPr>
                <w:rFonts w:ascii="Helvetica" w:hAnsi="Helvetica" w:cs="Helvetica" w:hint="eastAsia"/>
                <w:kern w:val="0"/>
                <w:sz w:val="28"/>
                <w:szCs w:val="28"/>
              </w:rPr>
              <w:t>中康</w:t>
            </w:r>
            <w:r>
              <w:rPr>
                <w:rFonts w:ascii="Helvetica" w:hAnsi="Helvetica" w:cs="Helvetica" w:hint="eastAsia"/>
                <w:kern w:val="0"/>
                <w:sz w:val="28"/>
                <w:szCs w:val="28"/>
              </w:rPr>
              <w:t xml:space="preserve">CMH </w:t>
            </w:r>
            <w:proofErr w:type="gramStart"/>
            <w:r>
              <w:rPr>
                <w:rFonts w:ascii="Helvetica" w:hAnsi="Helvetica" w:cs="Helvetica" w:hint="eastAsia"/>
                <w:kern w:val="0"/>
                <w:sz w:val="28"/>
                <w:szCs w:val="28"/>
              </w:rPr>
              <w:t>新康界</w:t>
            </w:r>
            <w:proofErr w:type="gramEnd"/>
          </w:p>
        </w:tc>
      </w:tr>
      <w:tr w:rsidR="003F5F97" w14:paraId="7665A7DF" w14:textId="77777777">
        <w:trPr>
          <w:trHeight w:val="850"/>
        </w:trPr>
        <w:tc>
          <w:tcPr>
            <w:tcW w:w="2127" w:type="dxa"/>
            <w:vAlign w:val="center"/>
          </w:tcPr>
          <w:p w14:paraId="0CEAF780" w14:textId="77777777" w:rsidR="003F5F97" w:rsidRDefault="00000000">
            <w:pPr>
              <w:tabs>
                <w:tab w:val="left" w:pos="5245"/>
              </w:tabs>
              <w:jc w:val="center"/>
              <w:rPr>
                <w:b/>
                <w:sz w:val="30"/>
                <w:szCs w:val="30"/>
              </w:rPr>
            </w:pPr>
            <w:r>
              <w:rPr>
                <w:rFonts w:hint="eastAsia"/>
                <w:b/>
                <w:sz w:val="30"/>
                <w:szCs w:val="30"/>
              </w:rPr>
              <w:t>信息</w:t>
            </w:r>
            <w:r>
              <w:rPr>
                <w:b/>
                <w:sz w:val="30"/>
                <w:szCs w:val="30"/>
              </w:rPr>
              <w:t>提供</w:t>
            </w:r>
          </w:p>
        </w:tc>
        <w:tc>
          <w:tcPr>
            <w:tcW w:w="2268" w:type="dxa"/>
            <w:gridSpan w:val="2"/>
            <w:vAlign w:val="center"/>
          </w:tcPr>
          <w:p w14:paraId="2D25AD03" w14:textId="77777777" w:rsidR="003F5F97" w:rsidRDefault="00000000">
            <w:pPr>
              <w:jc w:val="center"/>
              <w:rPr>
                <w:sz w:val="28"/>
                <w:szCs w:val="28"/>
              </w:rPr>
            </w:pPr>
            <w:r>
              <w:rPr>
                <w:rFonts w:hint="eastAsia"/>
                <w:sz w:val="28"/>
                <w:szCs w:val="28"/>
              </w:rPr>
              <w:t>运营管理部</w:t>
            </w:r>
          </w:p>
        </w:tc>
        <w:tc>
          <w:tcPr>
            <w:tcW w:w="1559" w:type="dxa"/>
            <w:gridSpan w:val="2"/>
            <w:vAlign w:val="center"/>
          </w:tcPr>
          <w:p w14:paraId="196B18D2" w14:textId="77777777" w:rsidR="003F5F97" w:rsidRDefault="00000000">
            <w:pPr>
              <w:jc w:val="center"/>
              <w:rPr>
                <w:b/>
                <w:sz w:val="28"/>
                <w:szCs w:val="28"/>
              </w:rPr>
            </w:pPr>
            <w:r>
              <w:rPr>
                <w:rFonts w:hint="eastAsia"/>
                <w:b/>
                <w:sz w:val="30"/>
                <w:szCs w:val="30"/>
              </w:rPr>
              <w:t>信息确认</w:t>
            </w:r>
          </w:p>
        </w:tc>
        <w:tc>
          <w:tcPr>
            <w:tcW w:w="3119" w:type="dxa"/>
            <w:gridSpan w:val="2"/>
            <w:vAlign w:val="center"/>
          </w:tcPr>
          <w:p w14:paraId="3CA3E3C4" w14:textId="77777777" w:rsidR="003F5F97" w:rsidRDefault="00000000">
            <w:pPr>
              <w:jc w:val="center"/>
              <w:rPr>
                <w:sz w:val="28"/>
                <w:szCs w:val="28"/>
              </w:rPr>
            </w:pPr>
            <w:r>
              <w:rPr>
                <w:rFonts w:hint="eastAsia"/>
                <w:sz w:val="28"/>
                <w:szCs w:val="28"/>
              </w:rPr>
              <w:t>彭宇飞</w:t>
            </w:r>
          </w:p>
        </w:tc>
      </w:tr>
      <w:tr w:rsidR="003F5F97" w14:paraId="4D47FD95" w14:textId="77777777">
        <w:trPr>
          <w:trHeight w:val="989"/>
        </w:trPr>
        <w:tc>
          <w:tcPr>
            <w:tcW w:w="2127" w:type="dxa"/>
            <w:vAlign w:val="center"/>
          </w:tcPr>
          <w:p w14:paraId="34E615C4" w14:textId="77777777" w:rsidR="003F5F97" w:rsidRDefault="00000000">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6"/>
            <w:vAlign w:val="center"/>
          </w:tcPr>
          <w:p w14:paraId="79DDCE80" w14:textId="77777777" w:rsidR="003F5F97" w:rsidRDefault="00000000">
            <w:pPr>
              <w:rPr>
                <w:rFonts w:asciiTheme="minorEastAsia" w:eastAsiaTheme="minorEastAsia" w:hAnsiTheme="minorEastAsia" w:cs="Helvetica"/>
                <w:kern w:val="0"/>
                <w:sz w:val="32"/>
                <w:szCs w:val="32"/>
              </w:rPr>
            </w:pPr>
            <w:r>
              <w:rPr>
                <w:rFonts w:asciiTheme="minorEastAsia" w:eastAsiaTheme="minorEastAsia" w:hAnsiTheme="minorEastAsia"/>
                <w:sz w:val="28"/>
                <w:szCs w:val="28"/>
              </w:rPr>
              <w:t>来源：</w:t>
            </w:r>
            <w:r>
              <w:rPr>
                <w:rFonts w:ascii="Helvetica" w:hAnsi="Helvetica" w:cs="Helvetica" w:hint="eastAsia"/>
                <w:kern w:val="0"/>
                <w:sz w:val="28"/>
                <w:szCs w:val="28"/>
              </w:rPr>
              <w:t>中康</w:t>
            </w:r>
            <w:r>
              <w:rPr>
                <w:rFonts w:ascii="Helvetica" w:hAnsi="Helvetica" w:cs="Helvetica" w:hint="eastAsia"/>
                <w:kern w:val="0"/>
                <w:sz w:val="28"/>
                <w:szCs w:val="28"/>
              </w:rPr>
              <w:t xml:space="preserve">CMH </w:t>
            </w:r>
            <w:proofErr w:type="gramStart"/>
            <w:r>
              <w:rPr>
                <w:rFonts w:ascii="Helvetica" w:hAnsi="Helvetica" w:cs="Helvetica" w:hint="eastAsia"/>
                <w:kern w:val="0"/>
                <w:sz w:val="28"/>
                <w:szCs w:val="28"/>
              </w:rPr>
              <w:t>新康界</w:t>
            </w:r>
            <w:proofErr w:type="gramEnd"/>
          </w:p>
        </w:tc>
      </w:tr>
      <w:tr w:rsidR="003F5F97" w14:paraId="334C2FDB" w14:textId="77777777">
        <w:trPr>
          <w:trHeight w:val="908"/>
        </w:trPr>
        <w:tc>
          <w:tcPr>
            <w:tcW w:w="2127" w:type="dxa"/>
            <w:vAlign w:val="center"/>
          </w:tcPr>
          <w:p w14:paraId="5DD82B59" w14:textId="77777777" w:rsidR="003F5F97" w:rsidRDefault="00000000">
            <w:pPr>
              <w:tabs>
                <w:tab w:val="left" w:pos="5245"/>
              </w:tabs>
              <w:jc w:val="center"/>
              <w:rPr>
                <w:b/>
                <w:sz w:val="30"/>
                <w:szCs w:val="30"/>
              </w:rPr>
            </w:pPr>
            <w:r>
              <w:rPr>
                <w:rFonts w:hint="eastAsia"/>
                <w:b/>
                <w:sz w:val="30"/>
                <w:szCs w:val="30"/>
              </w:rPr>
              <w:t>关键词</w:t>
            </w:r>
          </w:p>
        </w:tc>
        <w:tc>
          <w:tcPr>
            <w:tcW w:w="6946" w:type="dxa"/>
            <w:gridSpan w:val="6"/>
            <w:vAlign w:val="center"/>
          </w:tcPr>
          <w:p w14:paraId="4903D697" w14:textId="77777777" w:rsidR="003F5F97" w:rsidRDefault="00000000">
            <w:pPr>
              <w:jc w:val="left"/>
              <w:rPr>
                <w:sz w:val="28"/>
                <w:szCs w:val="28"/>
              </w:rPr>
            </w:pPr>
            <w:r>
              <w:rPr>
                <w:rFonts w:asciiTheme="minorEastAsia" w:hAnsiTheme="minorEastAsia" w:hint="eastAsia"/>
                <w:sz w:val="28"/>
                <w:szCs w:val="28"/>
                <w:shd w:val="clear" w:color="auto" w:fill="FFFFFF"/>
              </w:rPr>
              <w:t>药品  零售</w:t>
            </w:r>
            <w:r>
              <w:rPr>
                <w:rFonts w:asciiTheme="minorEastAsia" w:hAnsiTheme="minorEastAsia" w:hint="eastAsia"/>
                <w:sz w:val="28"/>
                <w:szCs w:val="28"/>
              </w:rPr>
              <w:t xml:space="preserve">  药房  电商</w:t>
            </w:r>
          </w:p>
        </w:tc>
      </w:tr>
      <w:tr w:rsidR="003F5F97" w14:paraId="0D2D006F" w14:textId="77777777">
        <w:trPr>
          <w:trHeight w:val="7071"/>
        </w:trPr>
        <w:tc>
          <w:tcPr>
            <w:tcW w:w="2127" w:type="dxa"/>
            <w:vAlign w:val="center"/>
          </w:tcPr>
          <w:p w14:paraId="0CD4A59A" w14:textId="77777777" w:rsidR="003F5F97" w:rsidRDefault="00000000">
            <w:pPr>
              <w:tabs>
                <w:tab w:val="left" w:pos="5245"/>
              </w:tabs>
              <w:jc w:val="center"/>
              <w:rPr>
                <w:b/>
                <w:sz w:val="30"/>
                <w:szCs w:val="30"/>
              </w:rPr>
            </w:pPr>
            <w:r>
              <w:rPr>
                <w:rFonts w:hint="eastAsia"/>
                <w:b/>
                <w:sz w:val="30"/>
                <w:szCs w:val="30"/>
              </w:rPr>
              <w:t>内容概要</w:t>
            </w:r>
          </w:p>
        </w:tc>
        <w:tc>
          <w:tcPr>
            <w:tcW w:w="6946" w:type="dxa"/>
            <w:gridSpan w:val="6"/>
          </w:tcPr>
          <w:p w14:paraId="54E1AB88" w14:textId="77777777" w:rsidR="003F5F97" w:rsidRDefault="00000000">
            <w:pPr>
              <w:widowControl/>
              <w:shd w:val="clear" w:color="auto" w:fill="FFFFFF"/>
              <w:spacing w:after="190"/>
              <w:ind w:firstLineChars="200" w:firstLine="620"/>
              <w:outlineLvl w:val="1"/>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中康CMH数据显示，在标外市场的重要性不断提升的大背景下，2022年实体药房市场(包含O2O)增速将达5.2%，电商B2C作为市场增长的主要驱动者，增速将达20.8%。</w:t>
            </w:r>
          </w:p>
          <w:p w14:paraId="707E6F26" w14:textId="77777777" w:rsidR="003F5F97" w:rsidRDefault="00000000">
            <w:pPr>
              <w:widowControl/>
              <w:numPr>
                <w:ilvl w:val="0"/>
                <w:numId w:val="2"/>
              </w:numPr>
              <w:shd w:val="clear" w:color="auto" w:fill="FFFFFF"/>
              <w:spacing w:after="190"/>
              <w:ind w:firstLineChars="200" w:firstLine="620"/>
              <w:outlineLvl w:val="1"/>
              <w:rPr>
                <w:rStyle w:val="ad"/>
                <w:rFonts w:asciiTheme="minorEastAsia" w:eastAsiaTheme="minorEastAsia" w:hAnsiTheme="minorEastAsia" w:cs="Helvetica"/>
                <w:b w:val="0"/>
                <w:spacing w:val="15"/>
                <w:sz w:val="28"/>
                <w:szCs w:val="28"/>
              </w:rPr>
            </w:pPr>
            <w:proofErr w:type="gramStart"/>
            <w:r>
              <w:rPr>
                <w:rStyle w:val="ad"/>
                <w:rFonts w:asciiTheme="minorEastAsia" w:eastAsiaTheme="minorEastAsia" w:hAnsiTheme="minorEastAsia" w:cs="Helvetica" w:hint="eastAsia"/>
                <w:b w:val="0"/>
                <w:spacing w:val="15"/>
                <w:sz w:val="28"/>
                <w:szCs w:val="28"/>
              </w:rPr>
              <w:t>药品网售领域</w:t>
            </w:r>
            <w:proofErr w:type="gramEnd"/>
            <w:r>
              <w:rPr>
                <w:rStyle w:val="ad"/>
                <w:rFonts w:asciiTheme="minorEastAsia" w:eastAsiaTheme="minorEastAsia" w:hAnsiTheme="minorEastAsia" w:cs="Helvetica" w:hint="eastAsia"/>
                <w:b w:val="0"/>
                <w:spacing w:val="15"/>
                <w:sz w:val="28"/>
                <w:szCs w:val="28"/>
              </w:rPr>
              <w:t>或迎大考，也即将迎来其高质量发展的黄金时代；</w:t>
            </w:r>
          </w:p>
          <w:p w14:paraId="3D7AF07A" w14:textId="77777777" w:rsidR="003F5F97" w:rsidRDefault="00000000">
            <w:pPr>
              <w:widowControl/>
              <w:numPr>
                <w:ilvl w:val="0"/>
                <w:numId w:val="2"/>
              </w:numPr>
              <w:shd w:val="clear" w:color="auto" w:fill="FFFFFF"/>
              <w:spacing w:after="190"/>
              <w:ind w:firstLineChars="200" w:firstLine="620"/>
              <w:outlineLvl w:val="1"/>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疫情加速了药品销售市场规模从线下到线上的迁移；</w:t>
            </w:r>
          </w:p>
          <w:p w14:paraId="306852E9" w14:textId="77777777" w:rsidR="003F5F97" w:rsidRDefault="00000000">
            <w:pPr>
              <w:widowControl/>
              <w:numPr>
                <w:ilvl w:val="0"/>
                <w:numId w:val="2"/>
              </w:numPr>
              <w:shd w:val="clear" w:color="auto" w:fill="FFFFFF"/>
              <w:spacing w:after="190"/>
              <w:ind w:firstLineChars="200" w:firstLine="620"/>
              <w:outlineLvl w:val="1"/>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O2O作为满足急性需求的渠道，连锁和工业需要为患者购药时共建更为短平快的链路；</w:t>
            </w:r>
          </w:p>
          <w:p w14:paraId="2D417F46" w14:textId="77777777" w:rsidR="003F5F97" w:rsidRDefault="00000000">
            <w:pPr>
              <w:widowControl/>
              <w:numPr>
                <w:ilvl w:val="0"/>
                <w:numId w:val="2"/>
              </w:numPr>
              <w:shd w:val="clear" w:color="auto" w:fill="FFFFFF"/>
              <w:spacing w:after="190"/>
              <w:ind w:firstLineChars="200" w:firstLine="620"/>
              <w:outlineLvl w:val="1"/>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B2C渠道成为家庭一站式综合购药核心渠道之一的市场趋势不可小觑。</w:t>
            </w:r>
          </w:p>
          <w:p w14:paraId="44BC76F9" w14:textId="77777777" w:rsidR="003F5F97" w:rsidRDefault="00000000">
            <w:pPr>
              <w:widowControl/>
              <w:shd w:val="clear" w:color="auto" w:fill="FFFFFF"/>
              <w:spacing w:after="190"/>
              <w:outlineLvl w:val="1"/>
              <w:rPr>
                <w:rFonts w:asciiTheme="minorEastAsia" w:hAnsiTheme="minorEastAsia"/>
                <w:sz w:val="28"/>
                <w:szCs w:val="28"/>
                <w:shd w:val="clear" w:color="auto" w:fill="FFFFFF"/>
              </w:rPr>
            </w:pPr>
            <w:r>
              <w:rPr>
                <w:rFonts w:hint="eastAsia"/>
              </w:rPr>
              <w:t>附件</w:t>
            </w:r>
            <w:r>
              <w:rPr>
                <w:rFonts w:hint="eastAsia"/>
              </w:rPr>
              <w:t>2</w:t>
            </w:r>
            <w:r>
              <w:rPr>
                <w:rFonts w:hint="eastAsia"/>
              </w:rPr>
              <w:t>：中康</w:t>
            </w:r>
            <w:r>
              <w:rPr>
                <w:rFonts w:hint="eastAsia"/>
              </w:rPr>
              <w:t>CMH</w:t>
            </w:r>
            <w:r>
              <w:rPr>
                <w:rFonts w:hint="eastAsia"/>
              </w:rPr>
              <w:t>《</w:t>
            </w:r>
            <w:r>
              <w:rPr>
                <w:rFonts w:hint="eastAsia"/>
              </w:rPr>
              <w:t>2022</w:t>
            </w:r>
            <w:r>
              <w:rPr>
                <w:rFonts w:hint="eastAsia"/>
              </w:rPr>
              <w:t>中国药品市场全域零售报告》发布</w:t>
            </w:r>
          </w:p>
        </w:tc>
      </w:tr>
    </w:tbl>
    <w:tbl>
      <w:tblPr>
        <w:tblStyle w:val="ac"/>
        <w:tblpPr w:leftFromText="180" w:rightFromText="180" w:vertAnchor="text" w:horzAnchor="margin" w:tblpXSpec="center" w:tblpY="347"/>
        <w:tblW w:w="9039" w:type="dxa"/>
        <w:tblLayout w:type="fixed"/>
        <w:tblLook w:val="04A0" w:firstRow="1" w:lastRow="0" w:firstColumn="1" w:lastColumn="0" w:noHBand="0" w:noVBand="1"/>
      </w:tblPr>
      <w:tblGrid>
        <w:gridCol w:w="2088"/>
        <w:gridCol w:w="2341"/>
        <w:gridCol w:w="2341"/>
        <w:gridCol w:w="2269"/>
      </w:tblGrid>
      <w:tr w:rsidR="003F5F97" w14:paraId="52E0DFCB" w14:textId="77777777">
        <w:trPr>
          <w:trHeight w:val="841"/>
        </w:trPr>
        <w:tc>
          <w:tcPr>
            <w:tcW w:w="2088" w:type="dxa"/>
            <w:vAlign w:val="center"/>
          </w:tcPr>
          <w:p w14:paraId="12764ADD" w14:textId="77777777" w:rsidR="003F5F97"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03</w:t>
            </w:r>
          </w:p>
        </w:tc>
        <w:tc>
          <w:tcPr>
            <w:tcW w:w="6951" w:type="dxa"/>
            <w:gridSpan w:val="3"/>
            <w:vAlign w:val="center"/>
          </w:tcPr>
          <w:p w14:paraId="5F22BE06" w14:textId="77777777" w:rsidR="003F5F97" w:rsidRDefault="00000000">
            <w:pPr>
              <w:widowControl/>
              <w:shd w:val="clear" w:color="auto" w:fill="FFFFFF"/>
              <w:spacing w:after="210"/>
              <w:jc w:val="left"/>
              <w:outlineLvl w:val="1"/>
              <w:rPr>
                <w:b/>
                <w:bCs/>
                <w:sz w:val="32"/>
                <w:szCs w:val="32"/>
              </w:rPr>
            </w:pPr>
            <w:r>
              <w:rPr>
                <w:rFonts w:asciiTheme="minorEastAsia" w:eastAsiaTheme="minorEastAsia" w:hAnsiTheme="minorEastAsia" w:hint="eastAsia"/>
                <w:b/>
                <w:sz w:val="36"/>
                <w:szCs w:val="36"/>
              </w:rPr>
              <w:t>工信部中国医药工业百强</w:t>
            </w:r>
            <w:proofErr w:type="gramStart"/>
            <w:r>
              <w:rPr>
                <w:rFonts w:asciiTheme="minorEastAsia" w:eastAsiaTheme="minorEastAsia" w:hAnsiTheme="minorEastAsia" w:hint="eastAsia"/>
                <w:b/>
                <w:sz w:val="36"/>
                <w:szCs w:val="36"/>
              </w:rPr>
              <w:t>榜发布</w:t>
            </w:r>
            <w:proofErr w:type="gramEnd"/>
          </w:p>
        </w:tc>
      </w:tr>
      <w:tr w:rsidR="003F5F97" w14:paraId="4EAEDB86" w14:textId="77777777">
        <w:trPr>
          <w:trHeight w:val="838"/>
        </w:trPr>
        <w:tc>
          <w:tcPr>
            <w:tcW w:w="2088" w:type="dxa"/>
            <w:vAlign w:val="center"/>
          </w:tcPr>
          <w:p w14:paraId="17F65301" w14:textId="77777777" w:rsidR="003F5F97" w:rsidRDefault="00000000">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14:paraId="5FDB0230" w14:textId="77777777" w:rsidR="003F5F97" w:rsidRDefault="00000000">
            <w:pPr>
              <w:tabs>
                <w:tab w:val="left" w:pos="7088"/>
              </w:tabs>
              <w:jc w:val="center"/>
              <w:rPr>
                <w:rFonts w:asciiTheme="minorEastAsia" w:eastAsiaTheme="minorEastAsia" w:hAnsiTheme="minorEastAsia"/>
                <w:sz w:val="30"/>
                <w:szCs w:val="30"/>
              </w:rPr>
            </w:pPr>
            <w:r>
              <w:rPr>
                <w:rFonts w:asciiTheme="minorEastAsia" w:eastAsiaTheme="minorEastAsia" w:hAnsiTheme="minorEastAsia"/>
                <w:sz w:val="30"/>
                <w:szCs w:val="30"/>
              </w:rPr>
              <w:t>202</w:t>
            </w:r>
            <w:r>
              <w:rPr>
                <w:rFonts w:asciiTheme="minorEastAsia" w:eastAsiaTheme="minorEastAsia" w:hAnsiTheme="minorEastAsia" w:hint="eastAsia"/>
                <w:sz w:val="30"/>
                <w:szCs w:val="30"/>
              </w:rPr>
              <w:t>2</w:t>
            </w:r>
            <w:r>
              <w:rPr>
                <w:rFonts w:asciiTheme="minorEastAsia" w:eastAsiaTheme="minorEastAsia" w:hAnsiTheme="minorEastAsia"/>
                <w:sz w:val="30"/>
                <w:szCs w:val="30"/>
              </w:rPr>
              <w:t>-</w:t>
            </w:r>
            <w:r>
              <w:rPr>
                <w:rFonts w:asciiTheme="minorEastAsia" w:eastAsiaTheme="minorEastAsia" w:hAnsiTheme="minorEastAsia" w:hint="eastAsia"/>
                <w:sz w:val="30"/>
                <w:szCs w:val="30"/>
              </w:rPr>
              <w:t>12</w:t>
            </w:r>
            <w:r>
              <w:rPr>
                <w:rFonts w:asciiTheme="minorEastAsia" w:eastAsiaTheme="minorEastAsia" w:hAnsiTheme="minorEastAsia"/>
                <w:sz w:val="30"/>
                <w:szCs w:val="30"/>
              </w:rPr>
              <w:t>-</w:t>
            </w:r>
            <w:r>
              <w:rPr>
                <w:rFonts w:asciiTheme="minorEastAsia" w:eastAsiaTheme="minorEastAsia" w:hAnsiTheme="minorEastAsia" w:hint="eastAsia"/>
                <w:sz w:val="30"/>
                <w:szCs w:val="30"/>
              </w:rPr>
              <w:t>18</w:t>
            </w:r>
          </w:p>
        </w:tc>
        <w:tc>
          <w:tcPr>
            <w:tcW w:w="2341" w:type="dxa"/>
            <w:vAlign w:val="center"/>
          </w:tcPr>
          <w:p w14:paraId="6FEFC772" w14:textId="77777777" w:rsidR="003F5F97" w:rsidRDefault="00000000">
            <w:pPr>
              <w:tabs>
                <w:tab w:val="left" w:pos="7088"/>
              </w:tabs>
              <w:jc w:val="center"/>
              <w:rPr>
                <w:b/>
                <w:sz w:val="30"/>
                <w:szCs w:val="30"/>
              </w:rPr>
            </w:pPr>
            <w:r>
              <w:rPr>
                <w:rFonts w:hint="eastAsia"/>
                <w:b/>
                <w:sz w:val="30"/>
                <w:szCs w:val="30"/>
              </w:rPr>
              <w:t>信息来源</w:t>
            </w:r>
          </w:p>
        </w:tc>
        <w:tc>
          <w:tcPr>
            <w:tcW w:w="2269" w:type="dxa"/>
            <w:vAlign w:val="center"/>
          </w:tcPr>
          <w:p w14:paraId="5CC362B7" w14:textId="77777777" w:rsidR="003F5F97" w:rsidRDefault="00000000">
            <w:pPr>
              <w:tabs>
                <w:tab w:val="left" w:pos="7088"/>
              </w:tabs>
              <w:jc w:val="center"/>
              <w:rPr>
                <w:sz w:val="28"/>
                <w:szCs w:val="28"/>
              </w:rPr>
            </w:pPr>
            <w:proofErr w:type="gramStart"/>
            <w:r>
              <w:rPr>
                <w:rFonts w:hint="eastAsia"/>
                <w:sz w:val="28"/>
                <w:szCs w:val="28"/>
              </w:rPr>
              <w:t>赛柏蓝</w:t>
            </w:r>
            <w:proofErr w:type="gramEnd"/>
          </w:p>
        </w:tc>
      </w:tr>
      <w:tr w:rsidR="003F5F97" w14:paraId="52291EE8" w14:textId="77777777">
        <w:trPr>
          <w:trHeight w:val="850"/>
        </w:trPr>
        <w:tc>
          <w:tcPr>
            <w:tcW w:w="2088" w:type="dxa"/>
            <w:vAlign w:val="center"/>
          </w:tcPr>
          <w:p w14:paraId="252883BD" w14:textId="77777777" w:rsidR="003F5F97" w:rsidRDefault="00000000">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14:paraId="1E52BE42" w14:textId="77777777" w:rsidR="003F5F97" w:rsidRDefault="00000000">
            <w:pPr>
              <w:tabs>
                <w:tab w:val="left" w:pos="7088"/>
              </w:tabs>
              <w:jc w:val="center"/>
              <w:rPr>
                <w:sz w:val="30"/>
                <w:szCs w:val="30"/>
              </w:rPr>
            </w:pPr>
            <w:r>
              <w:rPr>
                <w:rFonts w:hint="eastAsia"/>
                <w:sz w:val="28"/>
                <w:szCs w:val="28"/>
              </w:rPr>
              <w:t>运营管理部</w:t>
            </w:r>
          </w:p>
        </w:tc>
        <w:tc>
          <w:tcPr>
            <w:tcW w:w="2341" w:type="dxa"/>
            <w:vAlign w:val="center"/>
          </w:tcPr>
          <w:p w14:paraId="6759A039" w14:textId="77777777" w:rsidR="003F5F97" w:rsidRDefault="00000000">
            <w:pPr>
              <w:tabs>
                <w:tab w:val="left" w:pos="7088"/>
              </w:tabs>
              <w:jc w:val="center"/>
              <w:rPr>
                <w:b/>
                <w:sz w:val="30"/>
                <w:szCs w:val="30"/>
              </w:rPr>
            </w:pPr>
            <w:r>
              <w:rPr>
                <w:rFonts w:hint="eastAsia"/>
                <w:b/>
                <w:sz w:val="30"/>
                <w:szCs w:val="30"/>
              </w:rPr>
              <w:t>信息确认</w:t>
            </w:r>
          </w:p>
        </w:tc>
        <w:tc>
          <w:tcPr>
            <w:tcW w:w="2269" w:type="dxa"/>
            <w:vAlign w:val="center"/>
          </w:tcPr>
          <w:p w14:paraId="74649806" w14:textId="77777777" w:rsidR="003F5F97" w:rsidRDefault="00000000">
            <w:pPr>
              <w:tabs>
                <w:tab w:val="left" w:pos="7088"/>
              </w:tabs>
              <w:jc w:val="center"/>
              <w:rPr>
                <w:sz w:val="30"/>
                <w:szCs w:val="30"/>
              </w:rPr>
            </w:pPr>
            <w:r>
              <w:rPr>
                <w:rFonts w:hint="eastAsia"/>
                <w:sz w:val="30"/>
                <w:szCs w:val="30"/>
              </w:rPr>
              <w:t>彭宇飞</w:t>
            </w:r>
          </w:p>
        </w:tc>
      </w:tr>
      <w:tr w:rsidR="003F5F97" w14:paraId="272068B7" w14:textId="77777777">
        <w:trPr>
          <w:trHeight w:val="912"/>
        </w:trPr>
        <w:tc>
          <w:tcPr>
            <w:tcW w:w="2088" w:type="dxa"/>
            <w:tcBorders>
              <w:bottom w:val="single" w:sz="4" w:space="0" w:color="auto"/>
            </w:tcBorders>
            <w:vAlign w:val="center"/>
          </w:tcPr>
          <w:p w14:paraId="0E938685" w14:textId="77777777" w:rsidR="003F5F97" w:rsidRDefault="00000000">
            <w:pPr>
              <w:tabs>
                <w:tab w:val="left" w:pos="7088"/>
              </w:tabs>
              <w:ind w:firstLineChars="150" w:firstLine="452"/>
              <w:rPr>
                <w:b/>
                <w:sz w:val="30"/>
                <w:szCs w:val="30"/>
              </w:rPr>
            </w:pPr>
            <w:r>
              <w:rPr>
                <w:rFonts w:hint="eastAsia"/>
                <w:b/>
                <w:sz w:val="30"/>
                <w:szCs w:val="30"/>
              </w:rPr>
              <w:t>确认</w:t>
            </w:r>
            <w:r>
              <w:rPr>
                <w:b/>
                <w:sz w:val="30"/>
                <w:szCs w:val="30"/>
              </w:rPr>
              <w:t>结果</w:t>
            </w:r>
          </w:p>
        </w:tc>
        <w:tc>
          <w:tcPr>
            <w:tcW w:w="6951" w:type="dxa"/>
            <w:gridSpan w:val="3"/>
            <w:tcBorders>
              <w:bottom w:val="single" w:sz="4" w:space="0" w:color="auto"/>
            </w:tcBorders>
            <w:vAlign w:val="center"/>
          </w:tcPr>
          <w:p w14:paraId="4C9C66CB" w14:textId="77777777" w:rsidR="003F5F97" w:rsidRDefault="00000000">
            <w:pPr>
              <w:tabs>
                <w:tab w:val="left" w:pos="7088"/>
              </w:tabs>
              <w:jc w:val="left"/>
              <w:rPr>
                <w:sz w:val="28"/>
                <w:szCs w:val="28"/>
              </w:rPr>
            </w:pPr>
            <w:r>
              <w:rPr>
                <w:rFonts w:hint="eastAsia"/>
                <w:sz w:val="28"/>
                <w:szCs w:val="28"/>
              </w:rPr>
              <w:t>来源：</w:t>
            </w:r>
            <w:proofErr w:type="gramStart"/>
            <w:r>
              <w:rPr>
                <w:rFonts w:hint="eastAsia"/>
                <w:sz w:val="28"/>
                <w:szCs w:val="28"/>
              </w:rPr>
              <w:t>赛柏蓝</w:t>
            </w:r>
            <w:proofErr w:type="gramEnd"/>
          </w:p>
        </w:tc>
      </w:tr>
      <w:tr w:rsidR="003F5F97" w14:paraId="69CE66B5" w14:textId="77777777">
        <w:trPr>
          <w:trHeight w:val="945"/>
        </w:trPr>
        <w:tc>
          <w:tcPr>
            <w:tcW w:w="2088" w:type="dxa"/>
            <w:tcBorders>
              <w:top w:val="single" w:sz="4" w:space="0" w:color="auto"/>
            </w:tcBorders>
            <w:vAlign w:val="center"/>
          </w:tcPr>
          <w:p w14:paraId="215E0EB2" w14:textId="77777777" w:rsidR="003F5F97" w:rsidRDefault="00000000">
            <w:pPr>
              <w:tabs>
                <w:tab w:val="left" w:pos="7088"/>
              </w:tabs>
              <w:jc w:val="center"/>
              <w:rPr>
                <w:b/>
                <w:sz w:val="30"/>
                <w:szCs w:val="30"/>
              </w:rPr>
            </w:pPr>
            <w:r>
              <w:rPr>
                <w:rFonts w:hint="eastAsia"/>
                <w:b/>
                <w:sz w:val="30"/>
                <w:szCs w:val="30"/>
              </w:rPr>
              <w:t>关键词</w:t>
            </w:r>
          </w:p>
        </w:tc>
        <w:tc>
          <w:tcPr>
            <w:tcW w:w="6951" w:type="dxa"/>
            <w:gridSpan w:val="3"/>
            <w:tcBorders>
              <w:top w:val="single" w:sz="4" w:space="0" w:color="auto"/>
            </w:tcBorders>
            <w:vAlign w:val="center"/>
          </w:tcPr>
          <w:p w14:paraId="306690D1" w14:textId="77777777" w:rsidR="003F5F97" w:rsidRDefault="00000000">
            <w:pPr>
              <w:tabs>
                <w:tab w:val="left" w:pos="7088"/>
              </w:tabs>
              <w:jc w:val="left"/>
              <w:rPr>
                <w:rFonts w:asciiTheme="majorEastAsia" w:eastAsiaTheme="majorEastAsia" w:hAnsiTheme="majorEastAsia" w:cs="宋体"/>
                <w:kern w:val="0"/>
                <w:sz w:val="30"/>
                <w:szCs w:val="30"/>
              </w:rPr>
            </w:pPr>
            <w:r>
              <w:rPr>
                <w:rFonts w:asciiTheme="majorEastAsia" w:eastAsiaTheme="majorEastAsia" w:hAnsiTheme="majorEastAsia" w:cs="宋体" w:hint="eastAsia"/>
                <w:kern w:val="0"/>
                <w:sz w:val="30"/>
                <w:szCs w:val="30"/>
              </w:rPr>
              <w:t>医药  工业  百强</w:t>
            </w:r>
          </w:p>
        </w:tc>
      </w:tr>
      <w:tr w:rsidR="003F5F97" w14:paraId="35DF78FA" w14:textId="77777777">
        <w:trPr>
          <w:trHeight w:val="3076"/>
        </w:trPr>
        <w:tc>
          <w:tcPr>
            <w:tcW w:w="2088" w:type="dxa"/>
            <w:vAlign w:val="center"/>
          </w:tcPr>
          <w:p w14:paraId="2E472438" w14:textId="77777777" w:rsidR="003F5F97" w:rsidRDefault="00000000">
            <w:pPr>
              <w:tabs>
                <w:tab w:val="left" w:pos="7088"/>
              </w:tabs>
              <w:jc w:val="center"/>
              <w:rPr>
                <w:b/>
                <w:sz w:val="30"/>
                <w:szCs w:val="30"/>
              </w:rPr>
            </w:pPr>
            <w:r>
              <w:rPr>
                <w:b/>
                <w:sz w:val="30"/>
                <w:szCs w:val="30"/>
              </w:rPr>
              <w:t>内容概要</w:t>
            </w:r>
          </w:p>
        </w:tc>
        <w:tc>
          <w:tcPr>
            <w:tcW w:w="6951" w:type="dxa"/>
            <w:gridSpan w:val="3"/>
            <w:vAlign w:val="center"/>
          </w:tcPr>
          <w:p w14:paraId="7A45327C" w14:textId="77777777" w:rsidR="003F5F97" w:rsidRDefault="003F5F97">
            <w:pPr>
              <w:rPr>
                <w:rFonts w:asciiTheme="minorEastAsia" w:hAnsiTheme="minorEastAsia"/>
                <w:sz w:val="28"/>
                <w:szCs w:val="28"/>
              </w:rPr>
            </w:pPr>
          </w:p>
          <w:p w14:paraId="4BAEBD73" w14:textId="77777777" w:rsidR="003F5F97" w:rsidRDefault="003F5F97">
            <w:pPr>
              <w:rPr>
                <w:rFonts w:asciiTheme="minorEastAsia" w:hAnsiTheme="minorEastAsia"/>
                <w:sz w:val="28"/>
                <w:szCs w:val="28"/>
              </w:rPr>
            </w:pPr>
          </w:p>
          <w:p w14:paraId="09A6CF1B" w14:textId="77777777" w:rsidR="003F5F97" w:rsidRDefault="003F5F97">
            <w:pPr>
              <w:rPr>
                <w:rFonts w:asciiTheme="minorEastAsia" w:hAnsiTheme="minorEastAsia"/>
                <w:sz w:val="28"/>
                <w:szCs w:val="28"/>
              </w:rPr>
            </w:pPr>
          </w:p>
          <w:p w14:paraId="5F63E89E" w14:textId="77777777" w:rsidR="003F5F97" w:rsidRDefault="00000000">
            <w:pPr>
              <w:numPr>
                <w:ilvl w:val="0"/>
                <w:numId w:val="3"/>
              </w:numPr>
              <w:spacing w:line="480" w:lineRule="auto"/>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工信部2021年中国医药工业百强榜发布</w:t>
            </w:r>
          </w:p>
          <w:p w14:paraId="16DFDCE1" w14:textId="77777777" w:rsidR="003F5F97" w:rsidRDefault="00000000">
            <w:pPr>
              <w:numPr>
                <w:ilvl w:val="0"/>
                <w:numId w:val="3"/>
              </w:numPr>
              <w:spacing w:line="480" w:lineRule="auto"/>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营</w:t>
            </w:r>
            <w:proofErr w:type="gramStart"/>
            <w:r>
              <w:rPr>
                <w:rFonts w:asciiTheme="minorEastAsia" w:eastAsiaTheme="minorEastAsia" w:hAnsiTheme="minorEastAsia" w:cs="宋体" w:hint="eastAsia"/>
                <w:kern w:val="0"/>
                <w:sz w:val="28"/>
                <w:szCs w:val="28"/>
              </w:rPr>
              <w:t>收规模</w:t>
            </w:r>
            <w:proofErr w:type="gramEnd"/>
            <w:r>
              <w:rPr>
                <w:rFonts w:asciiTheme="minorEastAsia" w:eastAsiaTheme="minorEastAsia" w:hAnsiTheme="minorEastAsia" w:cs="宋体" w:hint="eastAsia"/>
                <w:kern w:val="0"/>
                <w:sz w:val="28"/>
                <w:szCs w:val="28"/>
              </w:rPr>
              <w:t>首破万亿 百强企业门槛升高</w:t>
            </w:r>
          </w:p>
          <w:p w14:paraId="2529514C" w14:textId="77777777" w:rsidR="003F5F97" w:rsidRDefault="003F5F97">
            <w:pPr>
              <w:spacing w:line="480" w:lineRule="auto"/>
              <w:rPr>
                <w:rFonts w:asciiTheme="minorEastAsia" w:eastAsiaTheme="minorEastAsia" w:hAnsiTheme="minorEastAsia" w:cs="宋体"/>
                <w:kern w:val="0"/>
                <w:sz w:val="28"/>
                <w:szCs w:val="28"/>
              </w:rPr>
            </w:pPr>
          </w:p>
          <w:p w14:paraId="3D2094DF" w14:textId="77777777" w:rsidR="003F5F97" w:rsidRDefault="003F5F97">
            <w:pPr>
              <w:spacing w:line="480" w:lineRule="auto"/>
              <w:rPr>
                <w:rFonts w:asciiTheme="minorEastAsia" w:eastAsiaTheme="minorEastAsia" w:hAnsiTheme="minorEastAsia" w:cs="宋体"/>
                <w:kern w:val="0"/>
                <w:sz w:val="28"/>
                <w:szCs w:val="28"/>
              </w:rPr>
            </w:pPr>
          </w:p>
          <w:p w14:paraId="25FBF4B2" w14:textId="77777777" w:rsidR="003F5F97" w:rsidRDefault="003F5F97">
            <w:pPr>
              <w:spacing w:line="480" w:lineRule="auto"/>
              <w:rPr>
                <w:rFonts w:asciiTheme="minorEastAsia" w:eastAsiaTheme="minorEastAsia" w:hAnsiTheme="minorEastAsia" w:cs="宋体"/>
                <w:kern w:val="0"/>
                <w:sz w:val="28"/>
                <w:szCs w:val="28"/>
              </w:rPr>
            </w:pPr>
          </w:p>
          <w:p w14:paraId="4DE727A8" w14:textId="77777777" w:rsidR="003F5F97" w:rsidRDefault="003F5F97">
            <w:pPr>
              <w:spacing w:line="480" w:lineRule="auto"/>
              <w:rPr>
                <w:rFonts w:asciiTheme="minorEastAsia" w:eastAsiaTheme="minorEastAsia" w:hAnsiTheme="minorEastAsia" w:cs="宋体"/>
                <w:kern w:val="0"/>
                <w:sz w:val="28"/>
                <w:szCs w:val="28"/>
              </w:rPr>
            </w:pPr>
          </w:p>
          <w:p w14:paraId="37E92D73" w14:textId="77777777" w:rsidR="003F5F97" w:rsidRDefault="003F5F97">
            <w:pPr>
              <w:spacing w:line="480" w:lineRule="auto"/>
              <w:rPr>
                <w:rFonts w:asciiTheme="minorEastAsia" w:eastAsiaTheme="minorEastAsia" w:hAnsiTheme="minorEastAsia" w:cs="宋体"/>
                <w:kern w:val="0"/>
                <w:sz w:val="28"/>
                <w:szCs w:val="28"/>
              </w:rPr>
            </w:pPr>
          </w:p>
          <w:p w14:paraId="07817151" w14:textId="77777777" w:rsidR="003F5F97" w:rsidRDefault="003F5F97">
            <w:pPr>
              <w:spacing w:line="480" w:lineRule="auto"/>
              <w:rPr>
                <w:rFonts w:asciiTheme="minorEastAsia" w:eastAsiaTheme="minorEastAsia" w:hAnsiTheme="minorEastAsia" w:cs="宋体"/>
                <w:kern w:val="0"/>
                <w:sz w:val="28"/>
                <w:szCs w:val="28"/>
              </w:rPr>
            </w:pPr>
          </w:p>
          <w:p w14:paraId="0BE4F06B" w14:textId="77777777" w:rsidR="003F5F97" w:rsidRDefault="003F5F97">
            <w:pPr>
              <w:spacing w:line="480" w:lineRule="auto"/>
              <w:rPr>
                <w:rFonts w:asciiTheme="minorEastAsia" w:eastAsiaTheme="minorEastAsia" w:hAnsiTheme="minorEastAsia" w:cs="宋体"/>
                <w:kern w:val="0"/>
                <w:sz w:val="28"/>
                <w:szCs w:val="28"/>
              </w:rPr>
            </w:pPr>
          </w:p>
          <w:p w14:paraId="68E7F0FD" w14:textId="77777777" w:rsidR="003F5F97" w:rsidRDefault="003F5F97">
            <w:pPr>
              <w:spacing w:line="480" w:lineRule="auto"/>
              <w:rPr>
                <w:rFonts w:asciiTheme="minorEastAsia" w:eastAsiaTheme="minorEastAsia" w:hAnsiTheme="minorEastAsia" w:cs="宋体"/>
                <w:kern w:val="0"/>
                <w:szCs w:val="21"/>
              </w:rPr>
            </w:pPr>
          </w:p>
          <w:p w14:paraId="25151BFD" w14:textId="77777777" w:rsidR="003F5F97" w:rsidRDefault="00000000">
            <w:pPr>
              <w:spacing w:line="400" w:lineRule="exact"/>
              <w:rPr>
                <w:b/>
                <w:sz w:val="32"/>
                <w:szCs w:val="32"/>
              </w:rPr>
            </w:pPr>
            <w:r>
              <w:rPr>
                <w:rFonts w:ascii="宋体" w:hAnsi="宋体" w:cs="宋体" w:hint="eastAsia"/>
                <w:kern w:val="0"/>
                <w:szCs w:val="21"/>
              </w:rPr>
              <w:t>附件3:</w:t>
            </w:r>
            <w:r>
              <w:rPr>
                <w:rFonts w:ascii="宋体" w:hAnsi="宋体" w:cs="宋体" w:hint="eastAsia"/>
                <w:b/>
                <w:kern w:val="0"/>
                <w:szCs w:val="21"/>
              </w:rPr>
              <w:t xml:space="preserve"> </w:t>
            </w:r>
            <w:r>
              <w:rPr>
                <w:rFonts w:hint="eastAsia"/>
              </w:rPr>
              <w:t>工信部中国医药工业百强</w:t>
            </w:r>
            <w:proofErr w:type="gramStart"/>
            <w:r>
              <w:rPr>
                <w:rFonts w:hint="eastAsia"/>
              </w:rPr>
              <w:t>榜发布</w:t>
            </w:r>
            <w:proofErr w:type="gramEnd"/>
          </w:p>
        </w:tc>
      </w:tr>
      <w:tr w:rsidR="003F5F97" w14:paraId="13E5539A" w14:textId="77777777">
        <w:trPr>
          <w:trHeight w:val="841"/>
        </w:trPr>
        <w:tc>
          <w:tcPr>
            <w:tcW w:w="2088" w:type="dxa"/>
            <w:vAlign w:val="center"/>
          </w:tcPr>
          <w:p w14:paraId="5930CDE9" w14:textId="77777777" w:rsidR="003F5F97"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04</w:t>
            </w:r>
          </w:p>
        </w:tc>
        <w:tc>
          <w:tcPr>
            <w:tcW w:w="6951" w:type="dxa"/>
            <w:gridSpan w:val="3"/>
            <w:vAlign w:val="center"/>
          </w:tcPr>
          <w:p w14:paraId="40583B3C" w14:textId="77777777" w:rsidR="003F5F97" w:rsidRDefault="00000000">
            <w:pPr>
              <w:widowControl/>
              <w:shd w:val="clear" w:color="auto" w:fill="FFFFFF"/>
              <w:spacing w:after="210"/>
              <w:jc w:val="left"/>
              <w:outlineLvl w:val="1"/>
              <w:rPr>
                <w:b/>
                <w:bCs/>
                <w:sz w:val="32"/>
                <w:szCs w:val="32"/>
              </w:rPr>
            </w:pPr>
            <w:proofErr w:type="gramStart"/>
            <w:r>
              <w:rPr>
                <w:rFonts w:asciiTheme="minorEastAsia" w:eastAsiaTheme="minorEastAsia" w:hAnsiTheme="minorEastAsia" w:hint="eastAsia"/>
                <w:b/>
                <w:sz w:val="36"/>
                <w:szCs w:val="36"/>
              </w:rPr>
              <w:t>益丰公布</w:t>
            </w:r>
            <w:proofErr w:type="gramEnd"/>
            <w:r>
              <w:rPr>
                <w:rFonts w:asciiTheme="minorEastAsia" w:eastAsiaTheme="minorEastAsia" w:hAnsiTheme="minorEastAsia" w:hint="eastAsia"/>
                <w:b/>
                <w:sz w:val="36"/>
                <w:szCs w:val="36"/>
              </w:rPr>
              <w:t>详细开店计划</w:t>
            </w:r>
          </w:p>
        </w:tc>
      </w:tr>
      <w:tr w:rsidR="003F5F97" w14:paraId="7B6344B8" w14:textId="77777777">
        <w:trPr>
          <w:trHeight w:val="838"/>
        </w:trPr>
        <w:tc>
          <w:tcPr>
            <w:tcW w:w="2088" w:type="dxa"/>
            <w:vAlign w:val="center"/>
          </w:tcPr>
          <w:p w14:paraId="5FC4F683" w14:textId="77777777" w:rsidR="003F5F97" w:rsidRDefault="00000000">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14:paraId="2231E8F1" w14:textId="77777777" w:rsidR="003F5F97" w:rsidRDefault="00000000">
            <w:pPr>
              <w:tabs>
                <w:tab w:val="left" w:pos="7088"/>
              </w:tabs>
              <w:jc w:val="center"/>
              <w:rPr>
                <w:rFonts w:asciiTheme="minorEastAsia" w:eastAsiaTheme="minorEastAsia" w:hAnsiTheme="minorEastAsia"/>
                <w:sz w:val="30"/>
                <w:szCs w:val="30"/>
              </w:rPr>
            </w:pPr>
            <w:r>
              <w:rPr>
                <w:rFonts w:asciiTheme="minorEastAsia" w:eastAsiaTheme="minorEastAsia" w:hAnsiTheme="minorEastAsia"/>
                <w:sz w:val="30"/>
                <w:szCs w:val="30"/>
              </w:rPr>
              <w:t>202</w:t>
            </w:r>
            <w:r>
              <w:rPr>
                <w:rFonts w:asciiTheme="minorEastAsia" w:eastAsiaTheme="minorEastAsia" w:hAnsiTheme="minorEastAsia" w:hint="eastAsia"/>
                <w:sz w:val="30"/>
                <w:szCs w:val="30"/>
              </w:rPr>
              <w:t>2</w:t>
            </w:r>
            <w:r>
              <w:rPr>
                <w:rFonts w:asciiTheme="minorEastAsia" w:eastAsiaTheme="minorEastAsia" w:hAnsiTheme="minorEastAsia"/>
                <w:sz w:val="30"/>
                <w:szCs w:val="30"/>
              </w:rPr>
              <w:t>-</w:t>
            </w:r>
            <w:r>
              <w:rPr>
                <w:rFonts w:asciiTheme="minorEastAsia" w:eastAsiaTheme="minorEastAsia" w:hAnsiTheme="minorEastAsia" w:hint="eastAsia"/>
                <w:sz w:val="30"/>
                <w:szCs w:val="30"/>
              </w:rPr>
              <w:t>12</w:t>
            </w:r>
            <w:r>
              <w:rPr>
                <w:rFonts w:asciiTheme="minorEastAsia" w:eastAsiaTheme="minorEastAsia" w:hAnsiTheme="minorEastAsia"/>
                <w:sz w:val="30"/>
                <w:szCs w:val="30"/>
              </w:rPr>
              <w:t>-</w:t>
            </w:r>
            <w:r>
              <w:rPr>
                <w:rFonts w:asciiTheme="minorEastAsia" w:eastAsiaTheme="minorEastAsia" w:hAnsiTheme="minorEastAsia" w:hint="eastAsia"/>
                <w:sz w:val="30"/>
                <w:szCs w:val="30"/>
              </w:rPr>
              <w:t>18</w:t>
            </w:r>
          </w:p>
        </w:tc>
        <w:tc>
          <w:tcPr>
            <w:tcW w:w="2341" w:type="dxa"/>
            <w:vAlign w:val="center"/>
          </w:tcPr>
          <w:p w14:paraId="6FC227DC" w14:textId="77777777" w:rsidR="003F5F97" w:rsidRDefault="00000000">
            <w:pPr>
              <w:tabs>
                <w:tab w:val="left" w:pos="7088"/>
              </w:tabs>
              <w:jc w:val="center"/>
              <w:rPr>
                <w:b/>
                <w:sz w:val="30"/>
                <w:szCs w:val="30"/>
              </w:rPr>
            </w:pPr>
            <w:r>
              <w:rPr>
                <w:rFonts w:hint="eastAsia"/>
                <w:b/>
                <w:sz w:val="30"/>
                <w:szCs w:val="30"/>
              </w:rPr>
              <w:t>信息来源</w:t>
            </w:r>
          </w:p>
        </w:tc>
        <w:tc>
          <w:tcPr>
            <w:tcW w:w="2269" w:type="dxa"/>
            <w:vAlign w:val="center"/>
          </w:tcPr>
          <w:p w14:paraId="0680199D" w14:textId="77777777" w:rsidR="003F5F97" w:rsidRDefault="00000000">
            <w:pPr>
              <w:tabs>
                <w:tab w:val="left" w:pos="7088"/>
              </w:tabs>
              <w:jc w:val="center"/>
              <w:rPr>
                <w:sz w:val="28"/>
                <w:szCs w:val="28"/>
              </w:rPr>
            </w:pPr>
            <w:r>
              <w:rPr>
                <w:rFonts w:hint="eastAsia"/>
                <w:sz w:val="28"/>
                <w:szCs w:val="28"/>
              </w:rPr>
              <w:t>第一</w:t>
            </w:r>
            <w:proofErr w:type="gramStart"/>
            <w:r>
              <w:rPr>
                <w:rFonts w:hint="eastAsia"/>
                <w:sz w:val="28"/>
                <w:szCs w:val="28"/>
              </w:rPr>
              <w:t>药店财智</w:t>
            </w:r>
            <w:proofErr w:type="gramEnd"/>
          </w:p>
        </w:tc>
      </w:tr>
      <w:tr w:rsidR="003F5F97" w14:paraId="21CDC32A" w14:textId="77777777">
        <w:trPr>
          <w:trHeight w:val="850"/>
        </w:trPr>
        <w:tc>
          <w:tcPr>
            <w:tcW w:w="2088" w:type="dxa"/>
            <w:vAlign w:val="center"/>
          </w:tcPr>
          <w:p w14:paraId="2A5038E3" w14:textId="77777777" w:rsidR="003F5F97" w:rsidRDefault="00000000">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14:paraId="62A3219F" w14:textId="77777777" w:rsidR="003F5F97" w:rsidRDefault="00000000">
            <w:pPr>
              <w:tabs>
                <w:tab w:val="left" w:pos="7088"/>
              </w:tabs>
              <w:jc w:val="center"/>
              <w:rPr>
                <w:sz w:val="30"/>
                <w:szCs w:val="30"/>
              </w:rPr>
            </w:pPr>
            <w:r>
              <w:rPr>
                <w:rFonts w:hint="eastAsia"/>
                <w:sz w:val="28"/>
                <w:szCs w:val="28"/>
              </w:rPr>
              <w:t>运营管理部</w:t>
            </w:r>
          </w:p>
        </w:tc>
        <w:tc>
          <w:tcPr>
            <w:tcW w:w="2341" w:type="dxa"/>
            <w:vAlign w:val="center"/>
          </w:tcPr>
          <w:p w14:paraId="274DC3B4" w14:textId="77777777" w:rsidR="003F5F97" w:rsidRDefault="00000000">
            <w:pPr>
              <w:tabs>
                <w:tab w:val="left" w:pos="7088"/>
              </w:tabs>
              <w:jc w:val="center"/>
              <w:rPr>
                <w:b/>
                <w:sz w:val="30"/>
                <w:szCs w:val="30"/>
              </w:rPr>
            </w:pPr>
            <w:r>
              <w:rPr>
                <w:rFonts w:hint="eastAsia"/>
                <w:b/>
                <w:sz w:val="30"/>
                <w:szCs w:val="30"/>
              </w:rPr>
              <w:t>信息确认</w:t>
            </w:r>
          </w:p>
        </w:tc>
        <w:tc>
          <w:tcPr>
            <w:tcW w:w="2269" w:type="dxa"/>
            <w:vAlign w:val="center"/>
          </w:tcPr>
          <w:p w14:paraId="6D599C4A" w14:textId="77777777" w:rsidR="003F5F97" w:rsidRDefault="00000000">
            <w:pPr>
              <w:tabs>
                <w:tab w:val="left" w:pos="7088"/>
              </w:tabs>
              <w:jc w:val="center"/>
              <w:rPr>
                <w:sz w:val="30"/>
                <w:szCs w:val="30"/>
              </w:rPr>
            </w:pPr>
            <w:r>
              <w:rPr>
                <w:rFonts w:hint="eastAsia"/>
                <w:sz w:val="30"/>
                <w:szCs w:val="30"/>
              </w:rPr>
              <w:t>彭宇飞</w:t>
            </w:r>
          </w:p>
        </w:tc>
      </w:tr>
      <w:tr w:rsidR="003F5F97" w14:paraId="16098B63" w14:textId="77777777">
        <w:trPr>
          <w:trHeight w:val="912"/>
        </w:trPr>
        <w:tc>
          <w:tcPr>
            <w:tcW w:w="2088" w:type="dxa"/>
            <w:tcBorders>
              <w:bottom w:val="single" w:sz="4" w:space="0" w:color="auto"/>
            </w:tcBorders>
            <w:vAlign w:val="center"/>
          </w:tcPr>
          <w:p w14:paraId="6DC4D488" w14:textId="77777777" w:rsidR="003F5F97" w:rsidRDefault="00000000">
            <w:pPr>
              <w:tabs>
                <w:tab w:val="left" w:pos="7088"/>
              </w:tabs>
              <w:ind w:firstLineChars="150" w:firstLine="452"/>
              <w:rPr>
                <w:b/>
                <w:sz w:val="30"/>
                <w:szCs w:val="30"/>
              </w:rPr>
            </w:pPr>
            <w:r>
              <w:rPr>
                <w:rFonts w:hint="eastAsia"/>
                <w:b/>
                <w:sz w:val="30"/>
                <w:szCs w:val="30"/>
              </w:rPr>
              <w:t>确认</w:t>
            </w:r>
            <w:r>
              <w:rPr>
                <w:b/>
                <w:sz w:val="30"/>
                <w:szCs w:val="30"/>
              </w:rPr>
              <w:t>结果</w:t>
            </w:r>
          </w:p>
        </w:tc>
        <w:tc>
          <w:tcPr>
            <w:tcW w:w="6951" w:type="dxa"/>
            <w:gridSpan w:val="3"/>
            <w:tcBorders>
              <w:bottom w:val="single" w:sz="4" w:space="0" w:color="auto"/>
            </w:tcBorders>
            <w:vAlign w:val="center"/>
          </w:tcPr>
          <w:p w14:paraId="331A610A" w14:textId="77777777" w:rsidR="003F5F97" w:rsidRDefault="00000000">
            <w:pPr>
              <w:tabs>
                <w:tab w:val="left" w:pos="7088"/>
              </w:tabs>
              <w:jc w:val="left"/>
              <w:rPr>
                <w:sz w:val="28"/>
                <w:szCs w:val="28"/>
              </w:rPr>
            </w:pPr>
            <w:r>
              <w:rPr>
                <w:rFonts w:hint="eastAsia"/>
                <w:sz w:val="28"/>
                <w:szCs w:val="28"/>
              </w:rPr>
              <w:t>来源：第一</w:t>
            </w:r>
            <w:proofErr w:type="gramStart"/>
            <w:r>
              <w:rPr>
                <w:rFonts w:hint="eastAsia"/>
                <w:sz w:val="28"/>
                <w:szCs w:val="28"/>
              </w:rPr>
              <w:t>药店财智</w:t>
            </w:r>
            <w:proofErr w:type="gramEnd"/>
          </w:p>
        </w:tc>
      </w:tr>
      <w:tr w:rsidR="003F5F97" w14:paraId="0B8855F5" w14:textId="77777777">
        <w:trPr>
          <w:trHeight w:val="945"/>
        </w:trPr>
        <w:tc>
          <w:tcPr>
            <w:tcW w:w="2088" w:type="dxa"/>
            <w:tcBorders>
              <w:top w:val="single" w:sz="4" w:space="0" w:color="auto"/>
            </w:tcBorders>
            <w:vAlign w:val="center"/>
          </w:tcPr>
          <w:p w14:paraId="073504C6" w14:textId="77777777" w:rsidR="003F5F97" w:rsidRDefault="00000000">
            <w:pPr>
              <w:tabs>
                <w:tab w:val="left" w:pos="7088"/>
              </w:tabs>
              <w:jc w:val="center"/>
              <w:rPr>
                <w:b/>
                <w:sz w:val="30"/>
                <w:szCs w:val="30"/>
              </w:rPr>
            </w:pPr>
            <w:r>
              <w:rPr>
                <w:rFonts w:hint="eastAsia"/>
                <w:b/>
                <w:sz w:val="30"/>
                <w:szCs w:val="30"/>
              </w:rPr>
              <w:t>关键词</w:t>
            </w:r>
          </w:p>
        </w:tc>
        <w:tc>
          <w:tcPr>
            <w:tcW w:w="6951" w:type="dxa"/>
            <w:gridSpan w:val="3"/>
            <w:tcBorders>
              <w:top w:val="single" w:sz="4" w:space="0" w:color="auto"/>
            </w:tcBorders>
            <w:vAlign w:val="center"/>
          </w:tcPr>
          <w:p w14:paraId="1804CF10" w14:textId="77777777" w:rsidR="003F5F97" w:rsidRDefault="00000000">
            <w:pPr>
              <w:tabs>
                <w:tab w:val="left" w:pos="7088"/>
              </w:tabs>
              <w:jc w:val="left"/>
              <w:rPr>
                <w:rFonts w:asciiTheme="majorEastAsia" w:eastAsiaTheme="majorEastAsia" w:hAnsiTheme="majorEastAsia" w:cs="宋体"/>
                <w:kern w:val="0"/>
                <w:sz w:val="30"/>
                <w:szCs w:val="30"/>
              </w:rPr>
            </w:pPr>
            <w:r>
              <w:rPr>
                <w:rFonts w:asciiTheme="majorEastAsia" w:eastAsiaTheme="majorEastAsia" w:hAnsiTheme="majorEastAsia" w:cs="宋体" w:hint="eastAsia"/>
                <w:kern w:val="0"/>
                <w:sz w:val="30"/>
                <w:szCs w:val="30"/>
              </w:rPr>
              <w:t>连锁  扩张  门店  仓储物流</w:t>
            </w:r>
          </w:p>
        </w:tc>
      </w:tr>
      <w:tr w:rsidR="003F5F97" w14:paraId="6DA8A675" w14:textId="77777777">
        <w:trPr>
          <w:trHeight w:val="3076"/>
        </w:trPr>
        <w:tc>
          <w:tcPr>
            <w:tcW w:w="2088" w:type="dxa"/>
            <w:vAlign w:val="center"/>
          </w:tcPr>
          <w:p w14:paraId="085653E0" w14:textId="77777777" w:rsidR="003F5F97" w:rsidRDefault="00000000">
            <w:pPr>
              <w:tabs>
                <w:tab w:val="left" w:pos="7088"/>
              </w:tabs>
              <w:jc w:val="center"/>
              <w:rPr>
                <w:b/>
                <w:sz w:val="30"/>
                <w:szCs w:val="30"/>
              </w:rPr>
            </w:pPr>
            <w:r>
              <w:rPr>
                <w:b/>
                <w:sz w:val="30"/>
                <w:szCs w:val="30"/>
              </w:rPr>
              <w:t>内容概要</w:t>
            </w:r>
          </w:p>
        </w:tc>
        <w:tc>
          <w:tcPr>
            <w:tcW w:w="6951" w:type="dxa"/>
            <w:gridSpan w:val="3"/>
            <w:vAlign w:val="center"/>
          </w:tcPr>
          <w:p w14:paraId="72DC70DE" w14:textId="77777777" w:rsidR="003F5F97" w:rsidRDefault="003F5F97">
            <w:pPr>
              <w:rPr>
                <w:rFonts w:asciiTheme="minorEastAsia" w:hAnsiTheme="minorEastAsia"/>
                <w:sz w:val="28"/>
                <w:szCs w:val="28"/>
              </w:rPr>
            </w:pPr>
          </w:p>
          <w:p w14:paraId="0DE2F335" w14:textId="77777777" w:rsidR="003F5F97" w:rsidRDefault="003F5F97">
            <w:pPr>
              <w:rPr>
                <w:rFonts w:asciiTheme="minorEastAsia" w:hAnsiTheme="minorEastAsia"/>
                <w:sz w:val="28"/>
                <w:szCs w:val="28"/>
              </w:rPr>
            </w:pPr>
          </w:p>
          <w:p w14:paraId="5698E3C9" w14:textId="77777777" w:rsidR="003F5F97" w:rsidRDefault="00000000">
            <w:pPr>
              <w:spacing w:line="480" w:lineRule="auto"/>
              <w:ind w:firstLineChars="200" w:firstLine="560"/>
              <w:rPr>
                <w:rFonts w:asciiTheme="minorEastAsia" w:hAnsiTheme="minorEastAsia"/>
                <w:sz w:val="28"/>
                <w:szCs w:val="28"/>
              </w:rPr>
            </w:pPr>
            <w:r>
              <w:rPr>
                <w:rFonts w:asciiTheme="minorEastAsia" w:hAnsiTheme="minorEastAsia" w:hint="eastAsia"/>
                <w:sz w:val="28"/>
                <w:szCs w:val="28"/>
              </w:rPr>
              <w:t>近日，</w:t>
            </w:r>
            <w:proofErr w:type="gramStart"/>
            <w:r>
              <w:rPr>
                <w:rFonts w:asciiTheme="minorEastAsia" w:hAnsiTheme="minorEastAsia" w:hint="eastAsia"/>
                <w:sz w:val="28"/>
                <w:szCs w:val="28"/>
              </w:rPr>
              <w:t>益丰药房</w:t>
            </w:r>
            <w:proofErr w:type="gramEnd"/>
            <w:r>
              <w:rPr>
                <w:rFonts w:asciiTheme="minorEastAsia" w:hAnsiTheme="minorEastAsia" w:hint="eastAsia"/>
                <w:sz w:val="28"/>
                <w:szCs w:val="28"/>
              </w:rPr>
              <w:t>对《中国证监会行政许可项目审查一次反馈意见通知书》做出回复，其中对可转</w:t>
            </w:r>
            <w:proofErr w:type="gramStart"/>
            <w:r>
              <w:rPr>
                <w:rFonts w:asciiTheme="minorEastAsia" w:hAnsiTheme="minorEastAsia" w:hint="eastAsia"/>
                <w:sz w:val="28"/>
                <w:szCs w:val="28"/>
              </w:rPr>
              <w:t>债项目</w:t>
            </w:r>
            <w:proofErr w:type="gramEnd"/>
            <w:r>
              <w:rPr>
                <w:rFonts w:asciiTheme="minorEastAsia" w:hAnsiTheme="minorEastAsia" w:hint="eastAsia"/>
                <w:sz w:val="28"/>
                <w:szCs w:val="28"/>
              </w:rPr>
              <w:t>各议案相关细节进行详细披露。</w:t>
            </w:r>
          </w:p>
          <w:p w14:paraId="42678450" w14:textId="77777777" w:rsidR="003F5F97" w:rsidRDefault="00000000">
            <w:pPr>
              <w:numPr>
                <w:ilvl w:val="0"/>
                <w:numId w:val="4"/>
              </w:numPr>
              <w:spacing w:line="480" w:lineRule="auto"/>
              <w:ind w:firstLineChars="200" w:firstLine="560"/>
              <w:rPr>
                <w:rFonts w:asciiTheme="minorEastAsia" w:hAnsiTheme="minorEastAsia"/>
                <w:sz w:val="28"/>
                <w:szCs w:val="28"/>
              </w:rPr>
            </w:pPr>
            <w:r>
              <w:rPr>
                <w:rFonts w:asciiTheme="minorEastAsia" w:hAnsiTheme="minorEastAsia" w:hint="eastAsia"/>
                <w:sz w:val="28"/>
                <w:szCs w:val="28"/>
              </w:rPr>
              <w:t>三年门店计划：重点发力湖南、江苏、湖北，</w:t>
            </w:r>
            <w:r>
              <w:rPr>
                <w:rStyle w:val="ad"/>
                <w:rFonts w:asciiTheme="minorEastAsia" w:hAnsiTheme="minorEastAsia" w:cs="Helvetica" w:hint="eastAsia"/>
                <w:b w:val="0"/>
                <w:spacing w:val="15"/>
                <w:sz w:val="28"/>
                <w:szCs w:val="28"/>
              </w:rPr>
              <w:t>3年拟新建连锁门店3900家。</w:t>
            </w:r>
          </w:p>
          <w:p w14:paraId="184BD94A" w14:textId="77777777" w:rsidR="003F5F97" w:rsidRDefault="00000000">
            <w:pPr>
              <w:numPr>
                <w:ilvl w:val="0"/>
                <w:numId w:val="4"/>
              </w:numPr>
              <w:spacing w:line="480" w:lineRule="auto"/>
              <w:ind w:firstLineChars="200" w:firstLine="560"/>
              <w:rPr>
                <w:rFonts w:asciiTheme="minorEastAsia" w:hAnsiTheme="minorEastAsia"/>
                <w:sz w:val="28"/>
                <w:szCs w:val="28"/>
              </w:rPr>
            </w:pPr>
            <w:r>
              <w:rPr>
                <w:rFonts w:asciiTheme="minorEastAsia" w:hAnsiTheme="minorEastAsia" w:hint="eastAsia"/>
                <w:sz w:val="28"/>
                <w:szCs w:val="28"/>
              </w:rPr>
              <w:t>门店高速扩张，仓储物流加速升级。在湖北武汉、江苏南京、河北石家庄新建或扩充医药商品仓储物流基地，</w:t>
            </w:r>
            <w:proofErr w:type="gramStart"/>
            <w:r>
              <w:rPr>
                <w:rStyle w:val="ad"/>
                <w:rFonts w:asciiTheme="minorEastAsia" w:hAnsiTheme="minorEastAsia" w:cs="Helvetica" w:hint="eastAsia"/>
                <w:b w:val="0"/>
                <w:spacing w:val="15"/>
                <w:sz w:val="28"/>
                <w:szCs w:val="28"/>
              </w:rPr>
              <w:t>完善益丰</w:t>
            </w:r>
            <w:proofErr w:type="gramEnd"/>
            <w:r>
              <w:rPr>
                <w:rStyle w:val="ad"/>
                <w:rFonts w:asciiTheme="minorEastAsia" w:hAnsiTheme="minorEastAsia" w:cs="Helvetica" w:hint="eastAsia"/>
                <w:b w:val="0"/>
                <w:spacing w:val="15"/>
                <w:sz w:val="28"/>
                <w:szCs w:val="28"/>
              </w:rPr>
              <w:t>药房全国物流仓储配送网络。</w:t>
            </w:r>
          </w:p>
          <w:p w14:paraId="30DBB8C3" w14:textId="77777777" w:rsidR="003F5F97" w:rsidRDefault="00000000">
            <w:pPr>
              <w:numPr>
                <w:ilvl w:val="0"/>
                <w:numId w:val="4"/>
              </w:numPr>
              <w:spacing w:line="480" w:lineRule="auto"/>
              <w:ind w:firstLineChars="200" w:firstLine="560"/>
              <w:rPr>
                <w:rFonts w:asciiTheme="minorEastAsia" w:hAnsiTheme="minorEastAsia"/>
                <w:sz w:val="28"/>
                <w:szCs w:val="28"/>
              </w:rPr>
            </w:pPr>
            <w:r>
              <w:rPr>
                <w:rFonts w:asciiTheme="minorEastAsia" w:hAnsiTheme="minorEastAsia" w:hint="eastAsia"/>
                <w:sz w:val="28"/>
                <w:szCs w:val="28"/>
              </w:rPr>
              <w:t>数字化平台升级，赋能门店、物流、新零售。</w:t>
            </w:r>
          </w:p>
          <w:p w14:paraId="784BD240" w14:textId="77777777" w:rsidR="003F5F97" w:rsidRDefault="00000000">
            <w:pPr>
              <w:spacing w:line="480" w:lineRule="auto"/>
              <w:rPr>
                <w:rFonts w:asciiTheme="minorEastAsia" w:hAnsiTheme="minorEastAsia"/>
                <w:sz w:val="28"/>
                <w:szCs w:val="28"/>
              </w:rPr>
            </w:pPr>
            <w:r>
              <w:rPr>
                <w:rFonts w:asciiTheme="minorEastAsia" w:hAnsiTheme="minorEastAsia" w:hint="eastAsia"/>
                <w:sz w:val="28"/>
                <w:szCs w:val="28"/>
              </w:rPr>
              <w:t xml:space="preserve">    </w:t>
            </w:r>
          </w:p>
          <w:p w14:paraId="0FCDD10C" w14:textId="77777777" w:rsidR="003F5F97" w:rsidRDefault="003F5F97">
            <w:pPr>
              <w:spacing w:line="480" w:lineRule="auto"/>
              <w:rPr>
                <w:rFonts w:asciiTheme="minorEastAsia" w:hAnsiTheme="minorEastAsia"/>
                <w:sz w:val="28"/>
                <w:szCs w:val="28"/>
              </w:rPr>
            </w:pPr>
          </w:p>
          <w:p w14:paraId="65D96D22" w14:textId="77777777" w:rsidR="003F5F97" w:rsidRDefault="003F5F97">
            <w:pPr>
              <w:spacing w:line="480" w:lineRule="auto"/>
              <w:rPr>
                <w:rFonts w:asciiTheme="minorEastAsia" w:eastAsiaTheme="minorEastAsia" w:hAnsiTheme="minorEastAsia" w:cs="宋体"/>
                <w:kern w:val="0"/>
                <w:szCs w:val="21"/>
              </w:rPr>
            </w:pPr>
          </w:p>
          <w:p w14:paraId="613C9EE5" w14:textId="77777777" w:rsidR="003F5F97" w:rsidRDefault="00000000">
            <w:pPr>
              <w:spacing w:line="400" w:lineRule="exact"/>
              <w:rPr>
                <w:b/>
                <w:sz w:val="32"/>
                <w:szCs w:val="32"/>
              </w:rPr>
            </w:pPr>
            <w:r>
              <w:rPr>
                <w:rFonts w:ascii="宋体" w:hAnsi="宋体" w:cs="宋体" w:hint="eastAsia"/>
                <w:kern w:val="0"/>
                <w:szCs w:val="21"/>
              </w:rPr>
              <w:t>附件4:</w:t>
            </w:r>
            <w:r>
              <w:rPr>
                <w:rFonts w:ascii="宋体" w:hAnsi="宋体" w:cs="宋体" w:hint="eastAsia"/>
                <w:b/>
                <w:kern w:val="0"/>
                <w:szCs w:val="21"/>
              </w:rPr>
              <w:t xml:space="preserve"> </w:t>
            </w:r>
            <w:proofErr w:type="gramStart"/>
            <w:r>
              <w:rPr>
                <w:rFonts w:hint="eastAsia"/>
              </w:rPr>
              <w:t>益丰公布</w:t>
            </w:r>
            <w:proofErr w:type="gramEnd"/>
            <w:r>
              <w:rPr>
                <w:rFonts w:hint="eastAsia"/>
              </w:rPr>
              <w:t>详细开店计划</w:t>
            </w:r>
          </w:p>
        </w:tc>
      </w:tr>
    </w:tbl>
    <w:tbl>
      <w:tblPr>
        <w:tblStyle w:val="ac"/>
        <w:tblW w:w="9073" w:type="dxa"/>
        <w:tblInd w:w="-176" w:type="dxa"/>
        <w:tblLayout w:type="fixed"/>
        <w:tblLook w:val="04A0" w:firstRow="1" w:lastRow="0" w:firstColumn="1" w:lastColumn="0" w:noHBand="0" w:noVBand="1"/>
      </w:tblPr>
      <w:tblGrid>
        <w:gridCol w:w="2127"/>
        <w:gridCol w:w="2268"/>
        <w:gridCol w:w="1985"/>
        <w:gridCol w:w="2693"/>
      </w:tblGrid>
      <w:tr w:rsidR="003F5F97" w14:paraId="449FEAD3" w14:textId="77777777">
        <w:trPr>
          <w:trHeight w:val="1090"/>
        </w:trPr>
        <w:tc>
          <w:tcPr>
            <w:tcW w:w="2127" w:type="dxa"/>
            <w:tcBorders>
              <w:right w:val="outset" w:sz="6" w:space="0" w:color="auto"/>
            </w:tcBorders>
            <w:vAlign w:val="center"/>
          </w:tcPr>
          <w:p w14:paraId="7A06CC96" w14:textId="77777777" w:rsidR="003F5F97"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05</w:t>
            </w:r>
          </w:p>
        </w:tc>
        <w:tc>
          <w:tcPr>
            <w:tcW w:w="6946" w:type="dxa"/>
            <w:gridSpan w:val="3"/>
            <w:tcBorders>
              <w:top w:val="outset" w:sz="6" w:space="0" w:color="auto"/>
              <w:left w:val="outset" w:sz="6" w:space="0" w:color="auto"/>
              <w:bottom w:val="inset" w:sz="6" w:space="0" w:color="auto"/>
              <w:right w:val="inset" w:sz="6" w:space="0" w:color="auto"/>
            </w:tcBorders>
            <w:vAlign w:val="center"/>
          </w:tcPr>
          <w:p w14:paraId="71E3A0E2" w14:textId="77777777" w:rsidR="003F5F97" w:rsidRDefault="00000000">
            <w:pPr>
              <w:widowControl/>
              <w:shd w:val="clear" w:color="auto" w:fill="FFFFFF"/>
              <w:spacing w:after="210"/>
              <w:jc w:val="left"/>
              <w:outlineLvl w:val="1"/>
              <w:rPr>
                <w:b/>
                <w:sz w:val="32"/>
                <w:szCs w:val="32"/>
              </w:rPr>
            </w:pPr>
            <w:proofErr w:type="gramStart"/>
            <w:r>
              <w:rPr>
                <w:rFonts w:asciiTheme="minorEastAsia" w:eastAsiaTheme="minorEastAsia" w:hAnsiTheme="minorEastAsia" w:hint="eastAsia"/>
                <w:b/>
                <w:sz w:val="36"/>
                <w:szCs w:val="36"/>
              </w:rPr>
              <w:t>思派健康</w:t>
            </w:r>
            <w:proofErr w:type="gramEnd"/>
            <w:r>
              <w:rPr>
                <w:rFonts w:asciiTheme="minorEastAsia" w:eastAsiaTheme="minorEastAsia" w:hAnsiTheme="minorEastAsia" w:hint="eastAsia"/>
                <w:b/>
                <w:sz w:val="36"/>
                <w:szCs w:val="36"/>
              </w:rPr>
              <w:t>上市，首日大涨超30%</w:t>
            </w:r>
          </w:p>
        </w:tc>
      </w:tr>
      <w:tr w:rsidR="003F5F97" w14:paraId="0A048EEA" w14:textId="77777777">
        <w:trPr>
          <w:trHeight w:val="838"/>
        </w:trPr>
        <w:tc>
          <w:tcPr>
            <w:tcW w:w="2127" w:type="dxa"/>
            <w:vAlign w:val="center"/>
          </w:tcPr>
          <w:p w14:paraId="460069B5" w14:textId="77777777" w:rsidR="003F5F97" w:rsidRDefault="00000000">
            <w:pPr>
              <w:tabs>
                <w:tab w:val="left" w:pos="7088"/>
              </w:tabs>
              <w:jc w:val="center"/>
            </w:pPr>
            <w:r>
              <w:rPr>
                <w:rFonts w:hint="eastAsia"/>
                <w:b/>
                <w:sz w:val="30"/>
                <w:szCs w:val="30"/>
              </w:rPr>
              <w:t>发布</w:t>
            </w:r>
            <w:r>
              <w:rPr>
                <w:b/>
                <w:sz w:val="30"/>
                <w:szCs w:val="30"/>
              </w:rPr>
              <w:t>时间</w:t>
            </w:r>
          </w:p>
        </w:tc>
        <w:tc>
          <w:tcPr>
            <w:tcW w:w="2268" w:type="dxa"/>
            <w:tcBorders>
              <w:top w:val="inset" w:sz="6" w:space="0" w:color="auto"/>
            </w:tcBorders>
            <w:vAlign w:val="center"/>
          </w:tcPr>
          <w:p w14:paraId="18E4226B" w14:textId="77777777" w:rsidR="003F5F97" w:rsidRDefault="00000000">
            <w:pPr>
              <w:tabs>
                <w:tab w:val="left" w:pos="7088"/>
              </w:tabs>
              <w:jc w:val="center"/>
              <w:rPr>
                <w:rFonts w:asciiTheme="minorEastAsia" w:eastAsiaTheme="minorEastAsia" w:hAnsiTheme="minorEastAsia"/>
                <w:sz w:val="28"/>
                <w:szCs w:val="28"/>
              </w:rPr>
            </w:pPr>
            <w:r>
              <w:rPr>
                <w:rFonts w:asciiTheme="minorEastAsia" w:eastAsiaTheme="minorEastAsia" w:hAnsiTheme="minorEastAsia"/>
                <w:sz w:val="28"/>
                <w:szCs w:val="28"/>
              </w:rPr>
              <w:t>202</w:t>
            </w:r>
            <w:r>
              <w:rPr>
                <w:rFonts w:asciiTheme="minorEastAsia" w:eastAsiaTheme="minorEastAsia" w:hAnsiTheme="minorEastAsia" w:hint="eastAsia"/>
                <w:sz w:val="28"/>
                <w:szCs w:val="28"/>
              </w:rPr>
              <w:t>2</w:t>
            </w:r>
            <w:r>
              <w:rPr>
                <w:rFonts w:asciiTheme="minorEastAsia" w:eastAsiaTheme="minorEastAsia" w:hAnsiTheme="minorEastAsia"/>
                <w:sz w:val="28"/>
                <w:szCs w:val="28"/>
              </w:rPr>
              <w:t>-</w:t>
            </w:r>
            <w:r>
              <w:rPr>
                <w:rFonts w:asciiTheme="minorEastAsia" w:eastAsiaTheme="minorEastAsia" w:hAnsiTheme="minorEastAsia" w:hint="eastAsia"/>
                <w:sz w:val="28"/>
                <w:szCs w:val="28"/>
              </w:rPr>
              <w:t>12</w:t>
            </w:r>
            <w:r>
              <w:rPr>
                <w:rFonts w:asciiTheme="minorEastAsia" w:eastAsiaTheme="minorEastAsia" w:hAnsiTheme="minorEastAsia"/>
                <w:sz w:val="28"/>
                <w:szCs w:val="28"/>
              </w:rPr>
              <w:t>-</w:t>
            </w:r>
            <w:r>
              <w:rPr>
                <w:rFonts w:asciiTheme="minorEastAsia" w:eastAsiaTheme="minorEastAsia" w:hAnsiTheme="minorEastAsia" w:hint="eastAsia"/>
                <w:sz w:val="28"/>
                <w:szCs w:val="28"/>
              </w:rPr>
              <w:t>23</w:t>
            </w:r>
          </w:p>
        </w:tc>
        <w:tc>
          <w:tcPr>
            <w:tcW w:w="1985" w:type="dxa"/>
            <w:tcBorders>
              <w:top w:val="inset" w:sz="6" w:space="0" w:color="auto"/>
            </w:tcBorders>
            <w:vAlign w:val="center"/>
          </w:tcPr>
          <w:p w14:paraId="0309184D" w14:textId="77777777" w:rsidR="003F5F97" w:rsidRDefault="00000000">
            <w:pPr>
              <w:tabs>
                <w:tab w:val="left" w:pos="7088"/>
              </w:tabs>
              <w:jc w:val="center"/>
              <w:rPr>
                <w:b/>
                <w:sz w:val="28"/>
                <w:szCs w:val="28"/>
              </w:rPr>
            </w:pPr>
            <w:r>
              <w:rPr>
                <w:rFonts w:hint="eastAsia"/>
                <w:b/>
                <w:sz w:val="30"/>
                <w:szCs w:val="30"/>
              </w:rPr>
              <w:t>信息来源</w:t>
            </w:r>
          </w:p>
        </w:tc>
        <w:tc>
          <w:tcPr>
            <w:tcW w:w="2693" w:type="dxa"/>
            <w:tcBorders>
              <w:top w:val="inset" w:sz="6" w:space="0" w:color="auto"/>
            </w:tcBorders>
            <w:vAlign w:val="center"/>
          </w:tcPr>
          <w:p w14:paraId="0EF5E2A5" w14:textId="77777777" w:rsidR="003F5F97" w:rsidRDefault="00000000">
            <w:pPr>
              <w:tabs>
                <w:tab w:val="left" w:pos="7088"/>
              </w:tabs>
              <w:jc w:val="center"/>
              <w:rPr>
                <w:sz w:val="28"/>
                <w:szCs w:val="28"/>
              </w:rPr>
            </w:pPr>
            <w:r>
              <w:rPr>
                <w:rFonts w:asciiTheme="minorEastAsia" w:eastAsiaTheme="minorEastAsia" w:hAnsiTheme="minorEastAsia" w:hint="eastAsia"/>
                <w:sz w:val="28"/>
                <w:szCs w:val="28"/>
              </w:rPr>
              <w:t>第一</w:t>
            </w:r>
            <w:proofErr w:type="gramStart"/>
            <w:r>
              <w:rPr>
                <w:rFonts w:asciiTheme="minorEastAsia" w:eastAsiaTheme="minorEastAsia" w:hAnsiTheme="minorEastAsia" w:hint="eastAsia"/>
                <w:sz w:val="28"/>
                <w:szCs w:val="28"/>
              </w:rPr>
              <w:t>药店财智</w:t>
            </w:r>
            <w:proofErr w:type="gramEnd"/>
          </w:p>
        </w:tc>
      </w:tr>
      <w:tr w:rsidR="003F5F97" w14:paraId="678E4FFD" w14:textId="77777777">
        <w:trPr>
          <w:trHeight w:val="856"/>
        </w:trPr>
        <w:tc>
          <w:tcPr>
            <w:tcW w:w="2127" w:type="dxa"/>
            <w:vAlign w:val="center"/>
          </w:tcPr>
          <w:p w14:paraId="6BEB6F9C" w14:textId="77777777" w:rsidR="003F5F97" w:rsidRDefault="00000000">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14:paraId="4225B440" w14:textId="77777777" w:rsidR="003F5F97" w:rsidRDefault="00000000">
            <w:pPr>
              <w:tabs>
                <w:tab w:val="left" w:pos="7088"/>
              </w:tabs>
              <w:jc w:val="center"/>
              <w:rPr>
                <w:sz w:val="28"/>
                <w:szCs w:val="28"/>
              </w:rPr>
            </w:pPr>
            <w:r>
              <w:rPr>
                <w:rFonts w:hint="eastAsia"/>
                <w:sz w:val="28"/>
                <w:szCs w:val="28"/>
              </w:rPr>
              <w:t>运营管理部</w:t>
            </w:r>
          </w:p>
        </w:tc>
        <w:tc>
          <w:tcPr>
            <w:tcW w:w="1985" w:type="dxa"/>
            <w:vAlign w:val="center"/>
          </w:tcPr>
          <w:p w14:paraId="3B80C967" w14:textId="77777777" w:rsidR="003F5F97" w:rsidRDefault="00000000">
            <w:pPr>
              <w:tabs>
                <w:tab w:val="left" w:pos="7088"/>
              </w:tabs>
              <w:jc w:val="center"/>
              <w:rPr>
                <w:b/>
                <w:sz w:val="28"/>
                <w:szCs w:val="28"/>
              </w:rPr>
            </w:pPr>
            <w:r>
              <w:rPr>
                <w:rFonts w:hint="eastAsia"/>
                <w:b/>
                <w:sz w:val="30"/>
                <w:szCs w:val="30"/>
              </w:rPr>
              <w:t>信息确认</w:t>
            </w:r>
          </w:p>
        </w:tc>
        <w:tc>
          <w:tcPr>
            <w:tcW w:w="2693" w:type="dxa"/>
            <w:vAlign w:val="center"/>
          </w:tcPr>
          <w:p w14:paraId="56BB3933" w14:textId="77777777" w:rsidR="003F5F97" w:rsidRDefault="00000000">
            <w:pPr>
              <w:tabs>
                <w:tab w:val="left" w:pos="7088"/>
              </w:tabs>
              <w:jc w:val="center"/>
              <w:rPr>
                <w:sz w:val="28"/>
                <w:szCs w:val="28"/>
              </w:rPr>
            </w:pPr>
            <w:r>
              <w:rPr>
                <w:rFonts w:hint="eastAsia"/>
                <w:sz w:val="28"/>
                <w:szCs w:val="28"/>
              </w:rPr>
              <w:t>彭宇飞</w:t>
            </w:r>
          </w:p>
        </w:tc>
      </w:tr>
      <w:tr w:rsidR="003F5F97" w14:paraId="1E6F59E5" w14:textId="77777777">
        <w:trPr>
          <w:trHeight w:val="878"/>
        </w:trPr>
        <w:tc>
          <w:tcPr>
            <w:tcW w:w="2127" w:type="dxa"/>
            <w:tcBorders>
              <w:bottom w:val="single" w:sz="4" w:space="0" w:color="auto"/>
            </w:tcBorders>
            <w:vAlign w:val="center"/>
          </w:tcPr>
          <w:p w14:paraId="599F7D6B" w14:textId="77777777" w:rsidR="003F5F97" w:rsidRDefault="00000000">
            <w:pPr>
              <w:tabs>
                <w:tab w:val="left" w:pos="7088"/>
              </w:tabs>
              <w:ind w:firstLineChars="100" w:firstLine="301"/>
              <w:rPr>
                <w:b/>
                <w:sz w:val="30"/>
                <w:szCs w:val="30"/>
              </w:rPr>
            </w:pPr>
            <w:r>
              <w:rPr>
                <w:rFonts w:hint="eastAsia"/>
                <w:b/>
                <w:sz w:val="30"/>
                <w:szCs w:val="30"/>
              </w:rPr>
              <w:t>确认</w:t>
            </w:r>
            <w:r>
              <w:rPr>
                <w:b/>
                <w:sz w:val="30"/>
                <w:szCs w:val="30"/>
              </w:rPr>
              <w:t>结果</w:t>
            </w:r>
          </w:p>
        </w:tc>
        <w:tc>
          <w:tcPr>
            <w:tcW w:w="6946" w:type="dxa"/>
            <w:gridSpan w:val="3"/>
            <w:tcBorders>
              <w:bottom w:val="single" w:sz="4" w:space="0" w:color="auto"/>
            </w:tcBorders>
            <w:vAlign w:val="center"/>
          </w:tcPr>
          <w:p w14:paraId="569B49E9" w14:textId="77777777" w:rsidR="003F5F97" w:rsidRDefault="00000000">
            <w:pPr>
              <w:tabs>
                <w:tab w:val="left" w:pos="7088"/>
              </w:tabs>
              <w:jc w:val="left"/>
              <w:rPr>
                <w:sz w:val="28"/>
                <w:szCs w:val="28"/>
              </w:rPr>
            </w:pPr>
            <w:r>
              <w:rPr>
                <w:rFonts w:asciiTheme="minorEastAsia" w:eastAsiaTheme="minorEastAsia" w:hAnsiTheme="minorEastAsia" w:hint="eastAsia"/>
                <w:sz w:val="28"/>
                <w:szCs w:val="28"/>
              </w:rPr>
              <w:t>来源：第一</w:t>
            </w:r>
            <w:proofErr w:type="gramStart"/>
            <w:r>
              <w:rPr>
                <w:rFonts w:asciiTheme="minorEastAsia" w:eastAsiaTheme="minorEastAsia" w:hAnsiTheme="minorEastAsia" w:hint="eastAsia"/>
                <w:sz w:val="28"/>
                <w:szCs w:val="28"/>
              </w:rPr>
              <w:t>药店财智</w:t>
            </w:r>
            <w:proofErr w:type="gramEnd"/>
          </w:p>
        </w:tc>
      </w:tr>
      <w:tr w:rsidR="003F5F97" w14:paraId="133F276E" w14:textId="77777777">
        <w:trPr>
          <w:trHeight w:val="958"/>
        </w:trPr>
        <w:tc>
          <w:tcPr>
            <w:tcW w:w="2127" w:type="dxa"/>
            <w:tcBorders>
              <w:top w:val="single" w:sz="4" w:space="0" w:color="auto"/>
            </w:tcBorders>
            <w:vAlign w:val="center"/>
          </w:tcPr>
          <w:p w14:paraId="30D86F66" w14:textId="77777777" w:rsidR="003F5F97" w:rsidRDefault="00000000">
            <w:pPr>
              <w:tabs>
                <w:tab w:val="left" w:pos="7088"/>
              </w:tabs>
              <w:jc w:val="center"/>
              <w:rPr>
                <w:b/>
                <w:sz w:val="30"/>
                <w:szCs w:val="30"/>
              </w:rPr>
            </w:pPr>
            <w:r>
              <w:rPr>
                <w:rFonts w:hint="eastAsia"/>
                <w:b/>
                <w:sz w:val="30"/>
                <w:szCs w:val="30"/>
              </w:rPr>
              <w:t>关键词</w:t>
            </w:r>
          </w:p>
        </w:tc>
        <w:tc>
          <w:tcPr>
            <w:tcW w:w="6946" w:type="dxa"/>
            <w:gridSpan w:val="3"/>
            <w:tcBorders>
              <w:top w:val="single" w:sz="4" w:space="0" w:color="auto"/>
            </w:tcBorders>
            <w:vAlign w:val="center"/>
          </w:tcPr>
          <w:p w14:paraId="7A366149" w14:textId="77777777" w:rsidR="003F5F97" w:rsidRDefault="00000000">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上市  业务  系统  方案  </w:t>
            </w:r>
          </w:p>
        </w:tc>
      </w:tr>
      <w:tr w:rsidR="003F5F97" w14:paraId="684D6BB4" w14:textId="77777777">
        <w:trPr>
          <w:trHeight w:val="879"/>
        </w:trPr>
        <w:tc>
          <w:tcPr>
            <w:tcW w:w="2127" w:type="dxa"/>
            <w:vAlign w:val="center"/>
          </w:tcPr>
          <w:p w14:paraId="78D86ED0" w14:textId="77777777" w:rsidR="003F5F97" w:rsidRDefault="00000000">
            <w:pPr>
              <w:tabs>
                <w:tab w:val="left" w:pos="7088"/>
              </w:tabs>
              <w:jc w:val="center"/>
              <w:rPr>
                <w:b/>
                <w:sz w:val="30"/>
                <w:szCs w:val="30"/>
              </w:rPr>
            </w:pPr>
            <w:r>
              <w:rPr>
                <w:b/>
                <w:sz w:val="30"/>
                <w:szCs w:val="30"/>
              </w:rPr>
              <w:t>内容概要</w:t>
            </w:r>
          </w:p>
        </w:tc>
        <w:tc>
          <w:tcPr>
            <w:tcW w:w="6946" w:type="dxa"/>
            <w:gridSpan w:val="3"/>
          </w:tcPr>
          <w:p w14:paraId="2220292F" w14:textId="77777777" w:rsidR="003F5F97" w:rsidRDefault="003F5F97">
            <w:pPr>
              <w:ind w:firstLineChars="200" w:firstLine="560"/>
              <w:jc w:val="left"/>
              <w:rPr>
                <w:rFonts w:asciiTheme="minorEastAsia" w:hAnsiTheme="minorEastAsia"/>
                <w:sz w:val="28"/>
                <w:szCs w:val="28"/>
                <w:shd w:val="clear" w:color="auto" w:fill="FFFFFF"/>
              </w:rPr>
            </w:pPr>
          </w:p>
          <w:p w14:paraId="46D8C139" w14:textId="77777777" w:rsidR="003F5F97" w:rsidRDefault="00000000">
            <w:pPr>
              <w:ind w:firstLineChars="200" w:firstLine="560"/>
              <w:jc w:val="left"/>
              <w:rPr>
                <w:rStyle w:val="ad"/>
                <w:rFonts w:asciiTheme="minorEastAsia" w:hAnsiTheme="minorEastAsia" w:cs="Helvetica"/>
                <w:b w:val="0"/>
                <w:spacing w:val="15"/>
                <w:sz w:val="28"/>
                <w:szCs w:val="28"/>
              </w:rPr>
            </w:pPr>
            <w:r>
              <w:rPr>
                <w:rFonts w:asciiTheme="minorEastAsia" w:hAnsiTheme="minorEastAsia" w:hint="eastAsia"/>
                <w:sz w:val="28"/>
                <w:szCs w:val="28"/>
                <w:shd w:val="clear" w:color="auto" w:fill="FFFFFF"/>
              </w:rPr>
              <w:t>12月23日，</w:t>
            </w:r>
            <w:proofErr w:type="gramStart"/>
            <w:r>
              <w:rPr>
                <w:rFonts w:asciiTheme="minorEastAsia" w:hAnsiTheme="minorEastAsia" w:hint="eastAsia"/>
                <w:sz w:val="28"/>
                <w:szCs w:val="28"/>
                <w:shd w:val="clear" w:color="auto" w:fill="FFFFFF"/>
              </w:rPr>
              <w:t>思派健康</w:t>
            </w:r>
            <w:proofErr w:type="gramEnd"/>
            <w:r>
              <w:rPr>
                <w:rFonts w:asciiTheme="minorEastAsia" w:hAnsiTheme="minorEastAsia" w:hint="eastAsia"/>
                <w:sz w:val="28"/>
                <w:szCs w:val="28"/>
                <w:shd w:val="clear" w:color="auto" w:fill="FFFFFF"/>
              </w:rPr>
              <w:t>（00314.HK）正式在港交所主板上市，首日收盘涨幅</w:t>
            </w:r>
            <w:r>
              <w:rPr>
                <w:rStyle w:val="ad"/>
                <w:rFonts w:asciiTheme="minorEastAsia" w:hAnsiTheme="minorEastAsia" w:cs="Helvetica" w:hint="eastAsia"/>
                <w:b w:val="0"/>
                <w:spacing w:val="15"/>
                <w:sz w:val="28"/>
                <w:szCs w:val="28"/>
              </w:rPr>
              <w:t>34.41%。</w:t>
            </w:r>
          </w:p>
          <w:p w14:paraId="047976AF" w14:textId="77777777" w:rsidR="003F5F97" w:rsidRDefault="00000000">
            <w:pPr>
              <w:ind w:firstLineChars="200" w:firstLine="620"/>
              <w:rPr>
                <w:rFonts w:asciiTheme="minorEastAsia" w:hAnsiTheme="minorEastAsia"/>
                <w:sz w:val="28"/>
                <w:szCs w:val="28"/>
                <w:shd w:val="clear" w:color="auto" w:fill="FFFFFF"/>
              </w:rPr>
            </w:pPr>
            <w:r>
              <w:rPr>
                <w:rStyle w:val="ad"/>
                <w:rFonts w:asciiTheme="minorEastAsia" w:hAnsiTheme="minorEastAsia" w:cs="Helvetica" w:hint="eastAsia"/>
                <w:b w:val="0"/>
                <w:spacing w:val="15"/>
                <w:sz w:val="28"/>
                <w:szCs w:val="28"/>
              </w:rPr>
              <w:t>一、</w:t>
            </w:r>
            <w:r>
              <w:rPr>
                <w:rFonts w:asciiTheme="minorEastAsia" w:hAnsiTheme="minorEastAsia" w:hint="eastAsia"/>
                <w:sz w:val="28"/>
                <w:szCs w:val="28"/>
                <w:shd w:val="clear" w:color="auto" w:fill="FFFFFF"/>
              </w:rPr>
              <w:t>三大业务线形</w:t>
            </w:r>
            <w:proofErr w:type="gramStart"/>
            <w:r>
              <w:rPr>
                <w:rFonts w:asciiTheme="minorEastAsia" w:hAnsiTheme="minorEastAsia" w:hint="eastAsia"/>
                <w:sz w:val="28"/>
                <w:szCs w:val="28"/>
                <w:shd w:val="clear" w:color="auto" w:fill="FFFFFF"/>
              </w:rPr>
              <w:t>成服务</w:t>
            </w:r>
            <w:proofErr w:type="gramEnd"/>
            <w:r>
              <w:rPr>
                <w:rFonts w:asciiTheme="minorEastAsia" w:hAnsiTheme="minorEastAsia" w:hint="eastAsia"/>
                <w:sz w:val="28"/>
                <w:szCs w:val="28"/>
                <w:shd w:val="clear" w:color="auto" w:fill="FFFFFF"/>
              </w:rPr>
              <w:t>闭环</w:t>
            </w:r>
          </w:p>
          <w:p w14:paraId="42CADC49"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拥有特药药房业务、医生研究协助及健康保险服务三大业务。</w:t>
            </w:r>
          </w:p>
          <w:p w14:paraId="7B71A5A5"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二、2022上半年营收毛利双增</w:t>
            </w:r>
          </w:p>
          <w:p w14:paraId="51ECB5EF"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特药药房业务是</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的主要营收业务，2022年上半年，特药药房业务收入占比高达88.17%。2017年8月开设首家特药药房，截至2022年6月30日增至103家。</w:t>
            </w:r>
          </w:p>
          <w:p w14:paraId="010C6992"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此外，其特药药房亦与主要保险公司</w:t>
            </w:r>
            <w:proofErr w:type="gramStart"/>
            <w:r>
              <w:rPr>
                <w:rStyle w:val="ad"/>
                <w:rFonts w:asciiTheme="minorEastAsia" w:hAnsiTheme="minorEastAsia" w:cs="Helvetica" w:hint="eastAsia"/>
                <w:b w:val="0"/>
                <w:spacing w:val="15"/>
                <w:sz w:val="28"/>
                <w:szCs w:val="28"/>
              </w:rPr>
              <w:t>建立直付机制</w:t>
            </w:r>
            <w:proofErr w:type="gramEnd"/>
            <w:r>
              <w:rPr>
                <w:rStyle w:val="ad"/>
                <w:rFonts w:asciiTheme="minorEastAsia" w:hAnsiTheme="minorEastAsia" w:cs="Helvetica" w:hint="eastAsia"/>
                <w:b w:val="0"/>
                <w:spacing w:val="15"/>
                <w:sz w:val="28"/>
                <w:szCs w:val="28"/>
              </w:rPr>
              <w:t>，为患者提供额外的支付解决方案。</w:t>
            </w:r>
          </w:p>
          <w:p w14:paraId="543AAE0D" w14:textId="77777777" w:rsidR="003F5F97" w:rsidRDefault="003F5F97">
            <w:pPr>
              <w:ind w:left="560"/>
              <w:rPr>
                <w:rFonts w:asciiTheme="minorEastAsia" w:hAnsiTheme="minorEastAsia"/>
                <w:sz w:val="28"/>
                <w:szCs w:val="28"/>
                <w:shd w:val="clear" w:color="auto" w:fill="FFFFFF"/>
              </w:rPr>
            </w:pPr>
          </w:p>
          <w:p w14:paraId="6A340269" w14:textId="77777777" w:rsidR="003F5F97" w:rsidRDefault="00000000">
            <w:pPr>
              <w:widowControl/>
              <w:shd w:val="clear" w:color="auto" w:fill="FFFFFF"/>
              <w:spacing w:after="190"/>
              <w:outlineLvl w:val="1"/>
              <w:rPr>
                <w:rFonts w:asciiTheme="minorEastAsia" w:hAnsiTheme="minorEastAsia"/>
                <w:sz w:val="28"/>
                <w:szCs w:val="28"/>
                <w:shd w:val="clear" w:color="auto" w:fill="FFFFFF"/>
              </w:rPr>
            </w:pPr>
            <w:r>
              <w:rPr>
                <w:rFonts w:hint="eastAsia"/>
              </w:rPr>
              <w:t>附件</w:t>
            </w:r>
            <w:r>
              <w:rPr>
                <w:rFonts w:hint="eastAsia"/>
              </w:rPr>
              <w:t xml:space="preserve">5: </w:t>
            </w:r>
            <w:proofErr w:type="gramStart"/>
            <w:r>
              <w:rPr>
                <w:rFonts w:hint="eastAsia"/>
              </w:rPr>
              <w:t>思派健康</w:t>
            </w:r>
            <w:proofErr w:type="gramEnd"/>
            <w:r>
              <w:rPr>
                <w:rFonts w:hint="eastAsia"/>
              </w:rPr>
              <w:t>上市，首日大涨超</w:t>
            </w:r>
            <w:r>
              <w:rPr>
                <w:rFonts w:hint="eastAsia"/>
              </w:rPr>
              <w:t>30%</w:t>
            </w:r>
          </w:p>
        </w:tc>
      </w:tr>
    </w:tbl>
    <w:p w14:paraId="7D29D85D" w14:textId="77777777" w:rsidR="003F5F97" w:rsidRDefault="00000000">
      <w:pPr>
        <w:jc w:val="left"/>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附件1</w:t>
      </w:r>
    </w:p>
    <w:p w14:paraId="495E7147" w14:textId="77777777" w:rsidR="003F5F97" w:rsidRDefault="003F5F97">
      <w:pPr>
        <w:jc w:val="left"/>
        <w:rPr>
          <w:rFonts w:ascii="微软雅黑" w:eastAsia="微软雅黑" w:hAnsi="微软雅黑" w:cs="宋体"/>
          <w:b/>
          <w:color w:val="333333"/>
          <w:kern w:val="36"/>
          <w:szCs w:val="21"/>
        </w:rPr>
      </w:pPr>
    </w:p>
    <w:p w14:paraId="472C969F" w14:textId="77777777" w:rsidR="003F5F97" w:rsidRDefault="00000000">
      <w:pPr>
        <w:jc w:val="left"/>
        <w:rPr>
          <w:rFonts w:ascii="微软雅黑" w:eastAsia="微软雅黑" w:hAnsi="微软雅黑" w:cs="宋体"/>
          <w:color w:val="333333"/>
          <w:spacing w:val="8"/>
          <w:kern w:val="0"/>
          <w:sz w:val="33"/>
          <w:szCs w:val="33"/>
        </w:rPr>
      </w:pPr>
      <w:r>
        <w:rPr>
          <w:rFonts w:ascii="微软雅黑" w:eastAsia="微软雅黑" w:hAnsi="微软雅黑" w:cs="宋体" w:hint="eastAsia"/>
          <w:color w:val="333333"/>
          <w:spacing w:val="8"/>
          <w:kern w:val="0"/>
          <w:sz w:val="33"/>
          <w:szCs w:val="33"/>
        </w:rPr>
        <w:t>重磅！中共中央 国务院印发《扩大内需战略规划纲要（2022－2035年）》</w:t>
      </w:r>
    </w:p>
    <w:p w14:paraId="149B25D6" w14:textId="77777777" w:rsidR="003F5F97" w:rsidRDefault="003F5F97">
      <w:pPr>
        <w:jc w:val="left"/>
      </w:pPr>
    </w:p>
    <w:p w14:paraId="1F072E94" w14:textId="77777777" w:rsidR="003F5F97" w:rsidRDefault="00000000">
      <w:pPr>
        <w:jc w:val="left"/>
        <w:rPr>
          <w:rFonts w:eastAsiaTheme="minorEastAsia"/>
        </w:rPr>
      </w:pPr>
      <w:r>
        <w:rPr>
          <w:rFonts w:hint="eastAsia"/>
        </w:rPr>
        <w:t>经济参考报</w:t>
      </w:r>
      <w:r>
        <w:rPr>
          <w:rFonts w:hint="eastAsia"/>
        </w:rPr>
        <w:t xml:space="preserve"> 2022-12-15</w:t>
      </w:r>
    </w:p>
    <w:p w14:paraId="7192A134" w14:textId="77777777" w:rsidR="003F5F97" w:rsidRDefault="003F5F97">
      <w:pPr>
        <w:ind w:firstLineChars="200" w:firstLine="600"/>
        <w:jc w:val="left"/>
        <w:rPr>
          <w:sz w:val="30"/>
          <w:szCs w:val="30"/>
        </w:rPr>
      </w:pPr>
    </w:p>
    <w:p w14:paraId="213F45FF" w14:textId="77777777" w:rsidR="003F5F97" w:rsidRDefault="00000000">
      <w:pPr>
        <w:ind w:firstLineChars="200" w:firstLine="600"/>
        <w:jc w:val="left"/>
        <w:rPr>
          <w:rFonts w:eastAsiaTheme="minorEastAsia"/>
          <w:sz w:val="30"/>
          <w:szCs w:val="30"/>
        </w:rPr>
      </w:pPr>
      <w:r>
        <w:rPr>
          <w:rFonts w:hint="eastAsia"/>
          <w:sz w:val="30"/>
          <w:szCs w:val="30"/>
        </w:rPr>
        <w:t>近日，中共中央、国务院印发了《扩大内需战略规划纲要（</w:t>
      </w:r>
      <w:r>
        <w:rPr>
          <w:rFonts w:hint="eastAsia"/>
          <w:sz w:val="30"/>
          <w:szCs w:val="30"/>
        </w:rPr>
        <w:t>2022</w:t>
      </w:r>
      <w:r>
        <w:rPr>
          <w:rFonts w:hint="eastAsia"/>
          <w:sz w:val="30"/>
          <w:szCs w:val="30"/>
        </w:rPr>
        <w:t>－</w:t>
      </w:r>
      <w:r>
        <w:rPr>
          <w:rFonts w:hint="eastAsia"/>
          <w:sz w:val="30"/>
          <w:szCs w:val="30"/>
        </w:rPr>
        <w:t>2035</w:t>
      </w:r>
      <w:r>
        <w:rPr>
          <w:rFonts w:hint="eastAsia"/>
          <w:sz w:val="30"/>
          <w:szCs w:val="30"/>
        </w:rPr>
        <w:t>年）》，并发出通知，要求各地区各部门结合实际认真贯彻落实。</w:t>
      </w:r>
    </w:p>
    <w:p w14:paraId="136D1617" w14:textId="77777777" w:rsidR="003F5F97" w:rsidRDefault="00000000">
      <w:pPr>
        <w:ind w:firstLineChars="200" w:firstLine="600"/>
        <w:jc w:val="left"/>
        <w:rPr>
          <w:rFonts w:eastAsiaTheme="minorEastAsia"/>
          <w:sz w:val="30"/>
          <w:szCs w:val="30"/>
        </w:rPr>
      </w:pPr>
      <w:r>
        <w:rPr>
          <w:rFonts w:hint="eastAsia"/>
          <w:sz w:val="30"/>
          <w:szCs w:val="30"/>
        </w:rPr>
        <w:t>《扩大内需战略规划纲要（</w:t>
      </w:r>
      <w:r>
        <w:rPr>
          <w:rFonts w:hint="eastAsia"/>
          <w:sz w:val="30"/>
          <w:szCs w:val="30"/>
        </w:rPr>
        <w:t>2022</w:t>
      </w:r>
      <w:r>
        <w:rPr>
          <w:rFonts w:hint="eastAsia"/>
          <w:sz w:val="30"/>
          <w:szCs w:val="30"/>
        </w:rPr>
        <w:t>－</w:t>
      </w:r>
      <w:r>
        <w:rPr>
          <w:rFonts w:hint="eastAsia"/>
          <w:sz w:val="30"/>
          <w:szCs w:val="30"/>
        </w:rPr>
        <w:t>2035</w:t>
      </w:r>
      <w:r>
        <w:rPr>
          <w:rFonts w:hint="eastAsia"/>
          <w:sz w:val="30"/>
          <w:szCs w:val="30"/>
        </w:rPr>
        <w:t>年）》主要内容如下。</w:t>
      </w:r>
    </w:p>
    <w:p w14:paraId="5AF52AA6" w14:textId="77777777" w:rsidR="003F5F97" w:rsidRDefault="00000000">
      <w:pPr>
        <w:ind w:firstLineChars="200" w:firstLine="600"/>
        <w:jc w:val="left"/>
        <w:rPr>
          <w:rFonts w:eastAsiaTheme="minorEastAsia"/>
          <w:sz w:val="30"/>
          <w:szCs w:val="30"/>
        </w:rPr>
      </w:pPr>
      <w:r>
        <w:rPr>
          <w:rFonts w:hint="eastAsia"/>
          <w:sz w:val="30"/>
          <w:szCs w:val="30"/>
        </w:rPr>
        <w:t>坚定实施扩大内需战略、培育完整内需体系，是加快构建以国内大循环为主体、国内国际双循环相互促进的新发展格局的必然选择，是促进我国长远发展和长治久安的战略决策。为推动实施扩大内需战略，根据《中华人民共和国国民经济和社会发展第十四个五年规划和</w:t>
      </w:r>
      <w:r>
        <w:rPr>
          <w:rFonts w:hint="eastAsia"/>
          <w:sz w:val="30"/>
          <w:szCs w:val="30"/>
        </w:rPr>
        <w:t>2035</w:t>
      </w:r>
      <w:r>
        <w:rPr>
          <w:rFonts w:hint="eastAsia"/>
          <w:sz w:val="30"/>
          <w:szCs w:val="30"/>
        </w:rPr>
        <w:t>年远景目标纲要》，制定本规划纲要。</w:t>
      </w:r>
    </w:p>
    <w:p w14:paraId="0A720849" w14:textId="77777777" w:rsidR="003F5F97" w:rsidRDefault="00000000">
      <w:pPr>
        <w:ind w:firstLineChars="200" w:firstLine="600"/>
        <w:jc w:val="left"/>
        <w:rPr>
          <w:rFonts w:eastAsiaTheme="minorEastAsia"/>
          <w:sz w:val="30"/>
          <w:szCs w:val="30"/>
        </w:rPr>
      </w:pPr>
      <w:r>
        <w:rPr>
          <w:rFonts w:hint="eastAsia"/>
          <w:sz w:val="30"/>
          <w:szCs w:val="30"/>
        </w:rPr>
        <w:t>一、规划背景</w:t>
      </w:r>
    </w:p>
    <w:p w14:paraId="53B49429" w14:textId="77777777" w:rsidR="003F5F97" w:rsidRDefault="00000000">
      <w:pPr>
        <w:ind w:firstLineChars="200" w:firstLine="600"/>
        <w:jc w:val="left"/>
        <w:rPr>
          <w:rFonts w:eastAsiaTheme="minorEastAsia"/>
          <w:sz w:val="30"/>
          <w:szCs w:val="30"/>
        </w:rPr>
      </w:pPr>
      <w:r>
        <w:rPr>
          <w:rFonts w:hint="eastAsia"/>
          <w:sz w:val="30"/>
          <w:szCs w:val="30"/>
        </w:rPr>
        <w:t>（一）我国扩大内需已取得显著成效</w:t>
      </w:r>
    </w:p>
    <w:p w14:paraId="51A4D936" w14:textId="77777777" w:rsidR="003F5F97" w:rsidRDefault="00000000">
      <w:pPr>
        <w:ind w:firstLineChars="200" w:firstLine="600"/>
        <w:jc w:val="left"/>
        <w:rPr>
          <w:rFonts w:eastAsiaTheme="minorEastAsia"/>
          <w:sz w:val="30"/>
          <w:szCs w:val="30"/>
        </w:rPr>
      </w:pPr>
      <w:r>
        <w:rPr>
          <w:rFonts w:hint="eastAsia"/>
          <w:sz w:val="30"/>
          <w:szCs w:val="30"/>
        </w:rPr>
        <w:t>改革开放以来特别是党的十八大以来，我国在深度参与国际产业分工的同时，不断提升国内供给质量水平，着力释放国内市场需求，促进形成强大国内市场，内需对经济发展的支撑作用明显增强。</w:t>
      </w:r>
    </w:p>
    <w:p w14:paraId="3C2DD12C" w14:textId="77777777" w:rsidR="003F5F97" w:rsidRDefault="00000000">
      <w:pPr>
        <w:ind w:firstLineChars="200" w:firstLine="600"/>
        <w:jc w:val="left"/>
        <w:rPr>
          <w:rFonts w:eastAsiaTheme="minorEastAsia"/>
          <w:sz w:val="30"/>
          <w:szCs w:val="30"/>
        </w:rPr>
      </w:pPr>
      <w:r>
        <w:rPr>
          <w:rFonts w:hint="eastAsia"/>
          <w:sz w:val="30"/>
          <w:szCs w:val="30"/>
        </w:rPr>
        <w:lastRenderedPageBreak/>
        <w:t>消费基础性作用持续强化。最终消费支出占国内生产总值的比重连续</w:t>
      </w:r>
      <w:r>
        <w:rPr>
          <w:rFonts w:hint="eastAsia"/>
          <w:sz w:val="30"/>
          <w:szCs w:val="30"/>
        </w:rPr>
        <w:t>11</w:t>
      </w:r>
      <w:r>
        <w:rPr>
          <w:rFonts w:hint="eastAsia"/>
          <w:sz w:val="30"/>
          <w:szCs w:val="30"/>
        </w:rPr>
        <w:t>年保持在</w:t>
      </w:r>
      <w:r>
        <w:rPr>
          <w:rFonts w:hint="eastAsia"/>
          <w:sz w:val="30"/>
          <w:szCs w:val="30"/>
        </w:rPr>
        <w:t>50%</w:t>
      </w:r>
      <w:r>
        <w:rPr>
          <w:rFonts w:hint="eastAsia"/>
          <w:sz w:val="30"/>
          <w:szCs w:val="30"/>
        </w:rPr>
        <w:t>以上。住行消费等传统消费显著增长，城镇居民人均住房建筑面积稳步提高，汽车新车销量连续</w:t>
      </w:r>
      <w:r>
        <w:rPr>
          <w:rFonts w:hint="eastAsia"/>
          <w:sz w:val="30"/>
          <w:szCs w:val="30"/>
        </w:rPr>
        <w:t>13</w:t>
      </w:r>
      <w:r>
        <w:rPr>
          <w:rFonts w:hint="eastAsia"/>
          <w:sz w:val="30"/>
          <w:szCs w:val="30"/>
        </w:rPr>
        <w:t>年位居全球第一。消费新</w:t>
      </w:r>
      <w:proofErr w:type="gramStart"/>
      <w:r>
        <w:rPr>
          <w:rFonts w:hint="eastAsia"/>
          <w:sz w:val="30"/>
          <w:szCs w:val="30"/>
        </w:rPr>
        <w:t>业态新模式</w:t>
      </w:r>
      <w:proofErr w:type="gramEnd"/>
      <w:r>
        <w:rPr>
          <w:rFonts w:hint="eastAsia"/>
          <w:sz w:val="30"/>
          <w:szCs w:val="30"/>
        </w:rPr>
        <w:t>快速发展，</w:t>
      </w:r>
      <w:r>
        <w:rPr>
          <w:rFonts w:hint="eastAsia"/>
          <w:sz w:val="30"/>
          <w:szCs w:val="30"/>
        </w:rPr>
        <w:t>2021</w:t>
      </w:r>
      <w:r>
        <w:rPr>
          <w:rFonts w:hint="eastAsia"/>
          <w:sz w:val="30"/>
          <w:szCs w:val="30"/>
        </w:rPr>
        <w:t>年实物商品网上零售额占社会消费品零售总额比重为</w:t>
      </w:r>
      <w:r>
        <w:rPr>
          <w:rFonts w:hint="eastAsia"/>
          <w:sz w:val="30"/>
          <w:szCs w:val="30"/>
        </w:rPr>
        <w:t>24.5%</w:t>
      </w:r>
      <w:r>
        <w:rPr>
          <w:rFonts w:hint="eastAsia"/>
          <w:sz w:val="30"/>
          <w:szCs w:val="30"/>
        </w:rPr>
        <w:t>，人均服务性消费支出占人均消费支出比重为</w:t>
      </w:r>
      <w:r>
        <w:rPr>
          <w:rFonts w:hint="eastAsia"/>
          <w:sz w:val="30"/>
          <w:szCs w:val="30"/>
        </w:rPr>
        <w:t>44.2%</w:t>
      </w:r>
      <w:r>
        <w:rPr>
          <w:rFonts w:hint="eastAsia"/>
          <w:sz w:val="30"/>
          <w:szCs w:val="30"/>
        </w:rPr>
        <w:t>。</w:t>
      </w:r>
    </w:p>
    <w:p w14:paraId="44BE55AF" w14:textId="77777777" w:rsidR="003F5F97" w:rsidRDefault="00000000">
      <w:pPr>
        <w:ind w:firstLineChars="200" w:firstLine="600"/>
        <w:jc w:val="left"/>
        <w:rPr>
          <w:rFonts w:eastAsiaTheme="minorEastAsia"/>
          <w:sz w:val="30"/>
          <w:szCs w:val="30"/>
        </w:rPr>
      </w:pPr>
      <w:r>
        <w:rPr>
          <w:rFonts w:hint="eastAsia"/>
          <w:sz w:val="30"/>
          <w:szCs w:val="30"/>
        </w:rPr>
        <w:t>投资关键作用更好发挥。我国资本形成总额占国内生产总值的比重保持在合理水平，为优化供给结构、推动经济平稳发展提供了有力支撑。基础设施建设水平全面提升，全国综合运输大通道加快贯通，一批重大水利设施建成使用。</w:t>
      </w:r>
      <w:r>
        <w:rPr>
          <w:rFonts w:hint="eastAsia"/>
          <w:sz w:val="30"/>
          <w:szCs w:val="30"/>
        </w:rPr>
        <w:t>5G</w:t>
      </w:r>
      <w:r>
        <w:rPr>
          <w:rFonts w:hint="eastAsia"/>
          <w:sz w:val="30"/>
          <w:szCs w:val="30"/>
        </w:rPr>
        <w:t>等新型基础设施建设加快推进，重大科技项目建设取得显著成就，高技术产业投资持续较快增长。医疗卫生、生态环保、农业农村、教育等领域短板弱项加快补齐。</w:t>
      </w:r>
    </w:p>
    <w:p w14:paraId="54E9E61A" w14:textId="77777777" w:rsidR="003F5F97" w:rsidRDefault="00000000">
      <w:pPr>
        <w:ind w:firstLineChars="200" w:firstLine="600"/>
        <w:jc w:val="left"/>
        <w:rPr>
          <w:rFonts w:eastAsiaTheme="minorEastAsia"/>
          <w:sz w:val="30"/>
          <w:szCs w:val="30"/>
        </w:rPr>
      </w:pPr>
      <w:r>
        <w:rPr>
          <w:rFonts w:hint="eastAsia"/>
          <w:sz w:val="30"/>
          <w:szCs w:val="30"/>
        </w:rPr>
        <w:t>国内市场运行机制不断健全。高标准市场体系加快建设，“放管服”改革持续深化，营商环境不断优化，要素市场化配置、产权制度等重点改革稳步推进，流通体系加快健全，社会保障制度逐步完善，统筹城乡的基本公共服务体系加快形成，市场活力得到有效激发。</w:t>
      </w:r>
    </w:p>
    <w:p w14:paraId="2C2D50E2" w14:textId="77777777" w:rsidR="003F5F97" w:rsidRDefault="00000000">
      <w:pPr>
        <w:ind w:firstLineChars="200" w:firstLine="600"/>
        <w:jc w:val="left"/>
        <w:rPr>
          <w:rFonts w:eastAsiaTheme="minorEastAsia"/>
          <w:sz w:val="30"/>
          <w:szCs w:val="30"/>
        </w:rPr>
      </w:pPr>
      <w:r>
        <w:rPr>
          <w:rFonts w:hint="eastAsia"/>
          <w:sz w:val="30"/>
          <w:szCs w:val="30"/>
        </w:rPr>
        <w:t>国际国内市场联系更加紧密。我国国内生产总值超过</w:t>
      </w:r>
      <w:r>
        <w:rPr>
          <w:rFonts w:hint="eastAsia"/>
          <w:sz w:val="30"/>
          <w:szCs w:val="30"/>
        </w:rPr>
        <w:t>110</w:t>
      </w:r>
      <w:proofErr w:type="gramStart"/>
      <w:r>
        <w:rPr>
          <w:rFonts w:hint="eastAsia"/>
          <w:sz w:val="30"/>
          <w:szCs w:val="30"/>
        </w:rPr>
        <w:t>万亿</w:t>
      </w:r>
      <w:proofErr w:type="gramEnd"/>
      <w:r>
        <w:rPr>
          <w:rFonts w:hint="eastAsia"/>
          <w:sz w:val="30"/>
          <w:szCs w:val="30"/>
        </w:rPr>
        <w:t>元，已成为全球第二大商品消费市场，带动进口规模持续扩大、结构不断优化。国际经贸合作扎实推进，对外开放高地建设进展显著，我国成为最具吸引力的外资流入国之一，利用外资质量不</w:t>
      </w:r>
      <w:r>
        <w:rPr>
          <w:rFonts w:hint="eastAsia"/>
          <w:sz w:val="30"/>
          <w:szCs w:val="30"/>
        </w:rPr>
        <w:lastRenderedPageBreak/>
        <w:t>断提高，我国市场与全球市场进一步协调发展、互惠互利。</w:t>
      </w:r>
    </w:p>
    <w:p w14:paraId="6184B4FB" w14:textId="77777777" w:rsidR="003F5F97" w:rsidRDefault="00000000">
      <w:pPr>
        <w:ind w:firstLineChars="200" w:firstLine="600"/>
        <w:jc w:val="left"/>
        <w:rPr>
          <w:rFonts w:eastAsiaTheme="minorEastAsia"/>
          <w:sz w:val="30"/>
          <w:szCs w:val="30"/>
        </w:rPr>
      </w:pPr>
      <w:r>
        <w:rPr>
          <w:rFonts w:hint="eastAsia"/>
          <w:sz w:val="30"/>
          <w:szCs w:val="30"/>
        </w:rPr>
        <w:t>（二）重大意义</w:t>
      </w:r>
    </w:p>
    <w:p w14:paraId="3B1FFAF1" w14:textId="77777777" w:rsidR="003F5F97" w:rsidRDefault="00000000">
      <w:pPr>
        <w:ind w:firstLineChars="200" w:firstLine="600"/>
        <w:jc w:val="left"/>
        <w:rPr>
          <w:rFonts w:eastAsiaTheme="minorEastAsia"/>
          <w:sz w:val="30"/>
          <w:szCs w:val="30"/>
        </w:rPr>
      </w:pPr>
      <w:r>
        <w:rPr>
          <w:rFonts w:hint="eastAsia"/>
          <w:sz w:val="30"/>
          <w:szCs w:val="30"/>
        </w:rPr>
        <w:t>实施扩大内需战略是满足人民对美好生活向往的现实需要。我国经济由高速增长阶段转向高质量发展阶段，发展要求和发展条件都呈现新特征，特别是人民对美好生活的向往总体上已经从“有没有”转向“好不好”，呈现多样化、多层次、多方面的特点。解决人民日益增长的美好生活需要和不平衡不充分的发展之间的矛盾，必须坚定实施扩大内需战略，固根基、扬优势、补短板、强弱项，通过增加高质量产品和服务供给，满足人民群众需要，促进人的全面发展和社会全面进步，推动供需在更高水平上实现良性循环。</w:t>
      </w:r>
    </w:p>
    <w:p w14:paraId="54EACFC2" w14:textId="77777777" w:rsidR="003F5F97" w:rsidRDefault="00000000">
      <w:pPr>
        <w:ind w:firstLineChars="200" w:firstLine="600"/>
        <w:jc w:val="left"/>
        <w:rPr>
          <w:rFonts w:eastAsiaTheme="minorEastAsia"/>
          <w:sz w:val="30"/>
          <w:szCs w:val="30"/>
        </w:rPr>
      </w:pPr>
      <w:r>
        <w:rPr>
          <w:rFonts w:hint="eastAsia"/>
          <w:sz w:val="30"/>
          <w:szCs w:val="30"/>
        </w:rPr>
        <w:t>实施扩大内需战略是充分发挥超大规模市场优势的主动选择。大国经济具有内需为主导的显著特征。内需市场一头连着经济发展，一头连着社会民生，是经济发展的主要依托。我国经济经过改革开放</w:t>
      </w:r>
      <w:r>
        <w:rPr>
          <w:rFonts w:hint="eastAsia"/>
          <w:sz w:val="30"/>
          <w:szCs w:val="30"/>
        </w:rPr>
        <w:t>40</w:t>
      </w:r>
      <w:r>
        <w:rPr>
          <w:rFonts w:hint="eastAsia"/>
          <w:sz w:val="30"/>
          <w:szCs w:val="30"/>
        </w:rPr>
        <w:t>多年持续快速发展，逐步在市场需求、产业体系、人力资源、软硬基础设施等方面形成了超大规模市场优势，为培育完整内需体系奠定了基础。进一步发挥超大规模市场优势，必须坚定实施扩大内需战略，扩大居民消费和有效投资，增强经济发展韧性，促进经济持续健康发展。</w:t>
      </w:r>
    </w:p>
    <w:p w14:paraId="4F312802" w14:textId="77777777" w:rsidR="003F5F97" w:rsidRDefault="00000000">
      <w:pPr>
        <w:ind w:firstLineChars="200" w:firstLine="600"/>
        <w:jc w:val="left"/>
        <w:rPr>
          <w:rFonts w:eastAsiaTheme="minorEastAsia"/>
          <w:sz w:val="30"/>
          <w:szCs w:val="30"/>
        </w:rPr>
      </w:pPr>
      <w:r>
        <w:rPr>
          <w:rFonts w:hint="eastAsia"/>
          <w:sz w:val="30"/>
          <w:szCs w:val="30"/>
        </w:rPr>
        <w:t>实施扩大内需战略是应对国际环境深刻变化的必然要求。世界百年未有之大变局加速演进，国际力量对比深刻调整，新冠肺炎疫情影响广泛深远，世界经济增长不平衡不确定性增大，单边</w:t>
      </w:r>
      <w:r>
        <w:rPr>
          <w:rFonts w:hint="eastAsia"/>
          <w:sz w:val="30"/>
          <w:szCs w:val="30"/>
        </w:rPr>
        <w:lastRenderedPageBreak/>
        <w:t>主义、保护主义、霸权主义对世界和平与发展构成威胁。面对复杂严峻的外部环境，必须坚定实施扩大内需战略，以自身的稳定发展有效应对外部风险挑战。</w:t>
      </w:r>
    </w:p>
    <w:p w14:paraId="2BD8A919" w14:textId="77777777" w:rsidR="003F5F97" w:rsidRDefault="00000000">
      <w:pPr>
        <w:ind w:firstLineChars="200" w:firstLine="600"/>
        <w:jc w:val="left"/>
        <w:rPr>
          <w:rFonts w:eastAsiaTheme="minorEastAsia"/>
          <w:sz w:val="30"/>
          <w:szCs w:val="30"/>
        </w:rPr>
      </w:pPr>
      <w:r>
        <w:rPr>
          <w:rFonts w:hint="eastAsia"/>
          <w:sz w:val="30"/>
          <w:szCs w:val="30"/>
        </w:rPr>
        <w:t>实施扩大内需战略是更高效率促进经济循环的关键支撑。构建新发展格局关键在于经济循环的畅通无阻。促进国内大循环更为顺畅，必须坚定实施扩大内需战略，打通经济循环堵点，夯实国内基本盘；实现国内国际双循环相互促进，也必须坚定实施扩大内需战略，更好依托国内大市场，有效利用全球要素和市场资源，更高效率实现内外市场联通，促进发展更高水平的国内大循环。</w:t>
      </w:r>
    </w:p>
    <w:p w14:paraId="31DBEBCA" w14:textId="77777777" w:rsidR="003F5F97" w:rsidRDefault="00000000">
      <w:pPr>
        <w:ind w:firstLineChars="200" w:firstLine="600"/>
        <w:jc w:val="left"/>
        <w:rPr>
          <w:rFonts w:eastAsiaTheme="minorEastAsia"/>
          <w:sz w:val="30"/>
          <w:szCs w:val="30"/>
        </w:rPr>
      </w:pPr>
      <w:r>
        <w:rPr>
          <w:rFonts w:hint="eastAsia"/>
          <w:sz w:val="30"/>
          <w:szCs w:val="30"/>
        </w:rPr>
        <w:t>（三）机遇和挑战</w:t>
      </w:r>
    </w:p>
    <w:p w14:paraId="5CF177B4" w14:textId="77777777" w:rsidR="003F5F97" w:rsidRDefault="00000000">
      <w:pPr>
        <w:ind w:firstLineChars="200" w:firstLine="600"/>
        <w:jc w:val="left"/>
        <w:rPr>
          <w:rFonts w:eastAsiaTheme="minorEastAsia"/>
          <w:sz w:val="30"/>
          <w:szCs w:val="30"/>
        </w:rPr>
      </w:pPr>
      <w:r>
        <w:rPr>
          <w:rFonts w:hint="eastAsia"/>
          <w:sz w:val="30"/>
          <w:szCs w:val="30"/>
        </w:rPr>
        <w:t>进入新发展阶段，我国国内市场基础更加扎实，实施扩大内需战略的环境条件深刻变化。展望未来一段时期，国内市场主导国民经济循环特征会更加明显，消费已成为我国经济增长的主拉动力，居民消费优化升级同现代科技和生产方式相结合，我国这一全球最有潜力的消费市场还将不断成长壮大。我国正处于新型工业化、信息化、城镇化、农业现代化快速发展阶段，与发达国家相比，在很多方面还有较大投资空间，投资需求潜力巨大。同时，中国特色社会主义制度优势显著，宏观经济治理能力持续提升，改革创新不断孕育新的发展动力，全国统一大市场加快建设，商品和要素流通制度环境持续改善，我国生产要素质量和配置水平显著提升，国内市场空间更趋广阔。</w:t>
      </w:r>
    </w:p>
    <w:p w14:paraId="368A0DA2" w14:textId="77777777" w:rsidR="003F5F97" w:rsidRDefault="00000000">
      <w:pPr>
        <w:ind w:firstLineChars="200" w:firstLine="600"/>
        <w:jc w:val="left"/>
        <w:rPr>
          <w:rFonts w:eastAsiaTheme="minorEastAsia"/>
          <w:sz w:val="30"/>
          <w:szCs w:val="30"/>
        </w:rPr>
      </w:pPr>
      <w:r>
        <w:rPr>
          <w:rFonts w:hint="eastAsia"/>
          <w:sz w:val="30"/>
          <w:szCs w:val="30"/>
        </w:rPr>
        <w:lastRenderedPageBreak/>
        <w:t>同时要看到，我国扩大内需仍面临不少制约。劳动力、土地、环境等要素趋紧制约投资增长，创新能力不能完全适应高质量发展要求，群众个性化、多样化消费需求难以得到有效满足；城乡区域发展和收入分配差距较大，民生保障存在短板，财政金融等领域风险隐患不容忽视，制约内需潜力释放的体制机制堵点仍然较多；国际竞争日趋激烈，把我国打造成国际高端要素资源的“引力场”任重道远。</w:t>
      </w:r>
    </w:p>
    <w:p w14:paraId="6939C023" w14:textId="77777777" w:rsidR="003F5F97" w:rsidRDefault="00000000">
      <w:pPr>
        <w:ind w:firstLineChars="200" w:firstLine="600"/>
        <w:jc w:val="left"/>
        <w:rPr>
          <w:rFonts w:eastAsiaTheme="minorEastAsia"/>
          <w:sz w:val="30"/>
          <w:szCs w:val="30"/>
        </w:rPr>
      </w:pPr>
      <w:r>
        <w:rPr>
          <w:rFonts w:hint="eastAsia"/>
          <w:sz w:val="30"/>
          <w:szCs w:val="30"/>
        </w:rPr>
        <w:t>综合来看，我国扩大内需机遇和挑战都有新的发展变化，总体</w:t>
      </w:r>
      <w:proofErr w:type="gramStart"/>
      <w:r>
        <w:rPr>
          <w:rFonts w:hint="eastAsia"/>
          <w:sz w:val="30"/>
          <w:szCs w:val="30"/>
        </w:rPr>
        <w:t>上机遇</w:t>
      </w:r>
      <w:proofErr w:type="gramEnd"/>
      <w:r>
        <w:rPr>
          <w:rFonts w:hint="eastAsia"/>
          <w:sz w:val="30"/>
          <w:szCs w:val="30"/>
        </w:rPr>
        <w:t>大于挑战。必须坚定实施扩大内需战略，准确把握国内市场发展规律，未雨绸缪，趋利避害，在危机中育先机、于变局中开新局，不断释放内需潜力，充分发挥内需拉动作用，建设更加强大的国内市场，推动我国经济平稳健康可持续发展。</w:t>
      </w:r>
    </w:p>
    <w:p w14:paraId="678CF912" w14:textId="77777777" w:rsidR="003F5F97" w:rsidRDefault="00000000">
      <w:pPr>
        <w:ind w:firstLineChars="200" w:firstLine="600"/>
        <w:jc w:val="left"/>
        <w:rPr>
          <w:rFonts w:eastAsiaTheme="minorEastAsia"/>
          <w:sz w:val="30"/>
          <w:szCs w:val="30"/>
        </w:rPr>
      </w:pPr>
      <w:r>
        <w:rPr>
          <w:rFonts w:hint="eastAsia"/>
          <w:sz w:val="30"/>
          <w:szCs w:val="30"/>
        </w:rPr>
        <w:t>二、总体要求</w:t>
      </w:r>
    </w:p>
    <w:p w14:paraId="263C1922" w14:textId="77777777" w:rsidR="003F5F97" w:rsidRDefault="00000000">
      <w:pPr>
        <w:ind w:firstLineChars="200" w:firstLine="600"/>
        <w:jc w:val="left"/>
        <w:rPr>
          <w:rFonts w:eastAsiaTheme="minorEastAsia"/>
          <w:sz w:val="30"/>
          <w:szCs w:val="30"/>
        </w:rPr>
      </w:pPr>
      <w:r>
        <w:rPr>
          <w:rFonts w:hint="eastAsia"/>
          <w:sz w:val="30"/>
          <w:szCs w:val="30"/>
        </w:rPr>
        <w:t>（四）指导思想</w:t>
      </w:r>
    </w:p>
    <w:p w14:paraId="6A9CEEE9" w14:textId="77777777" w:rsidR="003F5F97" w:rsidRDefault="00000000">
      <w:pPr>
        <w:ind w:firstLineChars="200" w:firstLine="600"/>
        <w:jc w:val="left"/>
        <w:rPr>
          <w:rFonts w:eastAsiaTheme="minorEastAsia"/>
          <w:sz w:val="30"/>
          <w:szCs w:val="30"/>
        </w:rPr>
      </w:pPr>
      <w:r>
        <w:rPr>
          <w:rFonts w:hint="eastAsia"/>
          <w:sz w:val="30"/>
          <w:szCs w:val="30"/>
        </w:rPr>
        <w:t>以习近平新时代中国特色社会主义思想为指导，坚持稳中求进工作总基调，立足新发展阶段，完整、准确、全面贯彻新发展理念，构建新发展格局，以推动高质量发展为主题，以深化供给侧结构性改革为主线，以改革创新为根本动力，以满足人民日益增长的美好生活需要为根本目的，坚持系统观念，更好统筹发展和安全，牢牢把握扩大内需这个战略基点，加快培育完整内需体系，加强需求侧管理，促进形成强大国内市场，着力畅通国内经济大循环，促进国内国际双循环良性互动，推动我国经济行稳致</w:t>
      </w:r>
      <w:r>
        <w:rPr>
          <w:rFonts w:hint="eastAsia"/>
          <w:sz w:val="30"/>
          <w:szCs w:val="30"/>
        </w:rPr>
        <w:lastRenderedPageBreak/>
        <w:t>远、社会安定和谐，为全面建设社会主义现代化国家奠定坚实基础。</w:t>
      </w:r>
    </w:p>
    <w:p w14:paraId="21865E60" w14:textId="77777777" w:rsidR="003F5F97" w:rsidRDefault="00000000">
      <w:pPr>
        <w:ind w:firstLineChars="200" w:firstLine="600"/>
        <w:jc w:val="left"/>
        <w:rPr>
          <w:rFonts w:eastAsiaTheme="minorEastAsia"/>
          <w:sz w:val="30"/>
          <w:szCs w:val="30"/>
        </w:rPr>
      </w:pPr>
      <w:r>
        <w:rPr>
          <w:rFonts w:hint="eastAsia"/>
          <w:sz w:val="30"/>
          <w:szCs w:val="30"/>
        </w:rPr>
        <w:t>（五）工作原则</w:t>
      </w:r>
    </w:p>
    <w:p w14:paraId="3ADF5AC6" w14:textId="77777777" w:rsidR="003F5F97" w:rsidRDefault="00000000">
      <w:pPr>
        <w:ind w:firstLineChars="200" w:firstLine="600"/>
        <w:jc w:val="left"/>
        <w:rPr>
          <w:rFonts w:eastAsiaTheme="minorEastAsia"/>
          <w:sz w:val="30"/>
          <w:szCs w:val="30"/>
        </w:rPr>
      </w:pPr>
      <w:r>
        <w:rPr>
          <w:rFonts w:hint="eastAsia"/>
          <w:sz w:val="30"/>
          <w:szCs w:val="30"/>
        </w:rPr>
        <w:t>——坚持党的领导，发挥制度优势。充分发挥党总揽全局、协调各方的领导核心作用，贯彻党把方向、谋大局、定政策、促改革的要求，把党的领导贯彻到扩大内需战略实施全过程，发挥我国国家制度和国家治理体系多方面显著优势，为扩大内需战略实施提供根本保证。</w:t>
      </w:r>
    </w:p>
    <w:p w14:paraId="25AA25DD" w14:textId="77777777" w:rsidR="003F5F97" w:rsidRDefault="00000000">
      <w:pPr>
        <w:ind w:firstLineChars="200" w:firstLine="600"/>
        <w:jc w:val="left"/>
        <w:rPr>
          <w:rFonts w:eastAsiaTheme="minorEastAsia"/>
          <w:sz w:val="30"/>
          <w:szCs w:val="30"/>
        </w:rPr>
      </w:pPr>
      <w:r>
        <w:rPr>
          <w:rFonts w:hint="eastAsia"/>
          <w:sz w:val="30"/>
          <w:szCs w:val="30"/>
        </w:rPr>
        <w:t>——坚持人民立场，增进民生福祉。坚持以人民为中心，把满足人民日益增长的美好生活需要作为扩大内需的出发点和落脚点，始终做到发展为了人民、发展依靠人民、发展成果由人民共享，扎实推动共同富裕，不断增强人民群众的获得感、幸福感、安全感。</w:t>
      </w:r>
    </w:p>
    <w:p w14:paraId="0B7B5127" w14:textId="77777777" w:rsidR="003F5F97" w:rsidRDefault="00000000">
      <w:pPr>
        <w:ind w:firstLineChars="200" w:firstLine="600"/>
        <w:jc w:val="left"/>
        <w:rPr>
          <w:rFonts w:eastAsiaTheme="minorEastAsia"/>
          <w:sz w:val="30"/>
          <w:szCs w:val="30"/>
        </w:rPr>
      </w:pPr>
      <w:r>
        <w:rPr>
          <w:rFonts w:hint="eastAsia"/>
          <w:sz w:val="30"/>
          <w:szCs w:val="30"/>
        </w:rPr>
        <w:t>——坚持顶层设计，服务全局战略。坚持扩大内需这个战略基点，以创新驱动、高质量供给引领和创造新需求，使扩大内需成为构建新发展格局的重要支撑，推动质量变革、效率变革、动力变革，促进供需在更高水平上实现动态平衡。</w:t>
      </w:r>
    </w:p>
    <w:p w14:paraId="14E4EBAF" w14:textId="77777777" w:rsidR="003F5F97" w:rsidRDefault="00000000">
      <w:pPr>
        <w:ind w:firstLineChars="200" w:firstLine="600"/>
        <w:jc w:val="left"/>
        <w:rPr>
          <w:rFonts w:eastAsiaTheme="minorEastAsia"/>
          <w:sz w:val="30"/>
          <w:szCs w:val="30"/>
        </w:rPr>
      </w:pPr>
      <w:r>
        <w:rPr>
          <w:rFonts w:hint="eastAsia"/>
          <w:sz w:val="30"/>
          <w:szCs w:val="30"/>
        </w:rPr>
        <w:t>——坚持改革开放，增强内生动力。坚定不移用改革的办法释放和激发市场潜力，把有效市场和有为政府结合起来，充分发挥市场在资源配置中的决定性作用，更好发挥政府作用，破除制约内需增长的体制机制障碍，不断提高要素配置和产品流通效率，同时实施更高水平对外开放，充分利用国际高端要素资源，持续</w:t>
      </w:r>
      <w:r>
        <w:rPr>
          <w:rFonts w:hint="eastAsia"/>
          <w:sz w:val="30"/>
          <w:szCs w:val="30"/>
        </w:rPr>
        <w:lastRenderedPageBreak/>
        <w:t>增强国内市场活力。</w:t>
      </w:r>
    </w:p>
    <w:p w14:paraId="2D3259FD" w14:textId="77777777" w:rsidR="003F5F97" w:rsidRDefault="00000000">
      <w:pPr>
        <w:ind w:firstLineChars="200" w:firstLine="600"/>
        <w:jc w:val="left"/>
        <w:rPr>
          <w:rFonts w:eastAsiaTheme="minorEastAsia"/>
          <w:sz w:val="30"/>
          <w:szCs w:val="30"/>
        </w:rPr>
      </w:pPr>
      <w:r>
        <w:rPr>
          <w:rFonts w:hint="eastAsia"/>
          <w:sz w:val="30"/>
          <w:szCs w:val="30"/>
        </w:rPr>
        <w:t>——坚持系统观念，强化协同高效。加强前瞻性思考、全局性谋划、战略性布局、整体性推进，加快培育完整内需体系，统筹好供给和需求、消费和投资、内需和外需、数量和质量、国内和国际、速度和效益、效率和公平、发展和安全等重大关系，尽力而为、量力而行，实现发展质量、结构、规模、速度、效益、安全相统一，使扩大内需成为一个可持续的历史过程。</w:t>
      </w:r>
    </w:p>
    <w:p w14:paraId="7FB30856" w14:textId="77777777" w:rsidR="003F5F97" w:rsidRDefault="00000000">
      <w:pPr>
        <w:ind w:firstLineChars="200" w:firstLine="600"/>
        <w:jc w:val="left"/>
        <w:rPr>
          <w:rFonts w:eastAsiaTheme="minorEastAsia"/>
          <w:sz w:val="30"/>
          <w:szCs w:val="30"/>
        </w:rPr>
      </w:pPr>
      <w:r>
        <w:rPr>
          <w:rFonts w:hint="eastAsia"/>
          <w:sz w:val="30"/>
          <w:szCs w:val="30"/>
        </w:rPr>
        <w:t>（六）发展目标</w:t>
      </w:r>
    </w:p>
    <w:p w14:paraId="1253CBBF" w14:textId="77777777" w:rsidR="003F5F97" w:rsidRDefault="00000000">
      <w:pPr>
        <w:ind w:firstLineChars="200" w:firstLine="600"/>
        <w:jc w:val="left"/>
        <w:rPr>
          <w:rFonts w:eastAsiaTheme="minorEastAsia"/>
          <w:sz w:val="30"/>
          <w:szCs w:val="30"/>
        </w:rPr>
      </w:pPr>
      <w:r>
        <w:rPr>
          <w:rFonts w:hint="eastAsia"/>
          <w:sz w:val="30"/>
          <w:szCs w:val="30"/>
        </w:rPr>
        <w:t>按照全面建设社会主义现代化国家的战略安排，展望</w:t>
      </w:r>
      <w:r>
        <w:rPr>
          <w:rFonts w:hint="eastAsia"/>
          <w:sz w:val="30"/>
          <w:szCs w:val="30"/>
        </w:rPr>
        <w:t>2035</w:t>
      </w:r>
      <w:r>
        <w:rPr>
          <w:rFonts w:hint="eastAsia"/>
          <w:sz w:val="30"/>
          <w:szCs w:val="30"/>
        </w:rPr>
        <w:t>年，实施扩大内需战略的远景目标是：消费和投资规模再上新台阶，完整内需体系全面建立；新型工业化、信息化、城镇化、农业现代化基本实现，强大国内市场建设取得更大成就，关键核心技术实现重大突破，以创新驱动、内需拉动的国内大循环更加高效畅通；人民生活更加美好，城乡居民人均收入再迈上新的大台阶，中等收入群体显著扩大，基本公共服务实现均等化，城乡区域发展差距和居民生活水平差距显著缩小，全体人民共同富裕取得更为明显的实质性进展；改革对内需发展的支撑作用大幅提升，高标准市场体系更加健全，现代流通体系全面建成；我国参与全球经济合作和竞争新优势持续增强，国内市场的国际影响力大幅提升。</w:t>
      </w:r>
    </w:p>
    <w:p w14:paraId="33BC25A5" w14:textId="77777777" w:rsidR="003F5F97" w:rsidRDefault="00000000">
      <w:pPr>
        <w:ind w:firstLineChars="200" w:firstLine="600"/>
        <w:jc w:val="left"/>
        <w:rPr>
          <w:rFonts w:eastAsiaTheme="minorEastAsia"/>
          <w:sz w:val="30"/>
          <w:szCs w:val="30"/>
        </w:rPr>
      </w:pPr>
      <w:r>
        <w:rPr>
          <w:rFonts w:hint="eastAsia"/>
          <w:sz w:val="30"/>
          <w:szCs w:val="30"/>
        </w:rPr>
        <w:t>锚定</w:t>
      </w:r>
      <w:r>
        <w:rPr>
          <w:rFonts w:hint="eastAsia"/>
          <w:sz w:val="30"/>
          <w:szCs w:val="30"/>
        </w:rPr>
        <w:t>2035</w:t>
      </w:r>
      <w:r>
        <w:rPr>
          <w:rFonts w:hint="eastAsia"/>
          <w:sz w:val="30"/>
          <w:szCs w:val="30"/>
        </w:rPr>
        <w:t>年远景目标，综合考虑发展环境和发展条件，“十四五”时期实施扩大内需战略的主要目标是：</w:t>
      </w:r>
    </w:p>
    <w:p w14:paraId="53FCFAD0" w14:textId="77777777" w:rsidR="003F5F97" w:rsidRDefault="00000000">
      <w:pPr>
        <w:ind w:firstLineChars="200" w:firstLine="600"/>
        <w:jc w:val="left"/>
        <w:rPr>
          <w:rFonts w:eastAsiaTheme="minorEastAsia"/>
          <w:sz w:val="30"/>
          <w:szCs w:val="30"/>
        </w:rPr>
      </w:pPr>
      <w:r>
        <w:rPr>
          <w:rFonts w:hint="eastAsia"/>
          <w:sz w:val="30"/>
          <w:szCs w:val="30"/>
        </w:rPr>
        <w:lastRenderedPageBreak/>
        <w:t>——促进消费投资，内需规模实现新突破。消费的基础性作用和投资的关键作用进一步增强。内需持续健康发展，质量效益明显提升，超大规模市场优势充分发挥，国内市场更加强大，培育完整内需体系取得明显进展。</w:t>
      </w:r>
    </w:p>
    <w:p w14:paraId="2B2EEF88" w14:textId="77777777" w:rsidR="003F5F97" w:rsidRDefault="00000000">
      <w:pPr>
        <w:ind w:firstLineChars="200" w:firstLine="600"/>
        <w:jc w:val="left"/>
        <w:rPr>
          <w:rFonts w:eastAsiaTheme="minorEastAsia"/>
          <w:sz w:val="30"/>
          <w:szCs w:val="30"/>
        </w:rPr>
      </w:pPr>
      <w:r>
        <w:rPr>
          <w:rFonts w:hint="eastAsia"/>
          <w:sz w:val="30"/>
          <w:szCs w:val="30"/>
        </w:rPr>
        <w:t>——完善分配格局，内需潜能不断释放。分配结构明显改善，城乡区域发展差距和居民生活水平差距逐步缩小，居民人均可支配收入实际增长和经济增长基本同步。基本公共服务均等化水平持续提升，多层次社会保障体系更加健全，社会事业加快发展。</w:t>
      </w:r>
    </w:p>
    <w:p w14:paraId="42A7F272" w14:textId="77777777" w:rsidR="003F5F97" w:rsidRDefault="00000000">
      <w:pPr>
        <w:ind w:firstLineChars="200" w:firstLine="600"/>
        <w:jc w:val="left"/>
        <w:rPr>
          <w:rFonts w:eastAsiaTheme="minorEastAsia"/>
          <w:sz w:val="30"/>
          <w:szCs w:val="30"/>
        </w:rPr>
      </w:pPr>
      <w:r>
        <w:rPr>
          <w:rFonts w:hint="eastAsia"/>
          <w:sz w:val="30"/>
          <w:szCs w:val="30"/>
        </w:rPr>
        <w:t>——提升供给质量，国内需求得到更好满足。供给侧结构性改革取得重大进展，农业基础更加稳固，制造业比重基本稳定，现代服务业加快建设，实体经济发展根基进一步夯实，传统产业改造提升加速推进，新产业新业</w:t>
      </w:r>
      <w:proofErr w:type="gramStart"/>
      <w:r>
        <w:rPr>
          <w:rFonts w:hint="eastAsia"/>
          <w:sz w:val="30"/>
          <w:szCs w:val="30"/>
        </w:rPr>
        <w:t>态加快</w:t>
      </w:r>
      <w:proofErr w:type="gramEnd"/>
      <w:r>
        <w:rPr>
          <w:rFonts w:hint="eastAsia"/>
          <w:sz w:val="30"/>
          <w:szCs w:val="30"/>
        </w:rPr>
        <w:t>发展，创新能力显著提升，产业基础高级化、产业链现代化水平明显提高，供给体系对国内需求的适配性不断增强。</w:t>
      </w:r>
    </w:p>
    <w:p w14:paraId="400CE88A" w14:textId="77777777" w:rsidR="003F5F97" w:rsidRDefault="00000000">
      <w:pPr>
        <w:ind w:firstLineChars="200" w:firstLine="600"/>
        <w:jc w:val="left"/>
        <w:rPr>
          <w:rFonts w:eastAsiaTheme="minorEastAsia"/>
          <w:sz w:val="30"/>
          <w:szCs w:val="30"/>
        </w:rPr>
      </w:pPr>
      <w:r>
        <w:rPr>
          <w:rFonts w:hint="eastAsia"/>
          <w:sz w:val="30"/>
          <w:szCs w:val="30"/>
        </w:rPr>
        <w:t>——完善市场体系，激发内需取得明显成效。统一开放、竞争有序、制度完备、治理完善的高标准市场体系基本建成，商品和要素在城乡区域间流动更加顺畅，产权制度改革和要素市场化配置改革取得重大进展，营商环境持续优化，公平竞争制度更加完善，现代流通体系建立健全。</w:t>
      </w:r>
    </w:p>
    <w:p w14:paraId="4A41C9E7" w14:textId="77777777" w:rsidR="003F5F97" w:rsidRDefault="00000000">
      <w:pPr>
        <w:ind w:firstLineChars="200" w:firstLine="600"/>
        <w:jc w:val="left"/>
        <w:rPr>
          <w:rFonts w:eastAsiaTheme="minorEastAsia"/>
          <w:sz w:val="30"/>
          <w:szCs w:val="30"/>
        </w:rPr>
      </w:pPr>
      <w:r>
        <w:rPr>
          <w:rFonts w:hint="eastAsia"/>
          <w:sz w:val="30"/>
          <w:szCs w:val="30"/>
        </w:rPr>
        <w:t>——畅通经济循环，内需发展效率持续提升。更高水平开放型经济新体制基本形成，我国与周边区域经济合作程度进一步加深，对周边和全球经济发展的带动作用不断增强。</w:t>
      </w:r>
    </w:p>
    <w:p w14:paraId="58EB7F9A" w14:textId="77777777" w:rsidR="003F5F97" w:rsidRDefault="00000000">
      <w:pPr>
        <w:ind w:firstLineChars="200" w:firstLine="600"/>
        <w:jc w:val="left"/>
        <w:rPr>
          <w:rFonts w:eastAsiaTheme="minorEastAsia"/>
          <w:sz w:val="30"/>
          <w:szCs w:val="30"/>
        </w:rPr>
      </w:pPr>
      <w:r>
        <w:rPr>
          <w:rFonts w:hint="eastAsia"/>
          <w:sz w:val="30"/>
          <w:szCs w:val="30"/>
        </w:rPr>
        <w:lastRenderedPageBreak/>
        <w:t>（七）重点任务</w:t>
      </w:r>
    </w:p>
    <w:p w14:paraId="5D8B2B3C" w14:textId="77777777" w:rsidR="003F5F97" w:rsidRDefault="00000000">
      <w:pPr>
        <w:ind w:firstLineChars="200" w:firstLine="600"/>
        <w:jc w:val="left"/>
        <w:rPr>
          <w:rFonts w:eastAsiaTheme="minorEastAsia"/>
          <w:sz w:val="30"/>
          <w:szCs w:val="30"/>
        </w:rPr>
      </w:pPr>
      <w:r>
        <w:rPr>
          <w:rFonts w:hint="eastAsia"/>
          <w:sz w:val="30"/>
          <w:szCs w:val="30"/>
        </w:rPr>
        <w:t>坚持问题导向，围绕推动高质量发展，针对我国中长期扩大内需面临的主要问题，特别是有效供给能力不足、分配差距较大、流通体系现代化程度不高、消费体制机制不健全、投资结构仍需优化等堵点难点，部署实施扩大内需战略的重点任务。</w:t>
      </w:r>
    </w:p>
    <w:p w14:paraId="3F06730A" w14:textId="77777777" w:rsidR="003F5F97" w:rsidRDefault="00000000">
      <w:pPr>
        <w:ind w:firstLineChars="200" w:firstLine="600"/>
        <w:jc w:val="left"/>
        <w:rPr>
          <w:rFonts w:eastAsiaTheme="minorEastAsia"/>
          <w:sz w:val="30"/>
          <w:szCs w:val="30"/>
        </w:rPr>
      </w:pPr>
      <w:r>
        <w:rPr>
          <w:rFonts w:hint="eastAsia"/>
          <w:sz w:val="30"/>
          <w:szCs w:val="30"/>
        </w:rPr>
        <w:t>加快培育完整内需体系。把实施扩大内需战略同深化供给侧结构性改革有机结合起来，按照生产、分配、流通、消费和投资再生产的全链条拓展内需体系，培育由提高供给质量、优化分配格局、健全流通体系、全面促进消费、拓展投资空间等共同组成的完整内需体系。</w:t>
      </w:r>
    </w:p>
    <w:p w14:paraId="75782317" w14:textId="77777777" w:rsidR="003F5F97" w:rsidRDefault="00000000">
      <w:pPr>
        <w:ind w:firstLineChars="200" w:firstLine="600"/>
        <w:jc w:val="left"/>
        <w:rPr>
          <w:rFonts w:eastAsiaTheme="minorEastAsia"/>
          <w:sz w:val="30"/>
          <w:szCs w:val="30"/>
        </w:rPr>
      </w:pPr>
      <w:r>
        <w:rPr>
          <w:rFonts w:hint="eastAsia"/>
          <w:sz w:val="30"/>
          <w:szCs w:val="30"/>
        </w:rPr>
        <w:t>促进形成强大国内市场。着力挖掘内需潜力，特别是推进新型城镇化和城乡区域协调发展释放内需潜能，进一步做大国内市场规模。通过优化市场结构、健全市场机制、激发市场活力、提升市场韧性，进一步做强国内市场，促进国内市场平稳发展和国际影响力持续提升。</w:t>
      </w:r>
    </w:p>
    <w:p w14:paraId="1CE72F1B" w14:textId="77777777" w:rsidR="003F5F97" w:rsidRDefault="00000000">
      <w:pPr>
        <w:ind w:firstLineChars="200" w:firstLine="600"/>
        <w:jc w:val="left"/>
        <w:rPr>
          <w:rFonts w:eastAsiaTheme="minorEastAsia"/>
          <w:sz w:val="30"/>
          <w:szCs w:val="30"/>
        </w:rPr>
      </w:pPr>
      <w:r>
        <w:rPr>
          <w:rFonts w:hint="eastAsia"/>
          <w:sz w:val="30"/>
          <w:szCs w:val="30"/>
        </w:rPr>
        <w:t>支撑畅通国内经济循环。进一步推进各种要素组合有机衔接和循环流转，形成产品服务增加、社会财富积聚、人民福祉增进、国家实力增强的良性国内经济循环。以强大的国内经济循环为支撑，着力推进高水平对外开放，打造国际高端要素资源“引力场”，使国内和国际市场更好联通，以国际循环提升国内大循环效率和水平，实现国内国际双循环互促共进。</w:t>
      </w:r>
    </w:p>
    <w:p w14:paraId="6C06DB20" w14:textId="77777777" w:rsidR="003F5F97" w:rsidRDefault="00000000">
      <w:pPr>
        <w:ind w:firstLineChars="200" w:firstLine="600"/>
        <w:jc w:val="left"/>
        <w:rPr>
          <w:rFonts w:eastAsiaTheme="minorEastAsia"/>
          <w:sz w:val="30"/>
          <w:szCs w:val="30"/>
        </w:rPr>
      </w:pPr>
      <w:r>
        <w:rPr>
          <w:rFonts w:hint="eastAsia"/>
          <w:sz w:val="30"/>
          <w:szCs w:val="30"/>
        </w:rPr>
        <w:t>三、全面促进消费，加快消费提质升级</w:t>
      </w:r>
    </w:p>
    <w:p w14:paraId="5E113CEE" w14:textId="77777777" w:rsidR="003F5F97" w:rsidRDefault="00000000">
      <w:pPr>
        <w:ind w:firstLineChars="200" w:firstLine="600"/>
        <w:jc w:val="left"/>
        <w:rPr>
          <w:rFonts w:eastAsiaTheme="minorEastAsia"/>
          <w:sz w:val="30"/>
          <w:szCs w:val="30"/>
        </w:rPr>
      </w:pPr>
      <w:r>
        <w:rPr>
          <w:rFonts w:hint="eastAsia"/>
          <w:sz w:val="30"/>
          <w:szCs w:val="30"/>
        </w:rPr>
        <w:lastRenderedPageBreak/>
        <w:t>最终消费是经济增长的持久动力。顺应消费升级趋势，提升传统消费，培育新型消费，扩大服务消费，适当增加公共消费，着力满足个性化、多样化、高品质消费需求。</w:t>
      </w:r>
    </w:p>
    <w:p w14:paraId="565B5C4A" w14:textId="77777777" w:rsidR="003F5F97" w:rsidRDefault="00000000">
      <w:pPr>
        <w:ind w:firstLineChars="200" w:firstLine="600"/>
        <w:jc w:val="left"/>
        <w:rPr>
          <w:rFonts w:eastAsiaTheme="minorEastAsia"/>
          <w:sz w:val="30"/>
          <w:szCs w:val="30"/>
        </w:rPr>
      </w:pPr>
      <w:r>
        <w:rPr>
          <w:rFonts w:hint="eastAsia"/>
          <w:sz w:val="30"/>
          <w:szCs w:val="30"/>
        </w:rPr>
        <w:t>（八）持续提升传统消费</w:t>
      </w:r>
    </w:p>
    <w:p w14:paraId="09F056F5" w14:textId="77777777" w:rsidR="003F5F97" w:rsidRDefault="00000000">
      <w:pPr>
        <w:ind w:firstLineChars="200" w:firstLine="600"/>
        <w:jc w:val="left"/>
        <w:rPr>
          <w:rFonts w:eastAsiaTheme="minorEastAsia"/>
          <w:sz w:val="30"/>
          <w:szCs w:val="30"/>
        </w:rPr>
      </w:pPr>
      <w:r>
        <w:rPr>
          <w:rFonts w:hint="eastAsia"/>
          <w:sz w:val="30"/>
          <w:szCs w:val="30"/>
        </w:rPr>
        <w:t>提高吃穿等基本消费品质。加强引导、强化监督、支持创新，推动增加高品质基本消费品供给，推进内外销产品同线同标同质。倡导健康饮食结构，增加健康、营养农产品和食品供给，促进餐饮业健康发展。坚持不懈制止餐饮浪费。</w:t>
      </w:r>
    </w:p>
    <w:p w14:paraId="6444A0D6" w14:textId="77777777" w:rsidR="003F5F97" w:rsidRDefault="00000000">
      <w:pPr>
        <w:ind w:firstLineChars="200" w:firstLine="600"/>
        <w:jc w:val="left"/>
        <w:rPr>
          <w:rFonts w:eastAsiaTheme="minorEastAsia"/>
          <w:sz w:val="30"/>
          <w:szCs w:val="30"/>
        </w:rPr>
      </w:pPr>
      <w:r>
        <w:rPr>
          <w:rFonts w:hint="eastAsia"/>
          <w:sz w:val="30"/>
          <w:szCs w:val="30"/>
        </w:rPr>
        <w:t>释放出行消费潜力。优化城市交通网络布局，大力发展智慧交通。推动汽车消费由购买管理向使用管理转变。推进汽车电动化、网联化、智能化，加强停车场、充电桩、换电站、加氢站等配套设施建设。便利二手车交易。</w:t>
      </w:r>
    </w:p>
    <w:p w14:paraId="37DB158C" w14:textId="77777777" w:rsidR="003F5F97" w:rsidRDefault="00000000">
      <w:pPr>
        <w:ind w:firstLineChars="200" w:firstLine="600"/>
        <w:jc w:val="left"/>
        <w:rPr>
          <w:rFonts w:eastAsiaTheme="minorEastAsia"/>
          <w:sz w:val="30"/>
          <w:szCs w:val="30"/>
        </w:rPr>
      </w:pPr>
      <w:r>
        <w:rPr>
          <w:rFonts w:hint="eastAsia"/>
          <w:sz w:val="30"/>
          <w:szCs w:val="30"/>
        </w:rPr>
        <w:t>促进居住消费健康发展。坚持“房子是用来住的、不是用来炒的”定位，加强房地产市场预期引导，探索新的发展模式，加快建立多主体供给、多渠道保障、租购并举的住房制度，稳妥实施房地产市场平稳健康发展长效机制，支持居民合理自住需求，遏制投资投机性需求，稳地价、稳房价、稳预期。完善住房保障基础性制度和支持政策，以人口净流入的大城市为重点，扩大保障性租赁住房供给。因地制宜发展共有产权住房。完善长租房政策，逐步使租购住房在享受公共服务上具有同等权利。健全住房公积金制度。推进无障碍设施建设，促进家庭装修消费，增加智能家电消费，推动数字家庭发展。</w:t>
      </w:r>
    </w:p>
    <w:p w14:paraId="6AD67399" w14:textId="77777777" w:rsidR="003F5F97" w:rsidRDefault="00000000">
      <w:pPr>
        <w:ind w:firstLineChars="200" w:firstLine="600"/>
        <w:jc w:val="left"/>
        <w:rPr>
          <w:rFonts w:eastAsiaTheme="minorEastAsia"/>
          <w:sz w:val="30"/>
          <w:szCs w:val="30"/>
        </w:rPr>
      </w:pPr>
      <w:r>
        <w:rPr>
          <w:rFonts w:hint="eastAsia"/>
          <w:sz w:val="30"/>
          <w:szCs w:val="30"/>
        </w:rPr>
        <w:lastRenderedPageBreak/>
        <w:t>更好满足中高端消费品消费需求。促进免税业健康有序发展。促进民族品牌加强同国际标准接轨，充分衔接国内消费需求，增加中高端消费品国内供应。培育建设国际消费中心城市，打造一批区域消费中心。深入推进海南国际旅游消费中心建设。</w:t>
      </w:r>
    </w:p>
    <w:p w14:paraId="401DA952" w14:textId="77777777" w:rsidR="003F5F97" w:rsidRDefault="00000000">
      <w:pPr>
        <w:ind w:firstLineChars="200" w:firstLine="600"/>
        <w:jc w:val="left"/>
        <w:rPr>
          <w:rFonts w:eastAsiaTheme="minorEastAsia"/>
          <w:sz w:val="30"/>
          <w:szCs w:val="30"/>
        </w:rPr>
      </w:pPr>
      <w:r>
        <w:rPr>
          <w:rFonts w:hint="eastAsia"/>
          <w:sz w:val="30"/>
          <w:szCs w:val="30"/>
        </w:rPr>
        <w:t>（九）积极发展服务消费</w:t>
      </w:r>
    </w:p>
    <w:p w14:paraId="4CF588A1" w14:textId="77777777" w:rsidR="003F5F97" w:rsidRDefault="00000000">
      <w:pPr>
        <w:ind w:firstLineChars="200" w:firstLine="600"/>
        <w:jc w:val="left"/>
        <w:rPr>
          <w:rFonts w:eastAsiaTheme="minorEastAsia"/>
          <w:sz w:val="30"/>
          <w:szCs w:val="30"/>
        </w:rPr>
      </w:pPr>
      <w:r>
        <w:rPr>
          <w:rFonts w:hint="eastAsia"/>
          <w:sz w:val="30"/>
          <w:szCs w:val="30"/>
        </w:rPr>
        <w:t>扩大文化和旅游消费。完善现代文化产业体系和文化市场体系，推进优质文化资源开发，推动中华优秀传统文化创造性转化、创新性发展。鼓励文化文物单位依托馆藏文化资源，开发各类文化创意产品，扩大优质文化产品和服务供给。大力发展度假休闲旅游。拓展多样化、个性化、定制化旅游产品和服务。加快培育海岛、邮轮、低空、沙漠等旅游业态。释放通用航空消费潜力。</w:t>
      </w:r>
    </w:p>
    <w:p w14:paraId="02875A2A" w14:textId="77777777" w:rsidR="003F5F97" w:rsidRDefault="00000000">
      <w:pPr>
        <w:ind w:firstLineChars="200" w:firstLine="600"/>
        <w:jc w:val="left"/>
        <w:rPr>
          <w:rFonts w:eastAsiaTheme="minorEastAsia"/>
          <w:sz w:val="30"/>
          <w:szCs w:val="30"/>
        </w:rPr>
      </w:pPr>
      <w:r>
        <w:rPr>
          <w:rFonts w:hint="eastAsia"/>
          <w:sz w:val="30"/>
          <w:szCs w:val="30"/>
        </w:rPr>
        <w:t>增加养老育幼服务消费。适应人口老龄化进程，推动养老事业和养老产业协同发展，加快健全居家社区机构相协调、</w:t>
      </w:r>
      <w:proofErr w:type="gramStart"/>
      <w:r>
        <w:rPr>
          <w:rFonts w:hint="eastAsia"/>
          <w:sz w:val="30"/>
          <w:szCs w:val="30"/>
        </w:rPr>
        <w:t>医养康养</w:t>
      </w:r>
      <w:proofErr w:type="gramEnd"/>
      <w:r>
        <w:rPr>
          <w:rFonts w:hint="eastAsia"/>
          <w:sz w:val="30"/>
          <w:szCs w:val="30"/>
        </w:rPr>
        <w:t>相结合的养老服务体系。发展银发经济，推动公共设施</w:t>
      </w:r>
      <w:proofErr w:type="gramStart"/>
      <w:r>
        <w:rPr>
          <w:rFonts w:hint="eastAsia"/>
          <w:sz w:val="30"/>
          <w:szCs w:val="30"/>
        </w:rPr>
        <w:t>适</w:t>
      </w:r>
      <w:proofErr w:type="gramEnd"/>
      <w:r>
        <w:rPr>
          <w:rFonts w:hint="eastAsia"/>
          <w:sz w:val="30"/>
          <w:szCs w:val="30"/>
        </w:rPr>
        <w:t>老化改造，开发</w:t>
      </w:r>
      <w:proofErr w:type="gramStart"/>
      <w:r>
        <w:rPr>
          <w:rFonts w:hint="eastAsia"/>
          <w:sz w:val="30"/>
          <w:szCs w:val="30"/>
        </w:rPr>
        <w:t>适</w:t>
      </w:r>
      <w:proofErr w:type="gramEnd"/>
      <w:r>
        <w:rPr>
          <w:rFonts w:hint="eastAsia"/>
          <w:sz w:val="30"/>
          <w:szCs w:val="30"/>
        </w:rPr>
        <w:t>老化技术和产品。推动生育政策与经济社会政策配套衔接，减轻家庭生育、养育、教育负担，改善优生优育全程服务，释放生育政策潜力。增加</w:t>
      </w:r>
      <w:proofErr w:type="gramStart"/>
      <w:r>
        <w:rPr>
          <w:rFonts w:hint="eastAsia"/>
          <w:sz w:val="30"/>
          <w:szCs w:val="30"/>
        </w:rPr>
        <w:t>普惠托育</w:t>
      </w:r>
      <w:proofErr w:type="gramEnd"/>
      <w:r>
        <w:rPr>
          <w:rFonts w:hint="eastAsia"/>
          <w:sz w:val="30"/>
          <w:szCs w:val="30"/>
        </w:rPr>
        <w:t>供给，发展集中管理运营的社区托育服务。</w:t>
      </w:r>
    </w:p>
    <w:p w14:paraId="1D9AB049" w14:textId="77777777" w:rsidR="003F5F97" w:rsidRDefault="00000000">
      <w:pPr>
        <w:ind w:firstLineChars="200" w:firstLine="600"/>
        <w:jc w:val="left"/>
        <w:rPr>
          <w:rFonts w:eastAsiaTheme="minorEastAsia"/>
          <w:sz w:val="30"/>
          <w:szCs w:val="30"/>
        </w:rPr>
      </w:pPr>
      <w:r>
        <w:rPr>
          <w:rFonts w:hint="eastAsia"/>
          <w:sz w:val="30"/>
          <w:szCs w:val="30"/>
        </w:rPr>
        <w:t>提供多层次医疗健康服务。全面推进健康中国建设，深化医药卫生体制改革，完善公共卫生体系，促进公立医院高质量发展。支持社会力量提供多层次多样化医疗服务，鼓励发展全科医疗服务，增加专科医疗等细分服务领域有效供给。积极发展中医药事</w:t>
      </w:r>
      <w:r>
        <w:rPr>
          <w:rFonts w:hint="eastAsia"/>
          <w:sz w:val="30"/>
          <w:szCs w:val="30"/>
        </w:rPr>
        <w:lastRenderedPageBreak/>
        <w:t>业，着力增加高质量的中医医疗、养生保健、康复、健康旅游等服务。积极发展个性化就医服务。加强职业健康保护。完善常态化疫情防控举措。适时优化国家免疫规划疫苗种类，逐步将安全、有效、财政可负担的疫苗纳入国家免疫规划。</w:t>
      </w:r>
    </w:p>
    <w:p w14:paraId="5269AEBF" w14:textId="77777777" w:rsidR="003F5F97" w:rsidRDefault="00000000">
      <w:pPr>
        <w:ind w:firstLineChars="200" w:firstLine="600"/>
        <w:jc w:val="left"/>
        <w:rPr>
          <w:rFonts w:eastAsiaTheme="minorEastAsia"/>
          <w:sz w:val="30"/>
          <w:szCs w:val="30"/>
        </w:rPr>
      </w:pPr>
      <w:r>
        <w:rPr>
          <w:rFonts w:hint="eastAsia"/>
          <w:sz w:val="30"/>
          <w:szCs w:val="30"/>
        </w:rPr>
        <w:t>提升教育服务质量。健全国民教育体系，促进教育公平。</w:t>
      </w:r>
      <w:proofErr w:type="gramStart"/>
      <w:r>
        <w:rPr>
          <w:rFonts w:hint="eastAsia"/>
          <w:sz w:val="30"/>
          <w:szCs w:val="30"/>
        </w:rPr>
        <w:t>完善普</w:t>
      </w:r>
      <w:proofErr w:type="gramEnd"/>
      <w:r>
        <w:rPr>
          <w:rFonts w:hint="eastAsia"/>
          <w:sz w:val="30"/>
          <w:szCs w:val="30"/>
        </w:rPr>
        <w:t>惠性学前教育和特殊教育、专门教育保障机制。推动义务教育优质均衡发展和城乡一体化。巩固提升高中阶段教育普及水平。着眼建设世界一流大学和一流科研院所，加强科教基础设施和产教融合平台建设。完善职业技术教育和培训体系，增强职业技术教育适应性。鼓励社会力量提供多样化教育服务，支持和规范民办教育发展，全面规范校外教育培训行为，稳步推进民办教育分类管理改革，开展高水平中外合作办学。</w:t>
      </w:r>
    </w:p>
    <w:p w14:paraId="3B61B825" w14:textId="77777777" w:rsidR="003F5F97" w:rsidRDefault="00000000">
      <w:pPr>
        <w:ind w:firstLineChars="200" w:firstLine="600"/>
        <w:jc w:val="left"/>
        <w:rPr>
          <w:rFonts w:eastAsiaTheme="minorEastAsia"/>
          <w:sz w:val="30"/>
          <w:szCs w:val="30"/>
        </w:rPr>
      </w:pPr>
      <w:r>
        <w:rPr>
          <w:rFonts w:hint="eastAsia"/>
          <w:sz w:val="30"/>
          <w:szCs w:val="30"/>
        </w:rPr>
        <w:t>促进群众体育消费。深入实施全民健身战略，建设国家步道体系，推动体育公园建设。以足球、篮球等职业体育为抓手，提升体育赛事活动质量和消费者观感、体验度，促进竞赛表演产业扩容升级。发展在线健身、线上赛事等新业态。推进冰雪运动“南展西扩东进”，带动群众“喜冰乐雪”。</w:t>
      </w:r>
    </w:p>
    <w:p w14:paraId="2EE2265B" w14:textId="77777777" w:rsidR="003F5F97" w:rsidRDefault="00000000">
      <w:pPr>
        <w:ind w:firstLineChars="200" w:firstLine="600"/>
        <w:jc w:val="left"/>
        <w:rPr>
          <w:rFonts w:eastAsiaTheme="minorEastAsia"/>
          <w:sz w:val="30"/>
          <w:szCs w:val="30"/>
        </w:rPr>
      </w:pPr>
      <w:r>
        <w:rPr>
          <w:rFonts w:hint="eastAsia"/>
          <w:sz w:val="30"/>
          <w:szCs w:val="30"/>
        </w:rPr>
        <w:t>推动家政服务提质扩容。促进家政服务业专业化、规模化、网络化、规范化发展，完善家政服务标准体系，发展员工制家政企业。深化家政服务业提质扩容“领跑者”行动。提升家政服务和培训质量，推动社会化职业技能等级认定，加强家政从业人员职业风险保障。推进家政进社区，构建</w:t>
      </w:r>
      <w:r>
        <w:rPr>
          <w:rFonts w:hint="eastAsia"/>
          <w:sz w:val="30"/>
          <w:szCs w:val="30"/>
        </w:rPr>
        <w:t>24</w:t>
      </w:r>
      <w:r>
        <w:rPr>
          <w:rFonts w:hint="eastAsia"/>
          <w:sz w:val="30"/>
          <w:szCs w:val="30"/>
        </w:rPr>
        <w:t>小时</w:t>
      </w:r>
      <w:proofErr w:type="gramStart"/>
      <w:r>
        <w:rPr>
          <w:rFonts w:hint="eastAsia"/>
          <w:sz w:val="30"/>
          <w:szCs w:val="30"/>
        </w:rPr>
        <w:t>全生活链服务</w:t>
      </w:r>
      <w:proofErr w:type="gramEnd"/>
      <w:r>
        <w:rPr>
          <w:rFonts w:hint="eastAsia"/>
          <w:sz w:val="30"/>
          <w:szCs w:val="30"/>
        </w:rPr>
        <w:t>体</w:t>
      </w:r>
      <w:r>
        <w:rPr>
          <w:rFonts w:hint="eastAsia"/>
          <w:sz w:val="30"/>
          <w:szCs w:val="30"/>
        </w:rPr>
        <w:lastRenderedPageBreak/>
        <w:t>系。鼓励发展家庭管家等高端家政服务。</w:t>
      </w:r>
    </w:p>
    <w:p w14:paraId="34E62C67" w14:textId="77777777" w:rsidR="003F5F97" w:rsidRDefault="00000000">
      <w:pPr>
        <w:ind w:firstLineChars="200" w:firstLine="600"/>
        <w:jc w:val="left"/>
        <w:rPr>
          <w:rFonts w:eastAsiaTheme="minorEastAsia"/>
          <w:sz w:val="30"/>
          <w:szCs w:val="30"/>
        </w:rPr>
      </w:pPr>
      <w:r>
        <w:rPr>
          <w:rFonts w:hint="eastAsia"/>
          <w:sz w:val="30"/>
          <w:szCs w:val="30"/>
        </w:rPr>
        <w:t>提高社区公共服务水平。构建公共服务、便民利民服务、志愿互助服务相结合的社区服务体系，增强社区服务功能，引导社会力量参与社区服务供给，持续提升社区服务质量，提高社区服务智能化水平。支持家政、养老、托幼、物业等业态融合创新。提升社区疫情防控能力和水平。</w:t>
      </w:r>
    </w:p>
    <w:p w14:paraId="7D423FDC" w14:textId="77777777" w:rsidR="003F5F97" w:rsidRDefault="00000000">
      <w:pPr>
        <w:ind w:firstLineChars="200" w:firstLine="600"/>
        <w:jc w:val="left"/>
        <w:rPr>
          <w:rFonts w:eastAsiaTheme="minorEastAsia"/>
          <w:sz w:val="30"/>
          <w:szCs w:val="30"/>
        </w:rPr>
      </w:pPr>
      <w:r>
        <w:rPr>
          <w:rFonts w:hint="eastAsia"/>
          <w:sz w:val="30"/>
          <w:szCs w:val="30"/>
        </w:rPr>
        <w:t>（十）加快培育新型消费</w:t>
      </w:r>
    </w:p>
    <w:p w14:paraId="7198CFF5" w14:textId="77777777" w:rsidR="003F5F97" w:rsidRDefault="00000000">
      <w:pPr>
        <w:ind w:firstLineChars="200" w:firstLine="600"/>
        <w:jc w:val="left"/>
        <w:rPr>
          <w:rFonts w:eastAsiaTheme="minorEastAsia"/>
          <w:sz w:val="30"/>
          <w:szCs w:val="30"/>
        </w:rPr>
      </w:pPr>
      <w:r>
        <w:rPr>
          <w:rFonts w:hint="eastAsia"/>
          <w:sz w:val="30"/>
          <w:szCs w:val="30"/>
        </w:rPr>
        <w:t>支持线上线下商品消费融合发展。加快传统线下业态数字化改造和转型升级。丰富</w:t>
      </w:r>
      <w:r>
        <w:rPr>
          <w:rFonts w:hint="eastAsia"/>
          <w:sz w:val="30"/>
          <w:szCs w:val="30"/>
        </w:rPr>
        <w:t>5G</w:t>
      </w:r>
      <w:r>
        <w:rPr>
          <w:rFonts w:hint="eastAsia"/>
          <w:sz w:val="30"/>
          <w:szCs w:val="30"/>
        </w:rPr>
        <w:t>网络和</w:t>
      </w:r>
      <w:proofErr w:type="gramStart"/>
      <w:r>
        <w:rPr>
          <w:rFonts w:hint="eastAsia"/>
          <w:sz w:val="30"/>
          <w:szCs w:val="30"/>
        </w:rPr>
        <w:t>千兆光</w:t>
      </w:r>
      <w:proofErr w:type="gramEnd"/>
      <w:r>
        <w:rPr>
          <w:rFonts w:hint="eastAsia"/>
          <w:sz w:val="30"/>
          <w:szCs w:val="30"/>
        </w:rPr>
        <w:t>网应用场景。加快研发智能化产品，支持自动驾驶、无人配送等技术应用。发展智慧超市、智慧商店、智慧餐厅等新零售业态。健全新型消费领域技术和服务标准体系，依法规范平台经济发展，提升新业态监管能力。</w:t>
      </w:r>
    </w:p>
    <w:p w14:paraId="0E6EDFB8" w14:textId="77777777" w:rsidR="003F5F97" w:rsidRDefault="00000000">
      <w:pPr>
        <w:ind w:firstLineChars="200" w:firstLine="600"/>
        <w:jc w:val="left"/>
        <w:rPr>
          <w:rFonts w:eastAsiaTheme="minorEastAsia"/>
          <w:sz w:val="30"/>
          <w:szCs w:val="30"/>
        </w:rPr>
      </w:pPr>
      <w:r>
        <w:rPr>
          <w:rFonts w:hint="eastAsia"/>
          <w:sz w:val="30"/>
          <w:szCs w:val="30"/>
        </w:rPr>
        <w:t>培育“互联网</w:t>
      </w:r>
      <w:r>
        <w:rPr>
          <w:rFonts w:hint="eastAsia"/>
          <w:sz w:val="30"/>
          <w:szCs w:val="30"/>
        </w:rPr>
        <w:t>+</w:t>
      </w:r>
      <w:r>
        <w:rPr>
          <w:rFonts w:hint="eastAsia"/>
          <w:sz w:val="30"/>
          <w:szCs w:val="30"/>
        </w:rPr>
        <w:t>社会服务”新模式。做</w:t>
      </w:r>
      <w:proofErr w:type="gramStart"/>
      <w:r>
        <w:rPr>
          <w:rFonts w:hint="eastAsia"/>
          <w:sz w:val="30"/>
          <w:szCs w:val="30"/>
        </w:rPr>
        <w:t>强做优线上</w:t>
      </w:r>
      <w:proofErr w:type="gramEnd"/>
      <w:r>
        <w:rPr>
          <w:rFonts w:hint="eastAsia"/>
          <w:sz w:val="30"/>
          <w:szCs w:val="30"/>
        </w:rPr>
        <w:t>学习服务，推动各类数字教育资源共建共享。积极发展“互联网</w:t>
      </w:r>
      <w:r>
        <w:rPr>
          <w:rFonts w:hint="eastAsia"/>
          <w:sz w:val="30"/>
          <w:szCs w:val="30"/>
        </w:rPr>
        <w:t>+</w:t>
      </w:r>
      <w:r>
        <w:rPr>
          <w:rFonts w:hint="eastAsia"/>
          <w:sz w:val="30"/>
          <w:szCs w:val="30"/>
        </w:rPr>
        <w:t>医疗健康”服务，健全互联网诊疗收费政策，将符合条件的互联网医疗服务项目按程序纳入</w:t>
      </w:r>
      <w:proofErr w:type="gramStart"/>
      <w:r>
        <w:rPr>
          <w:rFonts w:hint="eastAsia"/>
          <w:sz w:val="30"/>
          <w:szCs w:val="30"/>
        </w:rPr>
        <w:t>医</w:t>
      </w:r>
      <w:proofErr w:type="gramEnd"/>
      <w:r>
        <w:rPr>
          <w:rFonts w:hint="eastAsia"/>
          <w:sz w:val="30"/>
          <w:szCs w:val="30"/>
        </w:rPr>
        <w:t>保支付范围。深入发展在线文娱，鼓励传统线下文化</w:t>
      </w:r>
      <w:proofErr w:type="gramStart"/>
      <w:r>
        <w:rPr>
          <w:rFonts w:hint="eastAsia"/>
          <w:sz w:val="30"/>
          <w:szCs w:val="30"/>
        </w:rPr>
        <w:t>娱乐业态线上</w:t>
      </w:r>
      <w:proofErr w:type="gramEnd"/>
      <w:r>
        <w:rPr>
          <w:rFonts w:hint="eastAsia"/>
          <w:sz w:val="30"/>
          <w:szCs w:val="30"/>
        </w:rPr>
        <w:t>化，支持打造数字精品内容和新兴数字资源传播平台。鼓励发展智慧旅游、智慧广电、智能体育。支持</w:t>
      </w:r>
      <w:proofErr w:type="gramStart"/>
      <w:r>
        <w:rPr>
          <w:rFonts w:hint="eastAsia"/>
          <w:sz w:val="30"/>
          <w:szCs w:val="30"/>
        </w:rPr>
        <w:t>便捷化线上</w:t>
      </w:r>
      <w:proofErr w:type="gramEnd"/>
      <w:r>
        <w:rPr>
          <w:rFonts w:hint="eastAsia"/>
          <w:sz w:val="30"/>
          <w:szCs w:val="30"/>
        </w:rPr>
        <w:t>办公、无接触交易服务等发展。</w:t>
      </w:r>
    </w:p>
    <w:p w14:paraId="4E89571B" w14:textId="77777777" w:rsidR="003F5F97" w:rsidRDefault="00000000">
      <w:pPr>
        <w:ind w:firstLineChars="200" w:firstLine="600"/>
        <w:jc w:val="left"/>
        <w:rPr>
          <w:rFonts w:eastAsiaTheme="minorEastAsia"/>
          <w:sz w:val="30"/>
          <w:szCs w:val="30"/>
        </w:rPr>
      </w:pPr>
      <w:r>
        <w:rPr>
          <w:rFonts w:hint="eastAsia"/>
          <w:sz w:val="30"/>
          <w:szCs w:val="30"/>
        </w:rPr>
        <w:t>促进共享经济等消费新业态发展。拓展共享生活新空间，鼓励共享出行、共享住宿、共享旅游等领域产品智能化升级和商业模式创新，完善具有公共服务属性的共享产品相关标准。打造共</w:t>
      </w:r>
      <w:r>
        <w:rPr>
          <w:rFonts w:hint="eastAsia"/>
          <w:sz w:val="30"/>
          <w:szCs w:val="30"/>
        </w:rPr>
        <w:lastRenderedPageBreak/>
        <w:t>享生产新动力，鼓励企业开放平台资源，充分挖掘闲置存量资源应用潜力。鼓励制造业企业探索共享制造的商业模式和适用场景。顺应网络、信息等技术进步趋势，支持和引导新的生活和消费方式健康发展。</w:t>
      </w:r>
    </w:p>
    <w:p w14:paraId="05DF88AB" w14:textId="77777777" w:rsidR="003F5F97" w:rsidRDefault="00000000">
      <w:pPr>
        <w:ind w:firstLineChars="200" w:firstLine="600"/>
        <w:jc w:val="left"/>
        <w:rPr>
          <w:rFonts w:eastAsiaTheme="minorEastAsia"/>
          <w:sz w:val="30"/>
          <w:szCs w:val="30"/>
        </w:rPr>
      </w:pPr>
      <w:r>
        <w:rPr>
          <w:rFonts w:hint="eastAsia"/>
          <w:sz w:val="30"/>
          <w:szCs w:val="30"/>
        </w:rPr>
        <w:t>发展新个体经济。支持社交电商、网络直播等多样化经营模式，鼓励发展基于知识传播、经验分享的创新平台。支持线上多样化社交、短视频平台规范有序发展，鼓励微应用、微产品、</w:t>
      </w:r>
      <w:proofErr w:type="gramStart"/>
      <w:r>
        <w:rPr>
          <w:rFonts w:hint="eastAsia"/>
          <w:sz w:val="30"/>
          <w:szCs w:val="30"/>
        </w:rPr>
        <w:t>微电影</w:t>
      </w:r>
      <w:proofErr w:type="gramEnd"/>
      <w:r>
        <w:rPr>
          <w:rFonts w:hint="eastAsia"/>
          <w:sz w:val="30"/>
          <w:szCs w:val="30"/>
        </w:rPr>
        <w:t>等创新。</w:t>
      </w:r>
    </w:p>
    <w:p w14:paraId="6B8AC423" w14:textId="77777777" w:rsidR="003F5F97" w:rsidRDefault="00000000">
      <w:pPr>
        <w:ind w:firstLineChars="200" w:firstLine="600"/>
        <w:jc w:val="left"/>
        <w:rPr>
          <w:rFonts w:eastAsiaTheme="minorEastAsia"/>
          <w:sz w:val="30"/>
          <w:szCs w:val="30"/>
        </w:rPr>
      </w:pPr>
      <w:r>
        <w:rPr>
          <w:rFonts w:hint="eastAsia"/>
          <w:sz w:val="30"/>
          <w:szCs w:val="30"/>
        </w:rPr>
        <w:t>（十一）大力倡导绿色低碳消费</w:t>
      </w:r>
    </w:p>
    <w:p w14:paraId="45935F83" w14:textId="77777777" w:rsidR="003F5F97" w:rsidRDefault="00000000">
      <w:pPr>
        <w:ind w:firstLineChars="200" w:firstLine="600"/>
        <w:jc w:val="left"/>
        <w:rPr>
          <w:rFonts w:eastAsiaTheme="minorEastAsia"/>
          <w:sz w:val="30"/>
          <w:szCs w:val="30"/>
        </w:rPr>
      </w:pPr>
      <w:r>
        <w:rPr>
          <w:rFonts w:hint="eastAsia"/>
          <w:sz w:val="30"/>
          <w:szCs w:val="30"/>
        </w:rPr>
        <w:t>积极发展绿色低碳消费市场。健全绿色低碳产品生产和推广机制。促进居民耐用消费品绿色更新和品质升级。大力发展节能低碳建筑。完善绿色采购制度，加大政府对低碳产品采购力度。建立健全绿色产品标准、标识、认证体系和生态产品价值实现机制。加快构建废旧物资循环利用体系，规范发展汽车、动力电池、家电、电子产品回收利用行业。</w:t>
      </w:r>
    </w:p>
    <w:p w14:paraId="41C3F48A" w14:textId="77777777" w:rsidR="003F5F97" w:rsidRDefault="00000000">
      <w:pPr>
        <w:ind w:firstLineChars="200" w:firstLine="600"/>
        <w:jc w:val="left"/>
        <w:rPr>
          <w:rFonts w:eastAsiaTheme="minorEastAsia"/>
          <w:sz w:val="30"/>
          <w:szCs w:val="30"/>
        </w:rPr>
      </w:pPr>
      <w:r>
        <w:rPr>
          <w:rFonts w:hint="eastAsia"/>
          <w:sz w:val="30"/>
          <w:szCs w:val="30"/>
        </w:rPr>
        <w:t>倡导节约集约的绿色生活方式。深入开展绿色生活创建。推进绿色社区建设。按照绿色低碳循环理念规划建设城乡基础设施。倡导绿色低碳出行，发展城市公共交通，完善城市慢行交通系统。完善城市生态和通风廊道，提升城市绿化水平。深入实施国家节水行动。持续推进过度包装治理，倡导消费者理性消费，推动形成“节约光荣、浪费可耻”的社会氛围。</w:t>
      </w:r>
    </w:p>
    <w:p w14:paraId="158924B5" w14:textId="77777777" w:rsidR="003F5F97" w:rsidRDefault="00000000">
      <w:pPr>
        <w:ind w:firstLineChars="200" w:firstLine="600"/>
        <w:jc w:val="left"/>
        <w:rPr>
          <w:rFonts w:eastAsiaTheme="minorEastAsia"/>
          <w:sz w:val="30"/>
          <w:szCs w:val="30"/>
        </w:rPr>
      </w:pPr>
      <w:r>
        <w:rPr>
          <w:rFonts w:hint="eastAsia"/>
          <w:sz w:val="30"/>
          <w:szCs w:val="30"/>
        </w:rPr>
        <w:t>四、优化投资结构，拓展投资空间</w:t>
      </w:r>
    </w:p>
    <w:p w14:paraId="4951EDAC" w14:textId="77777777" w:rsidR="003F5F97" w:rsidRDefault="00000000">
      <w:pPr>
        <w:ind w:firstLineChars="200" w:firstLine="600"/>
        <w:jc w:val="left"/>
        <w:rPr>
          <w:rFonts w:eastAsiaTheme="minorEastAsia"/>
          <w:sz w:val="30"/>
          <w:szCs w:val="30"/>
        </w:rPr>
      </w:pPr>
      <w:r>
        <w:rPr>
          <w:rFonts w:hint="eastAsia"/>
          <w:sz w:val="30"/>
          <w:szCs w:val="30"/>
        </w:rPr>
        <w:lastRenderedPageBreak/>
        <w:t>善于把握投资方向，消除投资障碍，聚焦关键领域和薄弱环节，努力增加制造业投资，加大重点领域补短板力度，系统布局新型基础设施，着力提高投资效率，促进投资规模合理增长、结构不断优化，增强投资增长后劲。</w:t>
      </w:r>
    </w:p>
    <w:p w14:paraId="6717C8FB" w14:textId="77777777" w:rsidR="003F5F97" w:rsidRDefault="00000000">
      <w:pPr>
        <w:ind w:firstLineChars="200" w:firstLine="600"/>
        <w:jc w:val="left"/>
        <w:rPr>
          <w:rFonts w:eastAsiaTheme="minorEastAsia"/>
          <w:sz w:val="30"/>
          <w:szCs w:val="30"/>
        </w:rPr>
      </w:pPr>
      <w:r>
        <w:rPr>
          <w:rFonts w:hint="eastAsia"/>
          <w:sz w:val="30"/>
          <w:szCs w:val="30"/>
        </w:rPr>
        <w:t>（十二）加大制造业投资支持力度</w:t>
      </w:r>
    </w:p>
    <w:p w14:paraId="16863BCC" w14:textId="77777777" w:rsidR="003F5F97" w:rsidRDefault="00000000">
      <w:pPr>
        <w:ind w:firstLineChars="200" w:firstLine="600"/>
        <w:jc w:val="left"/>
        <w:rPr>
          <w:rFonts w:eastAsiaTheme="minorEastAsia"/>
          <w:sz w:val="30"/>
          <w:szCs w:val="30"/>
        </w:rPr>
      </w:pPr>
      <w:r>
        <w:rPr>
          <w:rFonts w:hint="eastAsia"/>
          <w:sz w:val="30"/>
          <w:szCs w:val="30"/>
        </w:rPr>
        <w:t>围绕推动制造业高质量发展、建设制造强国，引导各类优质资源要素向制造业集聚。加大传统制造业优化升级投资力度，扩大先进制造领域投资，提高制造业供给体系质量和效率。加大制造业技术改造力度，支持企业应用创新技术和产品实施技术改造。完善促进制造业发展的政策制度，降低企业生产经营成本，提升制造业盈利能力。加强制造业投资的用地、用能等要素保障。创新完善制造业企业股权、债券融资工具。</w:t>
      </w:r>
    </w:p>
    <w:p w14:paraId="36B0C931" w14:textId="77777777" w:rsidR="003F5F97" w:rsidRDefault="00000000">
      <w:pPr>
        <w:ind w:firstLineChars="200" w:firstLine="600"/>
        <w:jc w:val="left"/>
        <w:rPr>
          <w:rFonts w:eastAsiaTheme="minorEastAsia"/>
          <w:sz w:val="30"/>
          <w:szCs w:val="30"/>
        </w:rPr>
      </w:pPr>
      <w:r>
        <w:rPr>
          <w:rFonts w:hint="eastAsia"/>
          <w:sz w:val="30"/>
          <w:szCs w:val="30"/>
        </w:rPr>
        <w:t>（十三）持续推进重点领域补短板投资</w:t>
      </w:r>
    </w:p>
    <w:p w14:paraId="37232C9A" w14:textId="77777777" w:rsidR="003F5F97" w:rsidRDefault="00000000">
      <w:pPr>
        <w:ind w:firstLineChars="200" w:firstLine="600"/>
        <w:jc w:val="left"/>
        <w:rPr>
          <w:rFonts w:eastAsiaTheme="minorEastAsia"/>
          <w:sz w:val="30"/>
          <w:szCs w:val="30"/>
        </w:rPr>
      </w:pPr>
      <w:r>
        <w:rPr>
          <w:rFonts w:hint="eastAsia"/>
          <w:sz w:val="30"/>
          <w:szCs w:val="30"/>
        </w:rPr>
        <w:t>加快交通基础设施建设。完善以铁路为主干、以公路为基础、水运民航比较优势充分发挥的国家综合立体交通网，推进“</w:t>
      </w:r>
      <w:r>
        <w:rPr>
          <w:rFonts w:hint="eastAsia"/>
          <w:sz w:val="30"/>
          <w:szCs w:val="30"/>
        </w:rPr>
        <w:t>6</w:t>
      </w:r>
      <w:r>
        <w:rPr>
          <w:rFonts w:hint="eastAsia"/>
          <w:sz w:val="30"/>
          <w:szCs w:val="30"/>
        </w:rPr>
        <w:t>轴</w:t>
      </w:r>
      <w:r>
        <w:rPr>
          <w:rFonts w:hint="eastAsia"/>
          <w:sz w:val="30"/>
          <w:szCs w:val="30"/>
        </w:rPr>
        <w:t>7</w:t>
      </w:r>
      <w:r>
        <w:rPr>
          <w:rFonts w:hint="eastAsia"/>
          <w:sz w:val="30"/>
          <w:szCs w:val="30"/>
        </w:rPr>
        <w:t>廊</w:t>
      </w:r>
      <w:r>
        <w:rPr>
          <w:rFonts w:hint="eastAsia"/>
          <w:sz w:val="30"/>
          <w:szCs w:val="30"/>
        </w:rPr>
        <w:t>8</w:t>
      </w:r>
      <w:r>
        <w:rPr>
          <w:rFonts w:hint="eastAsia"/>
          <w:sz w:val="30"/>
          <w:szCs w:val="30"/>
        </w:rPr>
        <w:t>通道”主骨架建设，增强区域间、城市群间、省际间交通运输联系。加强中西部地区、沿江沿海战略骨干通道建设，有序推进能力紧张通道升级扩容，加强与周边国家互联互通。加快国家铁路网建设，贯通“八纵八横”高速铁路主通道，有序推进区域连接线建设，加快普</w:t>
      </w:r>
      <w:proofErr w:type="gramStart"/>
      <w:r>
        <w:rPr>
          <w:rFonts w:hint="eastAsia"/>
          <w:sz w:val="30"/>
          <w:szCs w:val="30"/>
        </w:rPr>
        <w:t>速铁路</w:t>
      </w:r>
      <w:proofErr w:type="gramEnd"/>
      <w:r>
        <w:rPr>
          <w:rFonts w:hint="eastAsia"/>
          <w:sz w:val="30"/>
          <w:szCs w:val="30"/>
        </w:rPr>
        <w:t>建设和既有铁路改造升级。支持重点城市群率先建成城际铁路网，推进重点</w:t>
      </w:r>
      <w:proofErr w:type="gramStart"/>
      <w:r>
        <w:rPr>
          <w:rFonts w:hint="eastAsia"/>
          <w:sz w:val="30"/>
          <w:szCs w:val="30"/>
        </w:rPr>
        <w:t>都市圈市域</w:t>
      </w:r>
      <w:proofErr w:type="gramEnd"/>
      <w:r>
        <w:rPr>
          <w:rFonts w:hint="eastAsia"/>
          <w:sz w:val="30"/>
          <w:szCs w:val="30"/>
        </w:rPr>
        <w:t>（郊）铁路和城市轨道交通发展，并与干线铁路融合发展。完善公路网骨干</w:t>
      </w:r>
      <w:r>
        <w:rPr>
          <w:rFonts w:hint="eastAsia"/>
          <w:sz w:val="30"/>
          <w:szCs w:val="30"/>
        </w:rPr>
        <w:lastRenderedPageBreak/>
        <w:t>线路，提升国家高速公路网络质量，加快省际高速公路建设，推进普通国省道瓶颈路段贯通升级。继续推进“四好农村路”建设。加强航空网络建设，加快建设国际和区域枢纽机场，积极推进支线机场和通用机场建设，推动打造京津冀、长三角、粤港澳大湾区、成渝世界级机场群。提升水运综合优势，在津冀沿海、长三角、粤港澳大湾</w:t>
      </w:r>
      <w:proofErr w:type="gramStart"/>
      <w:r>
        <w:rPr>
          <w:rFonts w:hint="eastAsia"/>
          <w:sz w:val="30"/>
          <w:szCs w:val="30"/>
        </w:rPr>
        <w:t>区推动</w:t>
      </w:r>
      <w:proofErr w:type="gramEnd"/>
      <w:r>
        <w:rPr>
          <w:rFonts w:hint="eastAsia"/>
          <w:sz w:val="30"/>
          <w:szCs w:val="30"/>
        </w:rPr>
        <w:t>构建世界级港口群，支持建设国际航运中心，加快长江等内河高等级航道网建设。构建多层级、一体化综合交通枢纽体系。</w:t>
      </w:r>
    </w:p>
    <w:p w14:paraId="5B72D494" w14:textId="77777777" w:rsidR="003F5F97" w:rsidRDefault="00000000">
      <w:pPr>
        <w:ind w:firstLineChars="200" w:firstLine="600"/>
        <w:jc w:val="left"/>
        <w:rPr>
          <w:rFonts w:eastAsiaTheme="minorEastAsia"/>
          <w:sz w:val="30"/>
          <w:szCs w:val="30"/>
        </w:rPr>
      </w:pPr>
      <w:r>
        <w:rPr>
          <w:rFonts w:hint="eastAsia"/>
          <w:sz w:val="30"/>
          <w:szCs w:val="30"/>
        </w:rPr>
        <w:t>加强能源基础设施建设。提升电网安全和智能化水平，优化电力生产和输送通道布局，完善电网主网架布局和结构，有序建设跨省跨区输电通道重点工程，积极推进配电网改造和农村电网建设，提升向边远地区输配电能力。优化煤炭产运结构，推进煤矿智能化、绿色化发展，优化建设蒙西、蒙东、陕北、山西、新疆五大煤炭供应保障基地，提高煤炭铁路运输能力。加快全国干线油气管道建设，集约布局、有序推进液化天然气接收站和车船液化天然气</w:t>
      </w:r>
      <w:proofErr w:type="gramStart"/>
      <w:r>
        <w:rPr>
          <w:rFonts w:hint="eastAsia"/>
          <w:sz w:val="30"/>
          <w:szCs w:val="30"/>
        </w:rPr>
        <w:t>加注站</w:t>
      </w:r>
      <w:proofErr w:type="gramEnd"/>
      <w:r>
        <w:rPr>
          <w:rFonts w:hint="eastAsia"/>
          <w:sz w:val="30"/>
          <w:szCs w:val="30"/>
        </w:rPr>
        <w:t>规划建设。大幅提高清洁能源利用水平，建设多能互补的清洁能源基地，以沙漠、戈壁、荒漠地区为重点加快建设大型风电、光伏基地。统筹推进现役煤电机组超低排放和节能改造，提升煤电清洁高效发展水平。推动构建新型电力系统，提升清洁能源消纳和存储能力。</w:t>
      </w:r>
    </w:p>
    <w:p w14:paraId="5F521A4A" w14:textId="77777777" w:rsidR="003F5F97" w:rsidRDefault="00000000">
      <w:pPr>
        <w:ind w:firstLineChars="200" w:firstLine="600"/>
        <w:jc w:val="left"/>
        <w:rPr>
          <w:rFonts w:eastAsiaTheme="minorEastAsia"/>
          <w:sz w:val="30"/>
          <w:szCs w:val="30"/>
        </w:rPr>
      </w:pPr>
      <w:r>
        <w:rPr>
          <w:rFonts w:hint="eastAsia"/>
          <w:sz w:val="30"/>
          <w:szCs w:val="30"/>
        </w:rPr>
        <w:t>加快水利基础设施建设。加快推进集防洪减灾、水资源调配、水生态保护等功能为一体的综合水网建设，提升国家水安全保障</w:t>
      </w:r>
      <w:r>
        <w:rPr>
          <w:rFonts w:hint="eastAsia"/>
          <w:sz w:val="30"/>
          <w:szCs w:val="30"/>
        </w:rPr>
        <w:lastRenderedPageBreak/>
        <w:t>能力。推动综合性水利枢纽和调蓄工程建设，立足流域整体和水资源空间均衡配置，加快推进跨流域跨区域水资源配置工程建设，实施对区域发展具有重要作用</w:t>
      </w:r>
      <w:proofErr w:type="gramStart"/>
      <w:r>
        <w:rPr>
          <w:rFonts w:hint="eastAsia"/>
          <w:sz w:val="30"/>
          <w:szCs w:val="30"/>
        </w:rPr>
        <w:t>的引调水工</w:t>
      </w:r>
      <w:proofErr w:type="gramEnd"/>
      <w:r>
        <w:rPr>
          <w:rFonts w:hint="eastAsia"/>
          <w:sz w:val="30"/>
          <w:szCs w:val="30"/>
        </w:rPr>
        <w:t>程，提升水资源优化配置能力。加强节水基础设施建设。提升水旱灾害防御能力，加快补齐大江大河大湖防洪短板，推进堤防加固、河道治理、控制性工程、蓄滞洪区等建设，加强中小河流治理、山洪灾害防治和病险水库除险加固。推进供水、灌溉、水源工程建设，加强供水区域间联合调度。有条件的地区可将城镇周边的村庄纳入城镇供水体系。强化农村中小型水源工程建设和饮用水水源保护，推进大中型灌区建设与现代化改造。在沿海缺水城市推动大型海水淡化设施建设。</w:t>
      </w:r>
    </w:p>
    <w:p w14:paraId="6BC771A1" w14:textId="77777777" w:rsidR="003F5F97" w:rsidRDefault="00000000">
      <w:pPr>
        <w:ind w:firstLineChars="200" w:firstLine="600"/>
        <w:jc w:val="left"/>
        <w:rPr>
          <w:rFonts w:eastAsiaTheme="minorEastAsia"/>
          <w:sz w:val="30"/>
          <w:szCs w:val="30"/>
        </w:rPr>
      </w:pPr>
      <w:r>
        <w:rPr>
          <w:rFonts w:hint="eastAsia"/>
          <w:sz w:val="30"/>
          <w:szCs w:val="30"/>
        </w:rPr>
        <w:t>完善物流基础设施网络。统筹国家物流枢纽、国家骨干冷链物流基地、示范物流园区等布局建设，优化国家层面的骨干物流基础设施网络，提高跨区域物流服务能力，支撑构建“通道</w:t>
      </w:r>
      <w:r>
        <w:rPr>
          <w:rFonts w:hint="eastAsia"/>
          <w:sz w:val="30"/>
          <w:szCs w:val="30"/>
        </w:rPr>
        <w:t>+</w:t>
      </w:r>
      <w:r>
        <w:rPr>
          <w:rFonts w:hint="eastAsia"/>
          <w:sz w:val="30"/>
          <w:szCs w:val="30"/>
        </w:rPr>
        <w:t>枢纽</w:t>
      </w:r>
      <w:r>
        <w:rPr>
          <w:rFonts w:hint="eastAsia"/>
          <w:sz w:val="30"/>
          <w:szCs w:val="30"/>
        </w:rPr>
        <w:t>+</w:t>
      </w:r>
      <w:r>
        <w:rPr>
          <w:rFonts w:hint="eastAsia"/>
          <w:sz w:val="30"/>
          <w:szCs w:val="30"/>
        </w:rPr>
        <w:t>网络”的现代物流运行体系。优化以综合物流园区、专业配送中心、末端配送网点为支撑的商贸物流设施网络。加快建设农产品产地仓储保鲜冷链物流设施，提高城乡冷</w:t>
      </w:r>
      <w:proofErr w:type="gramStart"/>
      <w:r>
        <w:rPr>
          <w:rFonts w:hint="eastAsia"/>
          <w:sz w:val="30"/>
          <w:szCs w:val="30"/>
        </w:rPr>
        <w:t>链设施</w:t>
      </w:r>
      <w:proofErr w:type="gramEnd"/>
      <w:r>
        <w:rPr>
          <w:rFonts w:hint="eastAsia"/>
          <w:sz w:val="30"/>
          <w:szCs w:val="30"/>
        </w:rPr>
        <w:t>网络覆盖水平，推动食品产销供的冷链全覆盖。</w:t>
      </w:r>
    </w:p>
    <w:p w14:paraId="5D5F2B24" w14:textId="77777777" w:rsidR="003F5F97" w:rsidRDefault="00000000">
      <w:pPr>
        <w:ind w:firstLineChars="200" w:firstLine="600"/>
        <w:jc w:val="left"/>
        <w:rPr>
          <w:rFonts w:eastAsiaTheme="minorEastAsia"/>
          <w:sz w:val="30"/>
          <w:szCs w:val="30"/>
        </w:rPr>
      </w:pPr>
      <w:r>
        <w:rPr>
          <w:rFonts w:hint="eastAsia"/>
          <w:sz w:val="30"/>
          <w:szCs w:val="30"/>
        </w:rPr>
        <w:t>加大生态环保设施建设力度。全面提升生态环境基础设施水平，构建集污水、垃圾、固废、危废、</w:t>
      </w:r>
      <w:proofErr w:type="gramStart"/>
      <w:r>
        <w:rPr>
          <w:rFonts w:hint="eastAsia"/>
          <w:sz w:val="30"/>
          <w:szCs w:val="30"/>
        </w:rPr>
        <w:t>医废处理</w:t>
      </w:r>
      <w:proofErr w:type="gramEnd"/>
      <w:r>
        <w:rPr>
          <w:rFonts w:hint="eastAsia"/>
          <w:sz w:val="30"/>
          <w:szCs w:val="30"/>
        </w:rPr>
        <w:t>处置设施和监测监管能力于一体的环境基础设施体系，形成由城市向建制镇和乡村延伸覆盖的环境基础设施网络。实施重要生态系统保护和修复</w:t>
      </w:r>
      <w:r>
        <w:rPr>
          <w:rFonts w:hint="eastAsia"/>
          <w:sz w:val="30"/>
          <w:szCs w:val="30"/>
        </w:rPr>
        <w:lastRenderedPageBreak/>
        <w:t>重大工程。推动建立生态保护补偿制度。全面推进资源高效利用，建设促进提高清洁能源利用水平、降低二氧化碳排放的生态环保设施。</w:t>
      </w:r>
    </w:p>
    <w:p w14:paraId="2706F572" w14:textId="77777777" w:rsidR="003F5F97" w:rsidRDefault="00000000">
      <w:pPr>
        <w:ind w:firstLineChars="200" w:firstLine="600"/>
        <w:jc w:val="left"/>
        <w:rPr>
          <w:rFonts w:eastAsiaTheme="minorEastAsia"/>
          <w:sz w:val="30"/>
          <w:szCs w:val="30"/>
        </w:rPr>
      </w:pPr>
      <w:r>
        <w:rPr>
          <w:rFonts w:hint="eastAsia"/>
          <w:sz w:val="30"/>
          <w:szCs w:val="30"/>
        </w:rPr>
        <w:t>完善社会民生基础设施。补齐医疗领域建设短板，完善城市传染病救治网络，全面提升县级医院救治能力，持续改善县级医院设施条件，补齐乡镇卫生院、村卫生室等基础医疗设备配备，全面改善</w:t>
      </w:r>
      <w:proofErr w:type="gramStart"/>
      <w:r>
        <w:rPr>
          <w:rFonts w:hint="eastAsia"/>
          <w:sz w:val="30"/>
          <w:szCs w:val="30"/>
        </w:rPr>
        <w:t>疾控机构</w:t>
      </w:r>
      <w:proofErr w:type="gramEnd"/>
      <w:r>
        <w:rPr>
          <w:rFonts w:hint="eastAsia"/>
          <w:sz w:val="30"/>
          <w:szCs w:val="30"/>
        </w:rPr>
        <w:t>设施设备条件，健全口岸公共卫生防控体系，提高公共卫生防控救治能力。加快补齐教育资源短板，加强教育基础设施建设，改善各级各类学校办学条件。增加普惠性养老和</w:t>
      </w:r>
      <w:proofErr w:type="gramStart"/>
      <w:r>
        <w:rPr>
          <w:rFonts w:hint="eastAsia"/>
          <w:sz w:val="30"/>
          <w:szCs w:val="30"/>
        </w:rPr>
        <w:t>医养</w:t>
      </w:r>
      <w:proofErr w:type="gramEnd"/>
      <w:r>
        <w:rPr>
          <w:rFonts w:hint="eastAsia"/>
          <w:sz w:val="30"/>
          <w:szCs w:val="30"/>
        </w:rPr>
        <w:t>结合服务设施。完善妇幼健康服务设施，积极规划建设婴幼儿照护和未成年人保护服务机构及设施。提升县级公共文化设施水平，加强广播电视传输覆盖等设施建设。加快高品质、各具特色的旅游景区、度假区、休闲街区建设。提升体育场地设施水平，持续改善群众身边健身设施。</w:t>
      </w:r>
    </w:p>
    <w:p w14:paraId="5102E96F" w14:textId="77777777" w:rsidR="003F5F97" w:rsidRDefault="00000000">
      <w:pPr>
        <w:ind w:firstLineChars="200" w:firstLine="600"/>
        <w:jc w:val="left"/>
        <w:rPr>
          <w:rFonts w:eastAsiaTheme="minorEastAsia"/>
          <w:sz w:val="30"/>
          <w:szCs w:val="30"/>
        </w:rPr>
      </w:pPr>
      <w:r>
        <w:rPr>
          <w:rFonts w:hint="eastAsia"/>
          <w:sz w:val="30"/>
          <w:szCs w:val="30"/>
        </w:rPr>
        <w:t>（十四）系统布局新型基础设施</w:t>
      </w:r>
    </w:p>
    <w:p w14:paraId="77C22B0D" w14:textId="77777777" w:rsidR="003F5F97" w:rsidRDefault="00000000">
      <w:pPr>
        <w:ind w:firstLineChars="200" w:firstLine="600"/>
        <w:jc w:val="left"/>
        <w:rPr>
          <w:rFonts w:eastAsiaTheme="minorEastAsia"/>
          <w:sz w:val="30"/>
          <w:szCs w:val="30"/>
        </w:rPr>
      </w:pPr>
      <w:r>
        <w:rPr>
          <w:rFonts w:hint="eastAsia"/>
          <w:sz w:val="30"/>
          <w:szCs w:val="30"/>
        </w:rPr>
        <w:t>加快建设信息基础设施。建设高速泛在、天地一体、集成互联、安全高效的信息基础设施，增强数据感知、传输、存储、运算能力。加快物联网、工业互联网、卫星互联网、</w:t>
      </w:r>
      <w:proofErr w:type="gramStart"/>
      <w:r>
        <w:rPr>
          <w:rFonts w:hint="eastAsia"/>
          <w:sz w:val="30"/>
          <w:szCs w:val="30"/>
        </w:rPr>
        <w:t>千兆光</w:t>
      </w:r>
      <w:proofErr w:type="gramEnd"/>
      <w:r>
        <w:rPr>
          <w:rFonts w:hint="eastAsia"/>
          <w:sz w:val="30"/>
          <w:szCs w:val="30"/>
        </w:rPr>
        <w:t>网建设，构建全国一体化大数据中心体系，布局建设大数据中心国家枢纽节点，推动人工智能、</w:t>
      </w:r>
      <w:proofErr w:type="gramStart"/>
      <w:r>
        <w:rPr>
          <w:rFonts w:hint="eastAsia"/>
          <w:sz w:val="30"/>
          <w:szCs w:val="30"/>
        </w:rPr>
        <w:t>云计算</w:t>
      </w:r>
      <w:proofErr w:type="gramEnd"/>
      <w:r>
        <w:rPr>
          <w:rFonts w:hint="eastAsia"/>
          <w:sz w:val="30"/>
          <w:szCs w:val="30"/>
        </w:rPr>
        <w:t>等广泛、深度应用，促进“云、网、端”资源要素相互融合、智能配置。以需求为导向，增强国家广域量子保密通信骨干网络服务能力。</w:t>
      </w:r>
    </w:p>
    <w:p w14:paraId="6EFA88DB" w14:textId="77777777" w:rsidR="003F5F97" w:rsidRDefault="00000000">
      <w:pPr>
        <w:ind w:firstLineChars="200" w:firstLine="600"/>
        <w:jc w:val="left"/>
        <w:rPr>
          <w:rFonts w:eastAsiaTheme="minorEastAsia"/>
          <w:sz w:val="30"/>
          <w:szCs w:val="30"/>
        </w:rPr>
      </w:pPr>
      <w:r>
        <w:rPr>
          <w:rFonts w:hint="eastAsia"/>
          <w:sz w:val="30"/>
          <w:szCs w:val="30"/>
        </w:rPr>
        <w:lastRenderedPageBreak/>
        <w:t>全面发展融合基础设施。推动</w:t>
      </w:r>
      <w:r>
        <w:rPr>
          <w:rFonts w:hint="eastAsia"/>
          <w:sz w:val="30"/>
          <w:szCs w:val="30"/>
        </w:rPr>
        <w:t>5G</w:t>
      </w:r>
      <w:r>
        <w:rPr>
          <w:rFonts w:hint="eastAsia"/>
          <w:sz w:val="30"/>
          <w:szCs w:val="30"/>
        </w:rPr>
        <w:t>、人工智能、大数据等技术与交通物流、能源、生态环保、水利、应急、公共服务等深度融合，助力相关行业治理能力提升。支持利用</w:t>
      </w:r>
      <w:r>
        <w:rPr>
          <w:rFonts w:hint="eastAsia"/>
          <w:sz w:val="30"/>
          <w:szCs w:val="30"/>
        </w:rPr>
        <w:t>5G</w:t>
      </w:r>
      <w:r>
        <w:rPr>
          <w:rFonts w:hint="eastAsia"/>
          <w:sz w:val="30"/>
          <w:szCs w:val="30"/>
        </w:rPr>
        <w:t>技术对有线电视网络进行改造升级。积极稳妥发展车联网。</w:t>
      </w:r>
    </w:p>
    <w:p w14:paraId="1C613292" w14:textId="77777777" w:rsidR="003F5F97" w:rsidRDefault="00000000">
      <w:pPr>
        <w:ind w:firstLineChars="200" w:firstLine="600"/>
        <w:jc w:val="left"/>
        <w:rPr>
          <w:rFonts w:eastAsiaTheme="minorEastAsia"/>
          <w:sz w:val="30"/>
          <w:szCs w:val="30"/>
        </w:rPr>
      </w:pPr>
      <w:r>
        <w:rPr>
          <w:rFonts w:hint="eastAsia"/>
          <w:sz w:val="30"/>
          <w:szCs w:val="30"/>
        </w:rPr>
        <w:t>前瞻布局创新基础设施。支持有条件的地方建设区域性创新高地，适度超前布局建设重大科技基础设施。优化提升国家产业创新中心、国家制造业创新中心、国家工程研究中心、国家技术创新中心等产业创新基础设施，强化共性基础技术供给。</w:t>
      </w:r>
    </w:p>
    <w:p w14:paraId="57DDCC00" w14:textId="77777777" w:rsidR="003F5F97" w:rsidRDefault="00000000">
      <w:pPr>
        <w:ind w:firstLineChars="200" w:firstLine="600"/>
        <w:jc w:val="left"/>
        <w:rPr>
          <w:rFonts w:eastAsiaTheme="minorEastAsia"/>
          <w:sz w:val="30"/>
          <w:szCs w:val="30"/>
        </w:rPr>
      </w:pPr>
      <w:r>
        <w:rPr>
          <w:rFonts w:hint="eastAsia"/>
          <w:sz w:val="30"/>
          <w:szCs w:val="30"/>
        </w:rPr>
        <w:t>五、推动城乡区域协调发展，释放内需潜能</w:t>
      </w:r>
    </w:p>
    <w:p w14:paraId="72E80858" w14:textId="77777777" w:rsidR="003F5F97" w:rsidRDefault="00000000">
      <w:pPr>
        <w:ind w:firstLineChars="200" w:firstLine="600"/>
        <w:jc w:val="left"/>
        <w:rPr>
          <w:rFonts w:eastAsiaTheme="minorEastAsia"/>
          <w:sz w:val="30"/>
          <w:szCs w:val="30"/>
        </w:rPr>
      </w:pPr>
      <w:r>
        <w:rPr>
          <w:rFonts w:hint="eastAsia"/>
          <w:sz w:val="30"/>
          <w:szCs w:val="30"/>
        </w:rPr>
        <w:t>城镇化是扩大内需的重要支撑，把扩大内需战略和新型城镇化战略有序衔接起来，使之成为经济发展的重要推动力。推动城乡区域协调发展是释放内需潜能、促进产业升级的重要举措，坚持全国一盘棋，全面实施乡村振兴战略，坚持实施区域重大战略、区域协调发展战略，增强发展的整体性、协调性，充分释放内需潜在势能。</w:t>
      </w:r>
    </w:p>
    <w:p w14:paraId="4A950AD5" w14:textId="77777777" w:rsidR="003F5F97" w:rsidRDefault="00000000">
      <w:pPr>
        <w:ind w:firstLineChars="200" w:firstLine="600"/>
        <w:jc w:val="left"/>
        <w:rPr>
          <w:rFonts w:eastAsiaTheme="minorEastAsia"/>
          <w:sz w:val="30"/>
          <w:szCs w:val="30"/>
        </w:rPr>
      </w:pPr>
      <w:r>
        <w:rPr>
          <w:rFonts w:hint="eastAsia"/>
          <w:sz w:val="30"/>
          <w:szCs w:val="30"/>
        </w:rPr>
        <w:t>（十五）推进以人为核心的新型城镇化</w:t>
      </w:r>
    </w:p>
    <w:p w14:paraId="52CD78C0" w14:textId="77777777" w:rsidR="003F5F97" w:rsidRDefault="00000000">
      <w:pPr>
        <w:ind w:firstLineChars="200" w:firstLine="600"/>
        <w:jc w:val="left"/>
        <w:rPr>
          <w:rFonts w:eastAsiaTheme="minorEastAsia"/>
          <w:sz w:val="30"/>
          <w:szCs w:val="30"/>
        </w:rPr>
      </w:pPr>
      <w:r>
        <w:rPr>
          <w:rFonts w:hint="eastAsia"/>
          <w:sz w:val="30"/>
          <w:szCs w:val="30"/>
        </w:rPr>
        <w:t>推进农业转移人口市民化。深化户籍制度改革，建立健全经常居住地提供基本公共服务制度，促进农业转移人口全面融入城市，提高市民化质量。完善财政转移支付与农业转移人口市民化挂钩相关政策。依法保障进城落户农民农村土地承包权、宅基地使用权、集体收益分配权，建立农村产权流转市场体系，健全农户“三权”市场化退出机制和配套政策。</w:t>
      </w:r>
    </w:p>
    <w:p w14:paraId="2F9E42C1" w14:textId="77777777" w:rsidR="003F5F97" w:rsidRDefault="00000000">
      <w:pPr>
        <w:ind w:firstLineChars="200" w:firstLine="600"/>
        <w:jc w:val="left"/>
        <w:rPr>
          <w:rFonts w:eastAsiaTheme="minorEastAsia"/>
          <w:sz w:val="30"/>
          <w:szCs w:val="30"/>
        </w:rPr>
      </w:pPr>
      <w:r>
        <w:rPr>
          <w:rFonts w:hint="eastAsia"/>
          <w:sz w:val="30"/>
          <w:szCs w:val="30"/>
        </w:rPr>
        <w:lastRenderedPageBreak/>
        <w:t>培育城市群和都市圈。推进成渝地区双城经济圈等城市群建设，完善城市群一体化发展体制机制，统筹推进基础设施协调布局、产业分工协作、公共服务共享、生态共建环境共治。依托辐射带动能力较强的中心城市，提高通勤圈协同发展水平，培育发展同城化程度高的现代化都市圈。推进超大特大城市瘦身健体，严控中心城市规模无序扩张。完善大中城市宜</w:t>
      </w:r>
      <w:proofErr w:type="gramStart"/>
      <w:r>
        <w:rPr>
          <w:rFonts w:hint="eastAsia"/>
          <w:sz w:val="30"/>
          <w:szCs w:val="30"/>
        </w:rPr>
        <w:t>居宜业功能</w:t>
      </w:r>
      <w:proofErr w:type="gramEnd"/>
      <w:r>
        <w:rPr>
          <w:rFonts w:hint="eastAsia"/>
          <w:sz w:val="30"/>
          <w:szCs w:val="30"/>
        </w:rPr>
        <w:t>，支持培育新生中小城市。健全城镇体系，依法依规加强城市生态修复和功能完善，合理确定城市规模、人口密度、空间结构。</w:t>
      </w:r>
    </w:p>
    <w:p w14:paraId="6573BA41" w14:textId="77777777" w:rsidR="003F5F97" w:rsidRDefault="00000000">
      <w:pPr>
        <w:ind w:firstLineChars="200" w:firstLine="600"/>
        <w:jc w:val="left"/>
        <w:rPr>
          <w:rFonts w:eastAsiaTheme="minorEastAsia"/>
          <w:sz w:val="30"/>
          <w:szCs w:val="30"/>
        </w:rPr>
      </w:pPr>
      <w:r>
        <w:rPr>
          <w:rFonts w:hint="eastAsia"/>
          <w:sz w:val="30"/>
          <w:szCs w:val="30"/>
        </w:rPr>
        <w:t>推进以县城为重要载体的城镇化建设。推进县城公共服务、环境卫生、市政公用、产业配套等设施提级扩能，增强综合承载能力和治理能力。鼓励东部城镇化地区县城加快发展，支持中西部和东北城镇化地区县城建设，合理引导农产品主产区和重点生态功能区县城建设。按照区位条件、资源禀赋、发展基础，分类引导小城镇发展。促进特色小镇规范健康发展。</w:t>
      </w:r>
    </w:p>
    <w:p w14:paraId="23BD4F25" w14:textId="77777777" w:rsidR="003F5F97" w:rsidRDefault="00000000">
      <w:pPr>
        <w:ind w:firstLineChars="200" w:firstLine="600"/>
        <w:jc w:val="left"/>
        <w:rPr>
          <w:rFonts w:eastAsiaTheme="minorEastAsia"/>
          <w:sz w:val="30"/>
          <w:szCs w:val="30"/>
        </w:rPr>
      </w:pPr>
      <w:r>
        <w:rPr>
          <w:rFonts w:hint="eastAsia"/>
          <w:sz w:val="30"/>
          <w:szCs w:val="30"/>
        </w:rPr>
        <w:t>推进城市设施规划建设和城市更新。加强市政水、电、气、路、热、信等体系化建设，推进地下综合管廊等设施和海绵城市建设，加强城市内涝治理，加强城镇污水和垃圾收集处理体系建设，建设宜居、创新、智慧、绿色、人文、韧性城市。加强城镇老旧小区改造和社区建设，补齐居住社区设施短板，完善社区人居环境。加快地震易发区房屋设施抗震加固改造，加强城市安全监测。强化历史文化保护，塑造城市风貌，延续城市历史文脉。</w:t>
      </w:r>
    </w:p>
    <w:p w14:paraId="3091F7C3" w14:textId="77777777" w:rsidR="003F5F97" w:rsidRDefault="00000000">
      <w:pPr>
        <w:ind w:firstLineChars="200" w:firstLine="600"/>
        <w:jc w:val="left"/>
        <w:rPr>
          <w:rFonts w:eastAsiaTheme="minorEastAsia"/>
          <w:sz w:val="30"/>
          <w:szCs w:val="30"/>
        </w:rPr>
      </w:pPr>
      <w:r>
        <w:rPr>
          <w:rFonts w:hint="eastAsia"/>
          <w:sz w:val="30"/>
          <w:szCs w:val="30"/>
        </w:rPr>
        <w:t>（十六）积极推动农村现代化</w:t>
      </w:r>
    </w:p>
    <w:p w14:paraId="6ADACBF4" w14:textId="77777777" w:rsidR="003F5F97" w:rsidRDefault="00000000">
      <w:pPr>
        <w:ind w:firstLineChars="200" w:firstLine="600"/>
        <w:jc w:val="left"/>
        <w:rPr>
          <w:rFonts w:eastAsiaTheme="minorEastAsia"/>
          <w:sz w:val="30"/>
          <w:szCs w:val="30"/>
        </w:rPr>
      </w:pPr>
      <w:r>
        <w:rPr>
          <w:rFonts w:hint="eastAsia"/>
          <w:sz w:val="30"/>
          <w:szCs w:val="30"/>
        </w:rPr>
        <w:lastRenderedPageBreak/>
        <w:t>实施乡村建设行动。综合考虑村庄演变规律、集聚特点、现状分布，结合农民生产生活半径，合理确定村庄布局和规模。完善乡村基础设施和综合服务设施，提升农房品质，严格建房安全标准。加强农村生态文明建设和农村人居环境整治。推进农村移风易俗。加大农村地区文化遗产保护力度，保护传统村落、民族村寨和乡村风貌，让居民望得见山、看得见水、记得住乡愁。</w:t>
      </w:r>
    </w:p>
    <w:p w14:paraId="66CF40DB" w14:textId="77777777" w:rsidR="003F5F97" w:rsidRDefault="00000000">
      <w:pPr>
        <w:ind w:firstLineChars="200" w:firstLine="600"/>
        <w:jc w:val="left"/>
        <w:rPr>
          <w:rFonts w:eastAsiaTheme="minorEastAsia"/>
          <w:sz w:val="30"/>
          <w:szCs w:val="30"/>
        </w:rPr>
      </w:pPr>
      <w:r>
        <w:rPr>
          <w:rFonts w:hint="eastAsia"/>
          <w:sz w:val="30"/>
          <w:szCs w:val="30"/>
        </w:rPr>
        <w:t>完善乡村市场体系。健全农产品流通网络，加强农村商贸体系建设，畅通工业品下乡、农产品进城双向流通渠道。完善以县级物流节点为核心、乡镇服务站点为骨架、村级末端网点为延伸的县乡村三级物流节点设施体系，完善农村电</w:t>
      </w:r>
      <w:proofErr w:type="gramStart"/>
      <w:r>
        <w:rPr>
          <w:rFonts w:hint="eastAsia"/>
          <w:sz w:val="30"/>
          <w:szCs w:val="30"/>
        </w:rPr>
        <w:t>商配套</w:t>
      </w:r>
      <w:proofErr w:type="gramEnd"/>
      <w:r>
        <w:rPr>
          <w:rFonts w:hint="eastAsia"/>
          <w:sz w:val="30"/>
          <w:szCs w:val="30"/>
        </w:rPr>
        <w:t>服务。培育农产品网络品牌。推动农村居民汽车、家电、家具、家装消费升级。引导县域引入城市消费新</w:t>
      </w:r>
      <w:proofErr w:type="gramStart"/>
      <w:r>
        <w:rPr>
          <w:rFonts w:hint="eastAsia"/>
          <w:sz w:val="30"/>
          <w:szCs w:val="30"/>
        </w:rPr>
        <w:t>业态新模式</w:t>
      </w:r>
      <w:proofErr w:type="gramEnd"/>
      <w:r>
        <w:rPr>
          <w:rFonts w:hint="eastAsia"/>
          <w:sz w:val="30"/>
          <w:szCs w:val="30"/>
        </w:rPr>
        <w:t>，充分满足县乡居民个性化、多元化、中高端消费需求。持续依法打击假冒伪劣产品，规范农村市场秩序。</w:t>
      </w:r>
    </w:p>
    <w:p w14:paraId="37F7FD15" w14:textId="77777777" w:rsidR="003F5F97" w:rsidRDefault="00000000">
      <w:pPr>
        <w:ind w:firstLineChars="200" w:firstLine="600"/>
        <w:jc w:val="left"/>
        <w:rPr>
          <w:rFonts w:eastAsiaTheme="minorEastAsia"/>
          <w:sz w:val="30"/>
          <w:szCs w:val="30"/>
        </w:rPr>
      </w:pPr>
      <w:r>
        <w:rPr>
          <w:rFonts w:hint="eastAsia"/>
          <w:sz w:val="30"/>
          <w:szCs w:val="30"/>
        </w:rPr>
        <w:t>丰富乡村经济形态。深入实施质量兴农战略，推动农村一二三产业融合发展，高质量发展现代农产品加工业，延长农业产业链条。发展各具特色的现代乡村富民产业，壮大休闲农业、乡村旅游、民宿经济、乡村文化等特色产业。完善利益联结机制，让农民更多分享产业增值收益。发展新型农村集体经济，扶持各类新型农业经营主体，提高农业经营效益和农民职业吸引力。推动乡村人才振兴，优化农村创新创业环境，激发农村创新创业活力。</w:t>
      </w:r>
    </w:p>
    <w:p w14:paraId="3FB4DB35" w14:textId="77777777" w:rsidR="003F5F97" w:rsidRDefault="00000000">
      <w:pPr>
        <w:ind w:firstLineChars="200" w:firstLine="600"/>
        <w:jc w:val="left"/>
        <w:rPr>
          <w:rFonts w:eastAsiaTheme="minorEastAsia"/>
          <w:sz w:val="30"/>
          <w:szCs w:val="30"/>
        </w:rPr>
      </w:pPr>
      <w:r>
        <w:rPr>
          <w:rFonts w:hint="eastAsia"/>
          <w:sz w:val="30"/>
          <w:szCs w:val="30"/>
        </w:rPr>
        <w:t>健全城乡融合发展体制机制。强化以工补农、以城带乡，推</w:t>
      </w:r>
      <w:r>
        <w:rPr>
          <w:rFonts w:hint="eastAsia"/>
          <w:sz w:val="30"/>
          <w:szCs w:val="30"/>
        </w:rPr>
        <w:lastRenderedPageBreak/>
        <w:t>动形成工农互促、城乡互补、协调发展、共同繁荣的新型工农城乡关系。统筹推进城乡规划布局和建设管理，让城乡之间各美其美、美美与共。推动城乡在要素配置、产业发展、安全标准、公共服务、生态保护等方面相互融合和协同发展，促进城乡生产要素平等交换、双向自由流动和公共资源合理配置，逐步缩小城乡发展差距和居民生活水平差距。</w:t>
      </w:r>
    </w:p>
    <w:p w14:paraId="184A4C29" w14:textId="77777777" w:rsidR="003F5F97" w:rsidRDefault="00000000">
      <w:pPr>
        <w:ind w:firstLineChars="200" w:firstLine="600"/>
        <w:jc w:val="left"/>
        <w:rPr>
          <w:rFonts w:eastAsiaTheme="minorEastAsia"/>
          <w:sz w:val="30"/>
          <w:szCs w:val="30"/>
        </w:rPr>
      </w:pPr>
      <w:r>
        <w:rPr>
          <w:rFonts w:hint="eastAsia"/>
          <w:sz w:val="30"/>
          <w:szCs w:val="30"/>
        </w:rPr>
        <w:t>（十七）优化区域经济布局</w:t>
      </w:r>
    </w:p>
    <w:p w14:paraId="75587471" w14:textId="77777777" w:rsidR="003F5F97" w:rsidRDefault="00000000">
      <w:pPr>
        <w:ind w:firstLineChars="200" w:firstLine="600"/>
        <w:jc w:val="left"/>
        <w:rPr>
          <w:rFonts w:eastAsiaTheme="minorEastAsia"/>
          <w:sz w:val="30"/>
          <w:szCs w:val="30"/>
        </w:rPr>
      </w:pPr>
      <w:r>
        <w:rPr>
          <w:rFonts w:hint="eastAsia"/>
          <w:sz w:val="30"/>
          <w:szCs w:val="30"/>
        </w:rPr>
        <w:t>依托区域重大战略打造内需新增长极。以疏解北京</w:t>
      </w:r>
      <w:proofErr w:type="gramStart"/>
      <w:r>
        <w:rPr>
          <w:rFonts w:hint="eastAsia"/>
          <w:sz w:val="30"/>
          <w:szCs w:val="30"/>
        </w:rPr>
        <w:t>非首都</w:t>
      </w:r>
      <w:proofErr w:type="gramEnd"/>
      <w:r>
        <w:rPr>
          <w:rFonts w:hint="eastAsia"/>
          <w:sz w:val="30"/>
          <w:szCs w:val="30"/>
        </w:rPr>
        <w:t>功能为“牛鼻子”，持续推动京津冀协同发展。坚持生态优先、绿色发展和共抓大保护、不搞大开发，全面推动长江经济带高质量发展。支持香港、澳门更好融入国家发展大局，积极稳妥推进粤港澳大湾区建设。紧扣“一体化”和“高质量”，提升长三角一体化发展水平。协调上中下游共抓大保护，扎实推进黄河流域生态保护和高质量发展。支持经济发展优势区域增强经济和人口承载能力，提升创新</w:t>
      </w:r>
      <w:proofErr w:type="gramStart"/>
      <w:r>
        <w:rPr>
          <w:rFonts w:hint="eastAsia"/>
          <w:sz w:val="30"/>
          <w:szCs w:val="30"/>
        </w:rPr>
        <w:t>策源能力</w:t>
      </w:r>
      <w:proofErr w:type="gramEnd"/>
      <w:r>
        <w:rPr>
          <w:rFonts w:hint="eastAsia"/>
          <w:sz w:val="30"/>
          <w:szCs w:val="30"/>
        </w:rPr>
        <w:t>和全球资源配置能力，促进区域间融合互动、融通补充，培育新增长极，带动全国经济效率整体提升。</w:t>
      </w:r>
    </w:p>
    <w:p w14:paraId="5D78120E" w14:textId="77777777" w:rsidR="003F5F97" w:rsidRDefault="00000000">
      <w:pPr>
        <w:ind w:firstLineChars="200" w:firstLine="600"/>
        <w:jc w:val="left"/>
        <w:rPr>
          <w:rFonts w:eastAsiaTheme="minorEastAsia"/>
          <w:sz w:val="30"/>
          <w:szCs w:val="30"/>
        </w:rPr>
      </w:pPr>
      <w:r>
        <w:rPr>
          <w:rFonts w:hint="eastAsia"/>
          <w:sz w:val="30"/>
          <w:szCs w:val="30"/>
        </w:rPr>
        <w:t>推动区域协调发展完善内需增长空间格局。在全国统一大市场框架下充分发挥各地区比较优势，努力实现差异竞争、错位发展，释放区域协调发展的巨大内需潜力。深入推进西部大开发、东北全面振兴、中部地区崛起、东部率先发展，支持欠发达地区、革命老区等特殊类型地区加快发展，加大对民族地区发展支持力度。推动巩固拓展脱贫攻坚成果同乡村振兴有效衔接，完善农村</w:t>
      </w:r>
      <w:r>
        <w:rPr>
          <w:rFonts w:hint="eastAsia"/>
          <w:sz w:val="30"/>
          <w:szCs w:val="30"/>
        </w:rPr>
        <w:lastRenderedPageBreak/>
        <w:t>低收入人口和欠发达地区帮扶机制。健全区际利益补偿等促进区域协调发展机制。积极拓展海洋经济发展空间。</w:t>
      </w:r>
    </w:p>
    <w:p w14:paraId="6259786D" w14:textId="77777777" w:rsidR="003F5F97" w:rsidRDefault="00000000">
      <w:pPr>
        <w:ind w:firstLineChars="200" w:firstLine="600"/>
        <w:jc w:val="left"/>
        <w:rPr>
          <w:rFonts w:eastAsiaTheme="minorEastAsia"/>
          <w:sz w:val="30"/>
          <w:szCs w:val="30"/>
        </w:rPr>
      </w:pPr>
      <w:r>
        <w:rPr>
          <w:rFonts w:hint="eastAsia"/>
          <w:sz w:val="30"/>
          <w:szCs w:val="30"/>
        </w:rPr>
        <w:t>六、提高供给质量，带动需求更好实现</w:t>
      </w:r>
    </w:p>
    <w:p w14:paraId="1D6DE988" w14:textId="77777777" w:rsidR="003F5F97" w:rsidRDefault="00000000">
      <w:pPr>
        <w:ind w:firstLineChars="200" w:firstLine="600"/>
        <w:jc w:val="left"/>
        <w:rPr>
          <w:rFonts w:eastAsiaTheme="minorEastAsia"/>
          <w:sz w:val="30"/>
          <w:szCs w:val="30"/>
        </w:rPr>
      </w:pPr>
      <w:r>
        <w:rPr>
          <w:rFonts w:hint="eastAsia"/>
          <w:sz w:val="30"/>
          <w:szCs w:val="30"/>
        </w:rPr>
        <w:t>供给</w:t>
      </w:r>
      <w:proofErr w:type="gramStart"/>
      <w:r>
        <w:rPr>
          <w:rFonts w:hint="eastAsia"/>
          <w:sz w:val="30"/>
          <w:szCs w:val="30"/>
        </w:rPr>
        <w:t>侧有效</w:t>
      </w:r>
      <w:proofErr w:type="gramEnd"/>
      <w:r>
        <w:rPr>
          <w:rFonts w:hint="eastAsia"/>
          <w:sz w:val="30"/>
          <w:szCs w:val="30"/>
        </w:rPr>
        <w:t>畅通可以打通循环堵点、消除瓶颈制约，满足现有需求并进一步引领创造新需求。要面向需求结构变化和供给革命，顺应新一轮科技革命和产业变革趋势，强化科技自立自强，以创新驱动、高质量供给引领和创造新需求，推动供需在更高水平上实现良性循环。</w:t>
      </w:r>
    </w:p>
    <w:p w14:paraId="1CA4CA85" w14:textId="77777777" w:rsidR="003F5F97" w:rsidRDefault="00000000">
      <w:pPr>
        <w:ind w:firstLineChars="200" w:firstLine="600"/>
        <w:jc w:val="left"/>
        <w:rPr>
          <w:rFonts w:eastAsiaTheme="minorEastAsia"/>
          <w:sz w:val="30"/>
          <w:szCs w:val="30"/>
        </w:rPr>
      </w:pPr>
      <w:r>
        <w:rPr>
          <w:rFonts w:hint="eastAsia"/>
          <w:sz w:val="30"/>
          <w:szCs w:val="30"/>
        </w:rPr>
        <w:t>（十八）加快发展新产业新产品</w:t>
      </w:r>
    </w:p>
    <w:p w14:paraId="78FA080F" w14:textId="77777777" w:rsidR="003F5F97" w:rsidRDefault="00000000">
      <w:pPr>
        <w:ind w:firstLineChars="200" w:firstLine="600"/>
        <w:jc w:val="left"/>
        <w:rPr>
          <w:rFonts w:eastAsiaTheme="minorEastAsia"/>
          <w:sz w:val="30"/>
          <w:szCs w:val="30"/>
        </w:rPr>
      </w:pPr>
      <w:r>
        <w:rPr>
          <w:rFonts w:hint="eastAsia"/>
          <w:sz w:val="30"/>
          <w:szCs w:val="30"/>
        </w:rPr>
        <w:t>实现科技高水平自立自强。以国家战略性需求为导向优化国家创新体系整体布局，强化以国家实验室为引领的战略科技力量。推进科研院所、高等学校和企业科研力量优化配置、资源共享。健全新型举国体制，确定科技创新方向和重点，改进科研项目组织管理方式。在人工智能、量子信息、脑科学等前沿领域实施一批前瞻性、战略性国家重大科技项目。聚焦核心基础零部件及元器件、关键基础材料、关键基础软件、先进基础工艺和产业技术基础，引导产业链上下游联合攻关。持之以恒加强基础研究，发挥好重要院所、高校的国家队作用，重点布局一批基础学科研究中心。加强科学研究与市场应用的有效衔接，支持产学研协同，促进产业链、创新链、生态链融通发展。强化企业科技创新主体作用。</w:t>
      </w:r>
    </w:p>
    <w:p w14:paraId="2B142D0C" w14:textId="77777777" w:rsidR="003F5F97" w:rsidRDefault="00000000">
      <w:pPr>
        <w:ind w:firstLineChars="200" w:firstLine="600"/>
        <w:jc w:val="left"/>
        <w:rPr>
          <w:rFonts w:eastAsiaTheme="minorEastAsia"/>
          <w:sz w:val="30"/>
          <w:szCs w:val="30"/>
        </w:rPr>
      </w:pPr>
      <w:r>
        <w:rPr>
          <w:rFonts w:hint="eastAsia"/>
          <w:sz w:val="30"/>
          <w:szCs w:val="30"/>
        </w:rPr>
        <w:t>壮大战略性新兴产业。深入推进国家战略性新兴产业集群发</w:t>
      </w:r>
      <w:r>
        <w:rPr>
          <w:rFonts w:hint="eastAsia"/>
          <w:sz w:val="30"/>
          <w:szCs w:val="30"/>
        </w:rPr>
        <w:lastRenderedPageBreak/>
        <w:t>展，建设国家级战略性新兴产业基地。全面提升信息技术产业核心竞争力，推动人工智能、先进通信、集成电路、新型显示、先进计算等技术创新和应用。加快生物医药、生物农业、生物制造、基因技术应用服务等产业化发展。发展壮大新能源产业。推进前沿新材料研发应用。促进重大装备工程应用和产业化发展，加快大飞机、航空发动机和机载设备等研发，推进卫星及应用基础设施建设。发展数字创意产业。在前沿科技和产业变革领域，组织实施未来产业孵化与加速计划，前瞻谋划未来产业。推动先进制造业集群发展，建设国家新型工业化产业示范基地，培育世界级先进制造业集群。</w:t>
      </w:r>
    </w:p>
    <w:p w14:paraId="4010FA1B" w14:textId="77777777" w:rsidR="003F5F97" w:rsidRDefault="00000000">
      <w:pPr>
        <w:ind w:firstLineChars="200" w:firstLine="600"/>
        <w:jc w:val="left"/>
        <w:rPr>
          <w:rFonts w:eastAsiaTheme="minorEastAsia"/>
          <w:sz w:val="30"/>
          <w:szCs w:val="30"/>
        </w:rPr>
      </w:pPr>
      <w:r>
        <w:rPr>
          <w:rFonts w:hint="eastAsia"/>
          <w:sz w:val="30"/>
          <w:szCs w:val="30"/>
        </w:rPr>
        <w:t>加强创新产品应用。依托</w:t>
      </w:r>
      <w:proofErr w:type="gramStart"/>
      <w:r>
        <w:rPr>
          <w:rFonts w:hint="eastAsia"/>
          <w:sz w:val="30"/>
          <w:szCs w:val="30"/>
        </w:rPr>
        <w:t>我国超</w:t>
      </w:r>
      <w:proofErr w:type="gramEnd"/>
      <w:r>
        <w:rPr>
          <w:rFonts w:hint="eastAsia"/>
          <w:sz w:val="30"/>
          <w:szCs w:val="30"/>
        </w:rPr>
        <w:t>大规模市场和完备产业体系，创造有利于新技术快速大规模应用和迭代升级的独特优势，加速科技成果向现实生产力转化。完善激励和风险补偿机制，推动首台（套）装备、首批</w:t>
      </w:r>
      <w:proofErr w:type="gramStart"/>
      <w:r>
        <w:rPr>
          <w:rFonts w:hint="eastAsia"/>
          <w:sz w:val="30"/>
          <w:szCs w:val="30"/>
        </w:rPr>
        <w:t>次材料</w:t>
      </w:r>
      <w:proofErr w:type="gramEnd"/>
      <w:r>
        <w:rPr>
          <w:rFonts w:hint="eastAsia"/>
          <w:sz w:val="30"/>
          <w:szCs w:val="30"/>
        </w:rPr>
        <w:t>等示范应用。建立重要产品快速</w:t>
      </w:r>
      <w:proofErr w:type="gramStart"/>
      <w:r>
        <w:rPr>
          <w:rFonts w:hint="eastAsia"/>
          <w:sz w:val="30"/>
          <w:szCs w:val="30"/>
        </w:rPr>
        <w:t>审评审批</w:t>
      </w:r>
      <w:proofErr w:type="gramEnd"/>
      <w:r>
        <w:rPr>
          <w:rFonts w:hint="eastAsia"/>
          <w:sz w:val="30"/>
          <w:szCs w:val="30"/>
        </w:rPr>
        <w:t>机制。</w:t>
      </w:r>
    </w:p>
    <w:p w14:paraId="6657A1FE" w14:textId="77777777" w:rsidR="003F5F97" w:rsidRDefault="00000000">
      <w:pPr>
        <w:ind w:firstLineChars="200" w:firstLine="600"/>
        <w:jc w:val="left"/>
        <w:rPr>
          <w:rFonts w:eastAsiaTheme="minorEastAsia"/>
          <w:sz w:val="30"/>
          <w:szCs w:val="30"/>
        </w:rPr>
      </w:pPr>
      <w:r>
        <w:rPr>
          <w:rFonts w:hint="eastAsia"/>
          <w:sz w:val="30"/>
          <w:szCs w:val="30"/>
        </w:rPr>
        <w:t>加快推动数字产业化和产业数字化。加强数字社会、数字政府建设，发展普惠性“上云用数赋智”，不断提升数字化治理水平。建立</w:t>
      </w:r>
      <w:proofErr w:type="gramStart"/>
      <w:r>
        <w:rPr>
          <w:rFonts w:hint="eastAsia"/>
          <w:sz w:val="30"/>
          <w:szCs w:val="30"/>
        </w:rPr>
        <w:t>完善跨</w:t>
      </w:r>
      <w:proofErr w:type="gramEnd"/>
      <w:r>
        <w:rPr>
          <w:rFonts w:hint="eastAsia"/>
          <w:sz w:val="30"/>
          <w:szCs w:val="30"/>
        </w:rPr>
        <w:t>部门跨区域的数据资源流通应用机制，强化数据安全保障能力，优化数据要素流通环境。加快数据资源开发利用及其制度规范建设，打造具有国际竞争力的数字产业集群，加大中小企业特别是制造业中小企业数字化赋能力度。积极参与数字领域国际规则和标准制定。</w:t>
      </w:r>
    </w:p>
    <w:p w14:paraId="4AEE725A" w14:textId="77777777" w:rsidR="003F5F97" w:rsidRDefault="00000000">
      <w:pPr>
        <w:ind w:firstLineChars="200" w:firstLine="600"/>
        <w:jc w:val="left"/>
        <w:rPr>
          <w:rFonts w:eastAsiaTheme="minorEastAsia"/>
          <w:sz w:val="30"/>
          <w:szCs w:val="30"/>
        </w:rPr>
      </w:pPr>
      <w:r>
        <w:rPr>
          <w:rFonts w:hint="eastAsia"/>
          <w:sz w:val="30"/>
          <w:szCs w:val="30"/>
        </w:rPr>
        <w:lastRenderedPageBreak/>
        <w:t>激发人才创新活力。遵循人才成长规律和科研活动规律，培养造就更多国际一流的领军人才。加强创新型、应用型、技能型人才培养，壮大高水平工程师和高技能人才队伍。鼓励大型企业与科研院所联合培养科技人才。健全以创新能力、质量、实效、贡献为导向的科技人才评价体系，完善技能人才评价制度。弘扬科学精神和工匠精神，提升全民科学素质。</w:t>
      </w:r>
    </w:p>
    <w:p w14:paraId="38A5C1CF" w14:textId="77777777" w:rsidR="003F5F97" w:rsidRDefault="00000000">
      <w:pPr>
        <w:ind w:firstLineChars="200" w:firstLine="600"/>
        <w:jc w:val="left"/>
        <w:rPr>
          <w:rFonts w:eastAsiaTheme="minorEastAsia"/>
          <w:sz w:val="30"/>
          <w:szCs w:val="30"/>
        </w:rPr>
      </w:pPr>
      <w:r>
        <w:rPr>
          <w:rFonts w:hint="eastAsia"/>
          <w:sz w:val="30"/>
          <w:szCs w:val="30"/>
        </w:rPr>
        <w:t>（十九）积极促进传统产业改造提升</w:t>
      </w:r>
    </w:p>
    <w:p w14:paraId="4A08F73E" w14:textId="77777777" w:rsidR="003F5F97" w:rsidRDefault="00000000">
      <w:pPr>
        <w:ind w:firstLineChars="200" w:firstLine="600"/>
        <w:jc w:val="left"/>
        <w:rPr>
          <w:rFonts w:eastAsiaTheme="minorEastAsia"/>
          <w:sz w:val="30"/>
          <w:szCs w:val="30"/>
        </w:rPr>
      </w:pPr>
      <w:r>
        <w:rPr>
          <w:rFonts w:hint="eastAsia"/>
          <w:sz w:val="30"/>
          <w:szCs w:val="30"/>
        </w:rPr>
        <w:t>大力发展现代农业。持续强化农业基础地位，加快建立现代农业产业体系、生产体系、经营体系，发展农业专业化社会化服务。健全农业支持保护制度，优化农业生产区域布局，加强粮食生产功能区、重要农产品生产保护区、特色农产品优势区建设。优化农业生产结构，扩大紧缺农产品生产。加强高标准农田建设，加强东北黑土地保护和地力恢复，增强粮食综合生产能力。推动畜牧业转型升级，发展标准化规模养殖，强化动物疫病风险防控，推进畜禽养殖废弃物资源化利用。推进水产绿色健康养殖，规范有序发展海洋渔业。强化农业科技和装备支撑，推进农业机械化和农机装备智能化。推动发展智慧农业。</w:t>
      </w:r>
    </w:p>
    <w:p w14:paraId="5501E595" w14:textId="77777777" w:rsidR="003F5F97" w:rsidRDefault="00000000">
      <w:pPr>
        <w:ind w:firstLineChars="200" w:firstLine="600"/>
        <w:jc w:val="left"/>
        <w:rPr>
          <w:rFonts w:eastAsiaTheme="minorEastAsia"/>
          <w:sz w:val="30"/>
          <w:szCs w:val="30"/>
        </w:rPr>
      </w:pPr>
      <w:r>
        <w:rPr>
          <w:rFonts w:hint="eastAsia"/>
          <w:sz w:val="30"/>
          <w:szCs w:val="30"/>
        </w:rPr>
        <w:t>推进制造业高端化、智能化、绿色化。深入实施工业互联网创新发展战略。促进数据、人才、技术等生产要素在传统产业汇聚，推动企业加快数字化改造。发展智能制造、绿色制造，推动生产方式向柔性、智能、精细化转变。构建多层次资源高效循环利用体系，推进</w:t>
      </w:r>
      <w:proofErr w:type="gramStart"/>
      <w:r>
        <w:rPr>
          <w:rFonts w:hint="eastAsia"/>
          <w:sz w:val="30"/>
          <w:szCs w:val="30"/>
        </w:rPr>
        <w:t>大宗固废</w:t>
      </w:r>
      <w:proofErr w:type="gramEnd"/>
      <w:r>
        <w:rPr>
          <w:rFonts w:hint="eastAsia"/>
          <w:sz w:val="30"/>
          <w:szCs w:val="30"/>
        </w:rPr>
        <w:t>综合利用，规范发展再制造产业。</w:t>
      </w:r>
    </w:p>
    <w:p w14:paraId="44D159B9" w14:textId="77777777" w:rsidR="003F5F97" w:rsidRDefault="00000000">
      <w:pPr>
        <w:ind w:firstLineChars="200" w:firstLine="600"/>
        <w:jc w:val="left"/>
        <w:rPr>
          <w:rFonts w:eastAsiaTheme="minorEastAsia"/>
          <w:sz w:val="30"/>
          <w:szCs w:val="30"/>
        </w:rPr>
      </w:pPr>
      <w:r>
        <w:rPr>
          <w:rFonts w:hint="eastAsia"/>
          <w:sz w:val="30"/>
          <w:szCs w:val="30"/>
        </w:rPr>
        <w:lastRenderedPageBreak/>
        <w:t>优化区域产业产能布局。发挥各地区比较优势，优化区域分工协作格局。优化石化化工、钢铁等重要基础性产业规划布局，严格控制建设高耗能、高排放项目。不断完善产业结构调整指导目录、西部地区鼓励类产业目录等，支持引导中西部和东北地区依托资源要素禀赋，在充分考虑资源环境承载能力基础上承接国内产业梯度转移。推进老工业基地制造业竞争优势重构。加强对重大生产力布局的统一规划和宏观指导，防止盲目投资和重复建设。</w:t>
      </w:r>
    </w:p>
    <w:p w14:paraId="2E6BEAD2" w14:textId="77777777" w:rsidR="003F5F97" w:rsidRDefault="00000000">
      <w:pPr>
        <w:ind w:firstLineChars="200" w:firstLine="600"/>
        <w:jc w:val="left"/>
        <w:rPr>
          <w:rFonts w:eastAsiaTheme="minorEastAsia"/>
          <w:sz w:val="30"/>
          <w:szCs w:val="30"/>
        </w:rPr>
      </w:pPr>
      <w:r>
        <w:rPr>
          <w:rFonts w:hint="eastAsia"/>
          <w:sz w:val="30"/>
          <w:szCs w:val="30"/>
        </w:rPr>
        <w:t>持续推动生产性服务业向高端延伸。发展服务型制造，鼓励制造业企业发展生产性服务业，拓展研发设计、供应链协同、系统解决方案、柔性化定制、全生命周期管理等增值服务，促进制造业企业由提供“产品”向提供“产品</w:t>
      </w:r>
      <w:r>
        <w:rPr>
          <w:rFonts w:hint="eastAsia"/>
          <w:sz w:val="30"/>
          <w:szCs w:val="30"/>
        </w:rPr>
        <w:t>+</w:t>
      </w:r>
      <w:r>
        <w:rPr>
          <w:rFonts w:hint="eastAsia"/>
          <w:sz w:val="30"/>
          <w:szCs w:val="30"/>
        </w:rPr>
        <w:t>服务”转变，提升价值链。推动现代服务业同先进制造业融合发展。积极发展科技服务业。支持智能制造、流程再造等领域新型专业化服务机构发展。发展研发、设计、检测等生产性服务外包，鼓励电子商务等服务业企业向制造环节拓展。引导研发设计企业与制造业企业嵌入式合作。培育专业化、国际化的知识产权服务品牌机构。聚焦提高要素配置效率，推动供应链金融、信息数据、人力资源等服务创新发展。</w:t>
      </w:r>
    </w:p>
    <w:p w14:paraId="7D1C413E" w14:textId="77777777" w:rsidR="003F5F97" w:rsidRDefault="00000000">
      <w:pPr>
        <w:ind w:firstLineChars="200" w:firstLine="600"/>
        <w:jc w:val="left"/>
        <w:rPr>
          <w:rFonts w:eastAsiaTheme="minorEastAsia"/>
          <w:sz w:val="30"/>
          <w:szCs w:val="30"/>
        </w:rPr>
      </w:pPr>
      <w:r>
        <w:rPr>
          <w:rFonts w:hint="eastAsia"/>
          <w:sz w:val="30"/>
          <w:szCs w:val="30"/>
        </w:rPr>
        <w:t>（二十）着力加强标准质量品牌建设</w:t>
      </w:r>
    </w:p>
    <w:p w14:paraId="3FFFE840" w14:textId="77777777" w:rsidR="003F5F97" w:rsidRDefault="00000000">
      <w:pPr>
        <w:ind w:firstLineChars="200" w:firstLine="600"/>
        <w:jc w:val="left"/>
        <w:rPr>
          <w:rFonts w:eastAsiaTheme="minorEastAsia"/>
          <w:sz w:val="30"/>
          <w:szCs w:val="30"/>
        </w:rPr>
      </w:pPr>
      <w:r>
        <w:rPr>
          <w:rFonts w:hint="eastAsia"/>
          <w:sz w:val="30"/>
          <w:szCs w:val="30"/>
        </w:rPr>
        <w:t>健全产品和服务标准体系。建立健全全国统一的强制性国家标准体系。构建现代农业全产业</w:t>
      </w:r>
      <w:proofErr w:type="gramStart"/>
      <w:r>
        <w:rPr>
          <w:rFonts w:hint="eastAsia"/>
          <w:sz w:val="30"/>
          <w:szCs w:val="30"/>
        </w:rPr>
        <w:t>链标准</w:t>
      </w:r>
      <w:proofErr w:type="gramEnd"/>
      <w:r>
        <w:rPr>
          <w:rFonts w:hint="eastAsia"/>
          <w:sz w:val="30"/>
          <w:szCs w:val="30"/>
        </w:rPr>
        <w:t>体系，完善制造业高端化</w:t>
      </w:r>
      <w:r>
        <w:rPr>
          <w:rFonts w:hint="eastAsia"/>
          <w:sz w:val="30"/>
          <w:szCs w:val="30"/>
        </w:rPr>
        <w:lastRenderedPageBreak/>
        <w:t>标准体系，动态调整消费品安全标准，健全旅游、养老、商贸流通等服务业标准体系。优化企业标准“领跑者”制度。大力发展先进团体标准。加快构建国家现代先进测量体系。加强检验检测体系建设。</w:t>
      </w:r>
    </w:p>
    <w:p w14:paraId="577DBB7C" w14:textId="77777777" w:rsidR="003F5F97" w:rsidRDefault="00000000">
      <w:pPr>
        <w:ind w:firstLineChars="200" w:firstLine="600"/>
        <w:jc w:val="left"/>
        <w:rPr>
          <w:rFonts w:eastAsiaTheme="minorEastAsia"/>
          <w:sz w:val="30"/>
          <w:szCs w:val="30"/>
        </w:rPr>
      </w:pPr>
      <w:r>
        <w:rPr>
          <w:rFonts w:hint="eastAsia"/>
          <w:sz w:val="30"/>
          <w:szCs w:val="30"/>
        </w:rPr>
        <w:t>持续提高产品和服务质量。加强质量安全监管，推进质量分级，稳步提高消费品质量安全水平。健全质量认证体系，完善质量认证采信机制。加快建设覆盖线上线下的重要产品追溯体系，实施优质服务标识管理制度，促进品质消费。</w:t>
      </w:r>
    </w:p>
    <w:p w14:paraId="0D8E74E4" w14:textId="77777777" w:rsidR="003F5F97" w:rsidRDefault="00000000">
      <w:pPr>
        <w:ind w:firstLineChars="200" w:firstLine="600"/>
        <w:jc w:val="left"/>
        <w:rPr>
          <w:rFonts w:eastAsiaTheme="minorEastAsia"/>
          <w:sz w:val="30"/>
          <w:szCs w:val="30"/>
        </w:rPr>
      </w:pPr>
      <w:r>
        <w:rPr>
          <w:rFonts w:hint="eastAsia"/>
          <w:sz w:val="30"/>
          <w:szCs w:val="30"/>
        </w:rPr>
        <w:t>深入实施商标品牌战略。打造中国品牌，培育和发展中华老字号和特色传统文化品牌。持续办好中国</w:t>
      </w:r>
      <w:proofErr w:type="gramStart"/>
      <w:r>
        <w:rPr>
          <w:rFonts w:hint="eastAsia"/>
          <w:sz w:val="30"/>
          <w:szCs w:val="30"/>
        </w:rPr>
        <w:t>品牌日</w:t>
      </w:r>
      <w:proofErr w:type="gramEnd"/>
      <w:r>
        <w:rPr>
          <w:rFonts w:hint="eastAsia"/>
          <w:sz w:val="30"/>
          <w:szCs w:val="30"/>
        </w:rPr>
        <w:t>活动，宣传推介国货精品，增强全社会品牌发展意识，在市场公平竞争、消费者自主选择中培育更多享誉世界的中国品牌。</w:t>
      </w:r>
    </w:p>
    <w:p w14:paraId="2D27176F" w14:textId="77777777" w:rsidR="003F5F97" w:rsidRDefault="00000000">
      <w:pPr>
        <w:ind w:firstLineChars="200" w:firstLine="600"/>
        <w:jc w:val="left"/>
        <w:rPr>
          <w:rFonts w:eastAsiaTheme="minorEastAsia"/>
          <w:sz w:val="30"/>
          <w:szCs w:val="30"/>
        </w:rPr>
      </w:pPr>
      <w:r>
        <w:rPr>
          <w:rFonts w:hint="eastAsia"/>
          <w:sz w:val="30"/>
          <w:szCs w:val="30"/>
        </w:rPr>
        <w:t>七、健全现代市场和流通体系，促进产需有机衔接</w:t>
      </w:r>
    </w:p>
    <w:p w14:paraId="4FBAD78A" w14:textId="77777777" w:rsidR="003F5F97" w:rsidRDefault="00000000">
      <w:pPr>
        <w:ind w:firstLineChars="200" w:firstLine="600"/>
        <w:jc w:val="left"/>
        <w:rPr>
          <w:rFonts w:eastAsiaTheme="minorEastAsia"/>
          <w:sz w:val="30"/>
          <w:szCs w:val="30"/>
        </w:rPr>
      </w:pPr>
      <w:r>
        <w:rPr>
          <w:rFonts w:hint="eastAsia"/>
          <w:sz w:val="30"/>
          <w:szCs w:val="30"/>
        </w:rPr>
        <w:t>完善的市场体系可以推动资源配置实现效益最大化和效率最优化，高效的流通体系能够在更大范围更深程度把生产和消费有机联系起来。要推动形成全国统一大市场，加快健全市场体系基础制度，建设现代流通体系，优化生产要素配置，有效提高市场运行和流通效率，促进生产与需求紧密结合。</w:t>
      </w:r>
    </w:p>
    <w:p w14:paraId="4DEB9748" w14:textId="77777777" w:rsidR="003F5F97" w:rsidRDefault="00000000">
      <w:pPr>
        <w:ind w:firstLineChars="200" w:firstLine="600"/>
        <w:jc w:val="left"/>
        <w:rPr>
          <w:rFonts w:eastAsiaTheme="minorEastAsia"/>
          <w:sz w:val="30"/>
          <w:szCs w:val="30"/>
        </w:rPr>
      </w:pPr>
      <w:r>
        <w:rPr>
          <w:rFonts w:hint="eastAsia"/>
          <w:sz w:val="30"/>
          <w:szCs w:val="30"/>
        </w:rPr>
        <w:t>（二十一）提升要素市场化配置水平</w:t>
      </w:r>
    </w:p>
    <w:p w14:paraId="6217904D" w14:textId="77777777" w:rsidR="003F5F97" w:rsidRDefault="00000000">
      <w:pPr>
        <w:ind w:firstLineChars="200" w:firstLine="600"/>
        <w:jc w:val="left"/>
        <w:rPr>
          <w:rFonts w:eastAsiaTheme="minorEastAsia"/>
          <w:sz w:val="30"/>
          <w:szCs w:val="30"/>
        </w:rPr>
      </w:pPr>
      <w:r>
        <w:rPr>
          <w:rFonts w:hint="eastAsia"/>
          <w:sz w:val="30"/>
          <w:szCs w:val="30"/>
        </w:rPr>
        <w:t>推进劳动力要素有序流动。营造公平就业环境，保障城乡劳动者享有平等就业权利。建立协调衔接的劳动力、人才流动政策体系和交流合作机制，健全统一规范的人力资源市场体系，完善</w:t>
      </w:r>
      <w:r>
        <w:rPr>
          <w:rFonts w:hint="eastAsia"/>
          <w:sz w:val="30"/>
          <w:szCs w:val="30"/>
        </w:rPr>
        <w:lastRenderedPageBreak/>
        <w:t>全国统一的人力资源社会保障公共服务平台，推动公共资源由主要按城市行政等级配置向主要按实际服务管理人口规模配置转变。</w:t>
      </w:r>
    </w:p>
    <w:p w14:paraId="3D07D06F" w14:textId="77777777" w:rsidR="003F5F97" w:rsidRDefault="00000000">
      <w:pPr>
        <w:ind w:firstLineChars="200" w:firstLine="600"/>
        <w:jc w:val="left"/>
        <w:rPr>
          <w:rFonts w:eastAsiaTheme="minorEastAsia"/>
          <w:sz w:val="30"/>
          <w:szCs w:val="30"/>
        </w:rPr>
      </w:pPr>
      <w:r>
        <w:rPr>
          <w:rFonts w:hint="eastAsia"/>
          <w:sz w:val="30"/>
          <w:szCs w:val="30"/>
        </w:rPr>
        <w:t>推动经营性土地要素市场化配置。健全城乡统一的建设用地市场，合理调节土地增值收益。探索建立全国性的建设用地指标和补充耕地指标跨区域交易机制。加快培育发展建设用地二级市场，推进产业用地市场化配置，推动不同产业用地类型合理转换，探索增加混合产业用地供给。完善城乡基准地价、标定地价的制定与发布制度，逐步形成与市场价格挂钩动态调整机制。充分利用市场机制盘活存量土地和低效用地。</w:t>
      </w:r>
    </w:p>
    <w:p w14:paraId="6FD412D4" w14:textId="77777777" w:rsidR="003F5F97" w:rsidRDefault="00000000">
      <w:pPr>
        <w:ind w:firstLineChars="200" w:firstLine="600"/>
        <w:jc w:val="left"/>
        <w:rPr>
          <w:rFonts w:eastAsiaTheme="minorEastAsia"/>
          <w:sz w:val="30"/>
          <w:szCs w:val="30"/>
        </w:rPr>
      </w:pPr>
      <w:r>
        <w:rPr>
          <w:rFonts w:hint="eastAsia"/>
          <w:sz w:val="30"/>
          <w:szCs w:val="30"/>
        </w:rPr>
        <w:t>完善知识、技术、数据要素配置机制。深化科技成果使用权、处置权、收益权改革，完善职务科技成果转化激励机制。加大科研单位改革力度，支持科研事业单位试行更灵活的岗位、薪酬等管理制度。建立健全高等学校、科研机构、企业</w:t>
      </w:r>
      <w:proofErr w:type="gramStart"/>
      <w:r>
        <w:rPr>
          <w:rFonts w:hint="eastAsia"/>
          <w:sz w:val="30"/>
          <w:szCs w:val="30"/>
        </w:rPr>
        <w:t>间创新</w:t>
      </w:r>
      <w:proofErr w:type="gramEnd"/>
      <w:r>
        <w:rPr>
          <w:rFonts w:hint="eastAsia"/>
          <w:sz w:val="30"/>
          <w:szCs w:val="30"/>
        </w:rPr>
        <w:t>资源自由有序流动机制。建设国家知识产权和科技成果产权交易机构。完善数据要素市场化配置机制，建立数据资源产权、交易流通、跨境传输、安全保护等基础制度和标准规范。</w:t>
      </w:r>
    </w:p>
    <w:p w14:paraId="35E34D6C" w14:textId="77777777" w:rsidR="003F5F97" w:rsidRDefault="00000000">
      <w:pPr>
        <w:ind w:firstLineChars="200" w:firstLine="600"/>
        <w:jc w:val="left"/>
        <w:rPr>
          <w:rFonts w:eastAsiaTheme="minorEastAsia"/>
          <w:sz w:val="30"/>
          <w:szCs w:val="30"/>
        </w:rPr>
      </w:pPr>
      <w:r>
        <w:rPr>
          <w:rFonts w:hint="eastAsia"/>
          <w:sz w:val="30"/>
          <w:szCs w:val="30"/>
        </w:rPr>
        <w:t>（二十二）加快建立公平统一市场</w:t>
      </w:r>
    </w:p>
    <w:p w14:paraId="6C1DEC31" w14:textId="77777777" w:rsidR="003F5F97" w:rsidRDefault="00000000">
      <w:pPr>
        <w:ind w:firstLineChars="200" w:firstLine="600"/>
        <w:jc w:val="left"/>
        <w:rPr>
          <w:rFonts w:eastAsiaTheme="minorEastAsia"/>
          <w:sz w:val="30"/>
          <w:szCs w:val="30"/>
        </w:rPr>
      </w:pPr>
      <w:r>
        <w:rPr>
          <w:rFonts w:hint="eastAsia"/>
          <w:sz w:val="30"/>
          <w:szCs w:val="30"/>
        </w:rPr>
        <w:t>完善公平竞争的市场秩序。在要素获取、准入许可、经营运行、标准制定、招投标、政府采购等方面，对各类所有制企业平等对待。建立公平开放透明的竞争规则，构建覆盖事前事中事后全环节的竞争政策实施机制，健全公平竞争审查机制，强化公平</w:t>
      </w:r>
      <w:r>
        <w:rPr>
          <w:rFonts w:hint="eastAsia"/>
          <w:sz w:val="30"/>
          <w:szCs w:val="30"/>
        </w:rPr>
        <w:lastRenderedPageBreak/>
        <w:t>竞争审查刚性约束。加强和改进反垄断和反不正当竞争执法，完善法律法规。完善市场竞争状况评估制度。</w:t>
      </w:r>
    </w:p>
    <w:p w14:paraId="52FB0A56" w14:textId="77777777" w:rsidR="003F5F97" w:rsidRDefault="00000000">
      <w:pPr>
        <w:ind w:firstLineChars="200" w:firstLine="600"/>
        <w:jc w:val="left"/>
        <w:rPr>
          <w:rFonts w:eastAsiaTheme="minorEastAsia"/>
          <w:sz w:val="30"/>
          <w:szCs w:val="30"/>
        </w:rPr>
      </w:pPr>
      <w:r>
        <w:rPr>
          <w:rFonts w:hint="eastAsia"/>
          <w:sz w:val="30"/>
          <w:szCs w:val="30"/>
        </w:rPr>
        <w:t>加快构建全国统一大市场。破除地方保护和市场分割，建设高效规范、公平竞争的国内统一市场，破除妨碍生产要素市场化配置和商品服务流通的体制机制障碍，降低全社会交易成本。健全市场准入负面清单制度，全面提升市场准入效能。推进能源、铁路、电信、公用事业等行业竞争性环节市场化改革。深化公共资源交易平台整合共享。合理划分不同层级政府市场监管事权，构建跨区域市场监管机制，有效防止滥用行政权力限制竞争。</w:t>
      </w:r>
    </w:p>
    <w:p w14:paraId="03C86CDF" w14:textId="77777777" w:rsidR="003F5F97" w:rsidRDefault="00000000">
      <w:pPr>
        <w:ind w:firstLineChars="200" w:firstLine="600"/>
        <w:jc w:val="left"/>
        <w:rPr>
          <w:rFonts w:eastAsiaTheme="minorEastAsia"/>
          <w:sz w:val="30"/>
          <w:szCs w:val="30"/>
        </w:rPr>
      </w:pPr>
      <w:r>
        <w:rPr>
          <w:rFonts w:hint="eastAsia"/>
          <w:sz w:val="30"/>
          <w:szCs w:val="30"/>
        </w:rPr>
        <w:t>（二十三）建设现代流通体系</w:t>
      </w:r>
    </w:p>
    <w:p w14:paraId="3B056281" w14:textId="77777777" w:rsidR="003F5F97" w:rsidRDefault="00000000">
      <w:pPr>
        <w:ind w:firstLineChars="200" w:firstLine="600"/>
        <w:jc w:val="left"/>
        <w:rPr>
          <w:rFonts w:eastAsiaTheme="minorEastAsia"/>
          <w:sz w:val="30"/>
          <w:szCs w:val="30"/>
        </w:rPr>
      </w:pPr>
      <w:r>
        <w:rPr>
          <w:rFonts w:hint="eastAsia"/>
          <w:sz w:val="30"/>
          <w:szCs w:val="30"/>
        </w:rPr>
        <w:t>优化现代商贸体系。提升城市商业水平，发展智慧商圈，构建分层分类的城市商业格局，打造“一刻钟”便民生活圈。加强县域商业建设，建立完善农村商业体系。加快物联网、人工智能等技术与商贸流通业态融合创新，同时注意防范垄断和安全风险。</w:t>
      </w:r>
    </w:p>
    <w:p w14:paraId="58A0D13E" w14:textId="77777777" w:rsidR="003F5F97" w:rsidRDefault="00000000">
      <w:pPr>
        <w:ind w:firstLineChars="200" w:firstLine="600"/>
        <w:jc w:val="left"/>
        <w:rPr>
          <w:rFonts w:eastAsiaTheme="minorEastAsia"/>
          <w:sz w:val="30"/>
          <w:szCs w:val="30"/>
        </w:rPr>
      </w:pPr>
      <w:r>
        <w:rPr>
          <w:rFonts w:hint="eastAsia"/>
          <w:sz w:val="30"/>
          <w:szCs w:val="30"/>
        </w:rPr>
        <w:t>发展现代物流体系。</w:t>
      </w:r>
      <w:proofErr w:type="gramStart"/>
      <w:r>
        <w:rPr>
          <w:rFonts w:hint="eastAsia"/>
          <w:sz w:val="30"/>
          <w:szCs w:val="30"/>
        </w:rPr>
        <w:t>围绕做优服务</w:t>
      </w:r>
      <w:proofErr w:type="gramEnd"/>
      <w:r>
        <w:rPr>
          <w:rFonts w:hint="eastAsia"/>
          <w:sz w:val="30"/>
          <w:szCs w:val="30"/>
        </w:rPr>
        <w:t>链条、做强服务功能、做好供应链协同，完善集约高效的现代物流服务体系。促进现代物流业与农业、制造、商贸等融合发展。积极发展公铁水联运、江海联运和铁路快运。探索建立城市群物流统筹协调机制，培育有机协同的物流集群。优化国际海运航线，强化国际航空货运网络，巩固提升中欧</w:t>
      </w:r>
      <w:proofErr w:type="gramStart"/>
      <w:r>
        <w:rPr>
          <w:rFonts w:hint="eastAsia"/>
          <w:sz w:val="30"/>
          <w:szCs w:val="30"/>
        </w:rPr>
        <w:t>班列等国际</w:t>
      </w:r>
      <w:proofErr w:type="gramEnd"/>
      <w:r>
        <w:rPr>
          <w:rFonts w:hint="eastAsia"/>
          <w:sz w:val="30"/>
          <w:szCs w:val="30"/>
        </w:rPr>
        <w:t>铁路运输组织，推动跨境公路运输发展，支持优化海外</w:t>
      </w:r>
      <w:proofErr w:type="gramStart"/>
      <w:r>
        <w:rPr>
          <w:rFonts w:hint="eastAsia"/>
          <w:sz w:val="30"/>
          <w:szCs w:val="30"/>
        </w:rPr>
        <w:t>仓全球</w:t>
      </w:r>
      <w:proofErr w:type="gramEnd"/>
      <w:r>
        <w:rPr>
          <w:rFonts w:hint="eastAsia"/>
          <w:sz w:val="30"/>
          <w:szCs w:val="30"/>
        </w:rPr>
        <w:t>布局，加快构建高效畅通的多元化国际物流干线通道，形成内外联通、安全高效的物流网络。</w:t>
      </w:r>
    </w:p>
    <w:p w14:paraId="2C882452" w14:textId="77777777" w:rsidR="003F5F97" w:rsidRDefault="00000000">
      <w:pPr>
        <w:ind w:firstLineChars="200" w:firstLine="600"/>
        <w:jc w:val="left"/>
        <w:rPr>
          <w:rFonts w:eastAsiaTheme="minorEastAsia"/>
          <w:sz w:val="30"/>
          <w:szCs w:val="30"/>
        </w:rPr>
      </w:pPr>
      <w:r>
        <w:rPr>
          <w:rFonts w:hint="eastAsia"/>
          <w:sz w:val="30"/>
          <w:szCs w:val="30"/>
        </w:rPr>
        <w:lastRenderedPageBreak/>
        <w:t>八、深化改革开放，增强内需发展动力</w:t>
      </w:r>
    </w:p>
    <w:p w14:paraId="7DE62DBC" w14:textId="77777777" w:rsidR="003F5F97" w:rsidRDefault="00000000">
      <w:pPr>
        <w:ind w:firstLineChars="200" w:firstLine="600"/>
        <w:jc w:val="left"/>
        <w:rPr>
          <w:rFonts w:eastAsiaTheme="minorEastAsia"/>
          <w:sz w:val="30"/>
          <w:szCs w:val="30"/>
        </w:rPr>
      </w:pPr>
      <w:r>
        <w:rPr>
          <w:rFonts w:hint="eastAsia"/>
          <w:sz w:val="30"/>
          <w:szCs w:val="30"/>
        </w:rPr>
        <w:t>用足用好改革这个关键一招，实行更高水平开放，能够为深挖国内需求潜力、拓展扩大最终需求提供强大动力。要聚焦重点领域重点问题，加强改革开放举措的系统集成、协同高效，完善促进消费、扩大投资的制度安排，为国内市场发展提供源源不断的动力和活力。</w:t>
      </w:r>
    </w:p>
    <w:p w14:paraId="02757E3C" w14:textId="77777777" w:rsidR="003F5F97" w:rsidRDefault="00000000">
      <w:pPr>
        <w:ind w:firstLineChars="200" w:firstLine="600"/>
        <w:jc w:val="left"/>
        <w:rPr>
          <w:rFonts w:eastAsiaTheme="minorEastAsia"/>
          <w:sz w:val="30"/>
          <w:szCs w:val="30"/>
        </w:rPr>
      </w:pPr>
      <w:r>
        <w:rPr>
          <w:rFonts w:hint="eastAsia"/>
          <w:sz w:val="30"/>
          <w:szCs w:val="30"/>
        </w:rPr>
        <w:t>（二十四）完善促进消费的体制机制</w:t>
      </w:r>
    </w:p>
    <w:p w14:paraId="70787DDD" w14:textId="77777777" w:rsidR="003F5F97" w:rsidRDefault="00000000">
      <w:pPr>
        <w:ind w:firstLineChars="200" w:firstLine="600"/>
        <w:jc w:val="left"/>
        <w:rPr>
          <w:rFonts w:eastAsiaTheme="minorEastAsia"/>
          <w:sz w:val="30"/>
          <w:szCs w:val="30"/>
        </w:rPr>
      </w:pPr>
      <w:r>
        <w:rPr>
          <w:rFonts w:hint="eastAsia"/>
          <w:sz w:val="30"/>
          <w:szCs w:val="30"/>
        </w:rPr>
        <w:t>持续释放服务消费潜力。实施宽进严管，对可以依靠市场充分竞争提升供给质量的服务消费领域取消准入限制。对于电力、油气等行业中具有自然垄断属性的服务领域，根据不同行业特点</w:t>
      </w:r>
      <w:proofErr w:type="gramStart"/>
      <w:r>
        <w:rPr>
          <w:rFonts w:hint="eastAsia"/>
          <w:sz w:val="30"/>
          <w:szCs w:val="30"/>
        </w:rPr>
        <w:t>实行网运</w:t>
      </w:r>
      <w:proofErr w:type="gramEnd"/>
      <w:r>
        <w:rPr>
          <w:rFonts w:hint="eastAsia"/>
          <w:sz w:val="30"/>
          <w:szCs w:val="30"/>
        </w:rPr>
        <w:t>分开，放宽上下游竞争相对充分服务业准入门槛。按照政事分开、事企分开、管办分离的要求，持续推进教育、科技、文化、卫生、体育等领域事业单位改革。</w:t>
      </w:r>
    </w:p>
    <w:p w14:paraId="59817EB9" w14:textId="77777777" w:rsidR="003F5F97" w:rsidRDefault="00000000">
      <w:pPr>
        <w:ind w:firstLineChars="200" w:firstLine="600"/>
        <w:jc w:val="left"/>
        <w:rPr>
          <w:rFonts w:eastAsiaTheme="minorEastAsia"/>
          <w:sz w:val="30"/>
          <w:szCs w:val="30"/>
        </w:rPr>
      </w:pPr>
      <w:r>
        <w:rPr>
          <w:rFonts w:hint="eastAsia"/>
          <w:sz w:val="30"/>
          <w:szCs w:val="30"/>
        </w:rPr>
        <w:t>加强消费者权益保护。建立健全适应消费新</w:t>
      </w:r>
      <w:proofErr w:type="gramStart"/>
      <w:r>
        <w:rPr>
          <w:rFonts w:hint="eastAsia"/>
          <w:sz w:val="30"/>
          <w:szCs w:val="30"/>
        </w:rPr>
        <w:t>业态新模式</w:t>
      </w:r>
      <w:proofErr w:type="gramEnd"/>
      <w:r>
        <w:rPr>
          <w:rFonts w:hint="eastAsia"/>
          <w:sz w:val="30"/>
          <w:szCs w:val="30"/>
        </w:rPr>
        <w:t>发展特点的新型监管机制。建立假冒伪劣产品惩罚性巨额赔偿制度。健全缺陷产品召回、产品伤害监测、产品质量担保等制度，完善多元化消费维</w:t>
      </w:r>
      <w:proofErr w:type="gramStart"/>
      <w:r>
        <w:rPr>
          <w:rFonts w:hint="eastAsia"/>
          <w:sz w:val="30"/>
          <w:szCs w:val="30"/>
        </w:rPr>
        <w:t>权机制</w:t>
      </w:r>
      <w:proofErr w:type="gramEnd"/>
      <w:r>
        <w:rPr>
          <w:rFonts w:hint="eastAsia"/>
          <w:sz w:val="30"/>
          <w:szCs w:val="30"/>
        </w:rPr>
        <w:t>和纠纷解决机制。严格食品药品监管，确保安全。强化重点商品和服务领域价格监管，维护市场价格秩序。</w:t>
      </w:r>
    </w:p>
    <w:p w14:paraId="57E75E4A" w14:textId="77777777" w:rsidR="003F5F97" w:rsidRDefault="00000000">
      <w:pPr>
        <w:ind w:firstLineChars="200" w:firstLine="600"/>
        <w:jc w:val="left"/>
        <w:rPr>
          <w:rFonts w:eastAsiaTheme="minorEastAsia"/>
          <w:sz w:val="30"/>
          <w:szCs w:val="30"/>
        </w:rPr>
      </w:pPr>
      <w:r>
        <w:rPr>
          <w:rFonts w:hint="eastAsia"/>
          <w:sz w:val="30"/>
          <w:szCs w:val="30"/>
        </w:rPr>
        <w:t>（二十五）推进投融资体制改革</w:t>
      </w:r>
    </w:p>
    <w:p w14:paraId="621929FA" w14:textId="77777777" w:rsidR="003F5F97" w:rsidRDefault="00000000">
      <w:pPr>
        <w:ind w:firstLineChars="200" w:firstLine="600"/>
        <w:jc w:val="left"/>
        <w:rPr>
          <w:rFonts w:eastAsiaTheme="minorEastAsia"/>
          <w:sz w:val="30"/>
          <w:szCs w:val="30"/>
        </w:rPr>
      </w:pPr>
      <w:r>
        <w:rPr>
          <w:rFonts w:hint="eastAsia"/>
          <w:sz w:val="30"/>
          <w:szCs w:val="30"/>
        </w:rPr>
        <w:t>加大对民间投资支持和引导力度。坚持毫不动摇巩固和发展公有制经济，毫不动摇鼓励、支持、引导非公有制经济发展，促进公有制经济和非公有制经济优势互补、共同发展。完善支持政</w:t>
      </w:r>
      <w:r>
        <w:rPr>
          <w:rFonts w:hint="eastAsia"/>
          <w:sz w:val="30"/>
          <w:szCs w:val="30"/>
        </w:rPr>
        <w:lastRenderedPageBreak/>
        <w:t>策，发挥政府资金引导带动作用，引导民间资本参与新型基础设施、新型城镇化、交通水利等重大工程和补短板领域建设。鼓励民营企业增加研发投入，推动设备更新和技术改造，扩大战略性新兴产业投资，提高自主创新能力，掌握拥有自主知识产权的核心技术。鼓励和引导非国有资本投资主体通过参股控股、资产收购等多种形式，参与国有企业改制重组。切实保护民营企业的合法权益，培育和维护公平竞争的投资环境。加强对民营企业的服务、指导和规范管理。</w:t>
      </w:r>
    </w:p>
    <w:p w14:paraId="7A6C47A4" w14:textId="77777777" w:rsidR="003F5F97" w:rsidRDefault="00000000">
      <w:pPr>
        <w:ind w:firstLineChars="200" w:firstLine="600"/>
        <w:jc w:val="left"/>
        <w:rPr>
          <w:rFonts w:eastAsiaTheme="minorEastAsia"/>
          <w:sz w:val="30"/>
          <w:szCs w:val="30"/>
        </w:rPr>
      </w:pPr>
      <w:r>
        <w:rPr>
          <w:rFonts w:hint="eastAsia"/>
          <w:sz w:val="30"/>
          <w:szCs w:val="30"/>
        </w:rPr>
        <w:t>持续完善投资管理模式。协同推进投资审批制度改革，规范有序推广企业投资项目承诺制、区域评估、标准地改革等投资审批创新经验，加强投资决策与规划和用地、环评的制度衔接。完善投资法规制度和执法机制，健全地方配套制度体系。加强投资项目特别是备案类项目的事中事后监管。建立健全投资审批数据部门间共享机制，推动投资审批权责“一张清单”、审批数据“一体共享”、审批事项“一网通办”。</w:t>
      </w:r>
    </w:p>
    <w:p w14:paraId="27054708" w14:textId="77777777" w:rsidR="003F5F97" w:rsidRDefault="00000000">
      <w:pPr>
        <w:ind w:firstLineChars="200" w:firstLine="600"/>
        <w:jc w:val="left"/>
        <w:rPr>
          <w:rFonts w:eastAsiaTheme="minorEastAsia"/>
          <w:sz w:val="30"/>
          <w:szCs w:val="30"/>
        </w:rPr>
      </w:pPr>
      <w:r>
        <w:rPr>
          <w:rFonts w:hint="eastAsia"/>
          <w:sz w:val="30"/>
          <w:szCs w:val="30"/>
        </w:rPr>
        <w:t>健全投资项目融资机制。持续优化政府投资结构，加大对补短板领域支持力度。有序推动基础设施领域不动产投资信托基金健康发展。通过多种方式盘活存量资产，形成存量资产和新增投资的良性循环。规范有序推进政府和社会资本合作。鼓励金融机构依法合</w:t>
      </w:r>
      <w:proofErr w:type="gramStart"/>
      <w:r>
        <w:rPr>
          <w:rFonts w:hint="eastAsia"/>
          <w:sz w:val="30"/>
          <w:szCs w:val="30"/>
        </w:rPr>
        <w:t>规</w:t>
      </w:r>
      <w:proofErr w:type="gramEnd"/>
      <w:r>
        <w:rPr>
          <w:rFonts w:hint="eastAsia"/>
          <w:sz w:val="30"/>
          <w:szCs w:val="30"/>
        </w:rPr>
        <w:t>提供更多直达实体经济的金融产品和服务。健全政府性融资担保体系。增强资本市场对实体经济的融资功能，提高直接融资特别是股权融资比重。扩大债券融资规模，推进债券市场</w:t>
      </w:r>
      <w:r>
        <w:rPr>
          <w:rFonts w:hint="eastAsia"/>
          <w:sz w:val="30"/>
          <w:szCs w:val="30"/>
        </w:rPr>
        <w:lastRenderedPageBreak/>
        <w:t>互联互通。</w:t>
      </w:r>
    </w:p>
    <w:p w14:paraId="1082B97A" w14:textId="77777777" w:rsidR="003F5F97" w:rsidRDefault="00000000">
      <w:pPr>
        <w:ind w:firstLineChars="200" w:firstLine="600"/>
        <w:jc w:val="left"/>
        <w:rPr>
          <w:rFonts w:eastAsiaTheme="minorEastAsia"/>
          <w:sz w:val="30"/>
          <w:szCs w:val="30"/>
        </w:rPr>
      </w:pPr>
      <w:r>
        <w:rPr>
          <w:rFonts w:hint="eastAsia"/>
          <w:sz w:val="30"/>
          <w:szCs w:val="30"/>
        </w:rPr>
        <w:t>（二十六）优化营商环境激发市场活力</w:t>
      </w:r>
    </w:p>
    <w:p w14:paraId="0212404F" w14:textId="77777777" w:rsidR="003F5F97" w:rsidRDefault="00000000">
      <w:pPr>
        <w:ind w:firstLineChars="200" w:firstLine="600"/>
        <w:jc w:val="left"/>
        <w:rPr>
          <w:rFonts w:eastAsiaTheme="minorEastAsia"/>
          <w:sz w:val="30"/>
          <w:szCs w:val="30"/>
        </w:rPr>
      </w:pPr>
      <w:r>
        <w:rPr>
          <w:rFonts w:hint="eastAsia"/>
          <w:sz w:val="30"/>
          <w:szCs w:val="30"/>
        </w:rPr>
        <w:t>深化“放管服”改革。持续深化行政审批制度改革和商事制度改革，减少和优化涉企经营许可事项，改革完善生产许可制度，简化工业产品生产许可证审批程序。加快建立全方位、多层次、立体化监管体系，实现事前事中事后全链条</w:t>
      </w:r>
      <w:proofErr w:type="gramStart"/>
      <w:r>
        <w:rPr>
          <w:rFonts w:hint="eastAsia"/>
          <w:sz w:val="30"/>
          <w:szCs w:val="30"/>
        </w:rPr>
        <w:t>全领域</w:t>
      </w:r>
      <w:proofErr w:type="gramEnd"/>
      <w:r>
        <w:rPr>
          <w:rFonts w:hint="eastAsia"/>
          <w:sz w:val="30"/>
          <w:szCs w:val="30"/>
        </w:rPr>
        <w:t>监管。提升企业开办标准化、规范化、便利化水平，简化普通注销程序，建立健全企业破产和自然人破产制度。加快推动市场数据跨部门共享，规范商业机构数据公开使用与发布。完善营商环境评价体系。</w:t>
      </w:r>
    </w:p>
    <w:p w14:paraId="1139D904" w14:textId="77777777" w:rsidR="003F5F97" w:rsidRDefault="00000000">
      <w:pPr>
        <w:ind w:firstLineChars="200" w:firstLine="600"/>
        <w:jc w:val="left"/>
        <w:rPr>
          <w:rFonts w:eastAsiaTheme="minorEastAsia"/>
          <w:sz w:val="30"/>
          <w:szCs w:val="30"/>
        </w:rPr>
      </w:pPr>
      <w:r>
        <w:rPr>
          <w:rFonts w:hint="eastAsia"/>
          <w:sz w:val="30"/>
          <w:szCs w:val="30"/>
        </w:rPr>
        <w:t>健全现代产权制度。加强产权保护和激励，完善以公平为原则的产权保护制度，完善产权执法司法保护制度，全面依法平等保护各类产权。强化知识产权全链条保护，提升知识产权审查能力，建立健全知识产权侵权快速反应、惩罚性赔偿等机制。加强数据、知识、环境等领域产权制度建设，完善自然资源资产产权制度和法律法规。完善国有产权交易制度，完善农村集体产权确权和保护制度。</w:t>
      </w:r>
    </w:p>
    <w:p w14:paraId="7347186A" w14:textId="77777777" w:rsidR="003F5F97" w:rsidRDefault="00000000">
      <w:pPr>
        <w:ind w:firstLineChars="200" w:firstLine="600"/>
        <w:jc w:val="left"/>
        <w:rPr>
          <w:rFonts w:eastAsiaTheme="minorEastAsia"/>
          <w:sz w:val="30"/>
          <w:szCs w:val="30"/>
        </w:rPr>
      </w:pPr>
      <w:r>
        <w:rPr>
          <w:rFonts w:hint="eastAsia"/>
          <w:sz w:val="30"/>
          <w:szCs w:val="30"/>
        </w:rPr>
        <w:t>完善社会信用体系。推进信用法治建设，健全社会信用法律法规和政策体系。依法依规加强信用信息归集、共享、公开、应用，建立公共信用信息同金融信息共享整合机制。建立健全以信用为基础的新型监管机制，加强企业信用状况综合评价，推广信用承诺和告知承诺制，依法依规健全守信激励和失信惩戒机制。强化消费信用体系建设。加强诚信文化建设和宣传教育，营造公</w:t>
      </w:r>
      <w:r>
        <w:rPr>
          <w:rFonts w:hint="eastAsia"/>
          <w:sz w:val="30"/>
          <w:szCs w:val="30"/>
        </w:rPr>
        <w:lastRenderedPageBreak/>
        <w:t>平诚信的市场环境和社会环境。</w:t>
      </w:r>
    </w:p>
    <w:p w14:paraId="09808090" w14:textId="77777777" w:rsidR="003F5F97" w:rsidRDefault="00000000">
      <w:pPr>
        <w:ind w:firstLineChars="200" w:firstLine="600"/>
        <w:jc w:val="left"/>
        <w:rPr>
          <w:rFonts w:eastAsiaTheme="minorEastAsia"/>
          <w:sz w:val="30"/>
          <w:szCs w:val="30"/>
        </w:rPr>
      </w:pPr>
      <w:r>
        <w:rPr>
          <w:rFonts w:hint="eastAsia"/>
          <w:sz w:val="30"/>
          <w:szCs w:val="30"/>
        </w:rPr>
        <w:t>（二十七）发挥对外开放对内需的促进作用</w:t>
      </w:r>
    </w:p>
    <w:p w14:paraId="21D0D713" w14:textId="77777777" w:rsidR="003F5F97" w:rsidRDefault="00000000">
      <w:pPr>
        <w:ind w:firstLineChars="200" w:firstLine="600"/>
        <w:jc w:val="left"/>
        <w:rPr>
          <w:rFonts w:eastAsiaTheme="minorEastAsia"/>
          <w:sz w:val="30"/>
          <w:szCs w:val="30"/>
        </w:rPr>
      </w:pPr>
      <w:r>
        <w:rPr>
          <w:rFonts w:hint="eastAsia"/>
          <w:sz w:val="30"/>
          <w:szCs w:val="30"/>
        </w:rPr>
        <w:t>高质量共建“一带一路”。推进基础设施互联互通，拓展第三方市场合作。构筑互利共赢的产业</w:t>
      </w:r>
      <w:proofErr w:type="gramStart"/>
      <w:r>
        <w:rPr>
          <w:rFonts w:hint="eastAsia"/>
          <w:sz w:val="30"/>
          <w:szCs w:val="30"/>
        </w:rPr>
        <w:t>链供应链合作</w:t>
      </w:r>
      <w:proofErr w:type="gramEnd"/>
      <w:r>
        <w:rPr>
          <w:rFonts w:hint="eastAsia"/>
          <w:sz w:val="30"/>
          <w:szCs w:val="30"/>
        </w:rPr>
        <w:t>体系，深化国际产能合作，扩大双向贸易和投资，健全多元化投融资体系。加快推进西部陆海新通道高质量发展，提高中欧班列开行质量，推动国际陆</w:t>
      </w:r>
      <w:proofErr w:type="gramStart"/>
      <w:r>
        <w:rPr>
          <w:rFonts w:hint="eastAsia"/>
          <w:sz w:val="30"/>
          <w:szCs w:val="30"/>
        </w:rPr>
        <w:t>运贸易</w:t>
      </w:r>
      <w:proofErr w:type="gramEnd"/>
      <w:r>
        <w:rPr>
          <w:rFonts w:hint="eastAsia"/>
          <w:sz w:val="30"/>
          <w:szCs w:val="30"/>
        </w:rPr>
        <w:t>规则制定。支持各地深化与共建“一带一路”国家交流合作。</w:t>
      </w:r>
    </w:p>
    <w:p w14:paraId="63D7C7AC" w14:textId="77777777" w:rsidR="003F5F97" w:rsidRDefault="00000000">
      <w:pPr>
        <w:ind w:firstLineChars="200" w:firstLine="600"/>
        <w:jc w:val="left"/>
        <w:rPr>
          <w:rFonts w:eastAsiaTheme="minorEastAsia"/>
          <w:sz w:val="30"/>
          <w:szCs w:val="30"/>
        </w:rPr>
      </w:pPr>
      <w:r>
        <w:rPr>
          <w:rFonts w:hint="eastAsia"/>
          <w:sz w:val="30"/>
          <w:szCs w:val="30"/>
        </w:rPr>
        <w:t>持续提升利用外资水平。推进投资便利化，稳步推动规则、规制、管理、标准等制度型开放，健全外商投资准入前国民待遇加负面清单管理制度，全面深入落实准入后国民待遇，促进内外资企业公平竞争。鼓励外商投资中高端制造、高新技术和现代服务产业。加强外商投资合法权益保护。促进引资与引智更好结合，鼓励外资企业进一步融入我国创新体系。</w:t>
      </w:r>
    </w:p>
    <w:p w14:paraId="6813EE2B" w14:textId="77777777" w:rsidR="003F5F97" w:rsidRDefault="00000000">
      <w:pPr>
        <w:ind w:firstLineChars="200" w:firstLine="600"/>
        <w:jc w:val="left"/>
        <w:rPr>
          <w:rFonts w:eastAsiaTheme="minorEastAsia"/>
          <w:sz w:val="30"/>
          <w:szCs w:val="30"/>
        </w:rPr>
      </w:pPr>
      <w:r>
        <w:rPr>
          <w:rFonts w:hint="eastAsia"/>
          <w:sz w:val="30"/>
          <w:szCs w:val="30"/>
        </w:rPr>
        <w:t>打造高水平、宽尺度、深层次的开放高地。坚持推动更高水平开放与区域协调发展相结合，协同推动扩大内陆开放、加快沿边开放、提升沿海开放层次。建设好各类开发开放平台和载体，加快培育更多内陆开放高地。发挥京津冀、长三角、粤港澳大湾区等地区先导示范效应，打造面向东北亚、中亚、南亚、东南亚的沿边开放合作门户。赋予自由贸易试验区更大改革自主权。稳步推进海南自由贸易港建设，建立中国特色自由贸易港政策和制度体系。</w:t>
      </w:r>
    </w:p>
    <w:p w14:paraId="5FA4DBE8" w14:textId="77777777" w:rsidR="003F5F97" w:rsidRDefault="00000000">
      <w:pPr>
        <w:ind w:firstLineChars="200" w:firstLine="600"/>
        <w:jc w:val="left"/>
        <w:rPr>
          <w:rFonts w:eastAsiaTheme="minorEastAsia"/>
          <w:sz w:val="30"/>
          <w:szCs w:val="30"/>
        </w:rPr>
      </w:pPr>
      <w:r>
        <w:rPr>
          <w:rFonts w:hint="eastAsia"/>
          <w:sz w:val="30"/>
          <w:szCs w:val="30"/>
        </w:rPr>
        <w:lastRenderedPageBreak/>
        <w:t>稳步推进多双边贸易合作。实施自由贸易区提升战略，做好区域全面经济伙伴关系协定生效后实施工作，推动商签更多高标准自由贸易协定和区域贸易协定。促进我与周边国家地区农业、能源、服务贸易、高新技术等领域合作不断深化。推进国际陆海贸易新通道建设。优化促进外贸发展的财税政策，不断完善与我国经济发展水平相适应的关税制度。</w:t>
      </w:r>
    </w:p>
    <w:p w14:paraId="52954FE3" w14:textId="77777777" w:rsidR="003F5F97" w:rsidRDefault="00000000">
      <w:pPr>
        <w:ind w:firstLineChars="200" w:firstLine="600"/>
        <w:jc w:val="left"/>
        <w:rPr>
          <w:rFonts w:eastAsiaTheme="minorEastAsia"/>
          <w:sz w:val="30"/>
          <w:szCs w:val="30"/>
        </w:rPr>
      </w:pPr>
      <w:r>
        <w:rPr>
          <w:rFonts w:hint="eastAsia"/>
          <w:sz w:val="30"/>
          <w:szCs w:val="30"/>
        </w:rPr>
        <w:t>扩大重要商品和服务进口。拓宽优质消费品、先进技术、重要设备、关键零部件和重要能源资源进口渠道。支持国内产业转型升级需要的技术、设备及零部件进口，鼓励研发设计、节能环保、环境服务等生产性服务进口。扩大与人民生活密切相关的优质商品、医药产品和康复服务等进口。支持边境贸易创新发展。持续办好中国国际进口博览会、中国进出口商品交易会、中国国际服务贸易交易会、中国国际消费品博览会等，推动进口规模扩大、结构优化、来源多元化。</w:t>
      </w:r>
    </w:p>
    <w:p w14:paraId="452693ED" w14:textId="77777777" w:rsidR="003F5F97" w:rsidRDefault="00000000">
      <w:pPr>
        <w:ind w:firstLineChars="200" w:firstLine="600"/>
        <w:jc w:val="left"/>
        <w:rPr>
          <w:rFonts w:eastAsiaTheme="minorEastAsia"/>
          <w:sz w:val="30"/>
          <w:szCs w:val="30"/>
        </w:rPr>
      </w:pPr>
      <w:r>
        <w:rPr>
          <w:rFonts w:hint="eastAsia"/>
          <w:sz w:val="30"/>
          <w:szCs w:val="30"/>
        </w:rPr>
        <w:t>九、扎实推动共同富裕，厚植内需发展潜力</w:t>
      </w:r>
    </w:p>
    <w:p w14:paraId="7405CA7B" w14:textId="77777777" w:rsidR="003F5F97" w:rsidRDefault="00000000">
      <w:pPr>
        <w:ind w:firstLineChars="200" w:firstLine="600"/>
        <w:jc w:val="left"/>
        <w:rPr>
          <w:rFonts w:eastAsiaTheme="minorEastAsia"/>
          <w:sz w:val="30"/>
          <w:szCs w:val="30"/>
        </w:rPr>
      </w:pPr>
      <w:r>
        <w:rPr>
          <w:rFonts w:hint="eastAsia"/>
          <w:sz w:val="30"/>
          <w:szCs w:val="30"/>
        </w:rPr>
        <w:t>共同富裕是社会主义的本质要求，是中国式现代化的重要特征。坚持以人民为中心的发展思想，在高质量发展中促进共同富裕，正确处理效率和公平的关系，完善收入分配格局，构建初次分配、再分配、三次分配协调配套的基础性制度安排，加大税收、社保、转移支付等调节力度并提高精准性，扩大中等收入群体比重，增加低收入群体收入，合理调节高收入，取缔非法收入，促进社会公平正义，促进人的全面发展，增强内需发展后劲。</w:t>
      </w:r>
    </w:p>
    <w:p w14:paraId="1D35B34B" w14:textId="77777777" w:rsidR="003F5F97" w:rsidRDefault="00000000">
      <w:pPr>
        <w:ind w:firstLineChars="200" w:firstLine="600"/>
        <w:jc w:val="left"/>
        <w:rPr>
          <w:rFonts w:eastAsiaTheme="minorEastAsia"/>
          <w:sz w:val="30"/>
          <w:szCs w:val="30"/>
        </w:rPr>
      </w:pPr>
      <w:r>
        <w:rPr>
          <w:rFonts w:hint="eastAsia"/>
          <w:sz w:val="30"/>
          <w:szCs w:val="30"/>
        </w:rPr>
        <w:lastRenderedPageBreak/>
        <w:t>（二十八）持续优化初次分配格局</w:t>
      </w:r>
    </w:p>
    <w:p w14:paraId="302BF939" w14:textId="77777777" w:rsidR="003F5F97" w:rsidRDefault="00000000">
      <w:pPr>
        <w:ind w:firstLineChars="200" w:firstLine="600"/>
        <w:jc w:val="left"/>
        <w:rPr>
          <w:rFonts w:eastAsiaTheme="minorEastAsia"/>
          <w:sz w:val="30"/>
          <w:szCs w:val="30"/>
        </w:rPr>
      </w:pPr>
      <w:r>
        <w:rPr>
          <w:rFonts w:hint="eastAsia"/>
          <w:sz w:val="30"/>
          <w:szCs w:val="30"/>
        </w:rPr>
        <w:t>提升就业质量增加劳动者劳动收入。持续实施就业优先战略，坚持经济发展就业导向，扩大就业容量，提升就业质量，促进充分就业。注重缓解结构性就业矛盾，加快提升劳动者技能素质，发展现代职业教育，健全终身职业技能培训制度。加快新一代信息技术与制造业深度融合，挖掘新产业新</w:t>
      </w:r>
      <w:proofErr w:type="gramStart"/>
      <w:r>
        <w:rPr>
          <w:rFonts w:hint="eastAsia"/>
          <w:sz w:val="30"/>
          <w:szCs w:val="30"/>
        </w:rPr>
        <w:t>业态新模式</w:t>
      </w:r>
      <w:proofErr w:type="gramEnd"/>
      <w:r>
        <w:rPr>
          <w:rFonts w:hint="eastAsia"/>
          <w:sz w:val="30"/>
          <w:szCs w:val="30"/>
        </w:rPr>
        <w:t>带动就业潜力，创造更多更高质量更高收入的就业岗位。健全就业公共服务体系、劳动关系协调机制，完善重点群体就业支持体系。加快乡村产业振兴，积极促进农民工就业，增加农村居民工资性收入。</w:t>
      </w:r>
    </w:p>
    <w:p w14:paraId="2204C34B" w14:textId="77777777" w:rsidR="003F5F97" w:rsidRDefault="00000000">
      <w:pPr>
        <w:ind w:firstLineChars="200" w:firstLine="600"/>
        <w:jc w:val="left"/>
        <w:rPr>
          <w:rFonts w:eastAsiaTheme="minorEastAsia"/>
          <w:sz w:val="30"/>
          <w:szCs w:val="30"/>
        </w:rPr>
      </w:pPr>
      <w:r>
        <w:rPr>
          <w:rFonts w:hint="eastAsia"/>
          <w:sz w:val="30"/>
          <w:szCs w:val="30"/>
        </w:rPr>
        <w:t>提高劳动报酬在初次分配中的比重。坚持居民收入增长和经济增长基本同步、劳动报酬提高和劳动生产率提高基本同步，增加劳动者特别是一线劳动者劳动报酬。完善企业薪酬调查和信息发布制度，健全劳动者工资决定、合理增长和支付保障机制，健全最低工资标准调整机制。改革完善事业单位工资、国有企业工资分配等制度。积极推行工资集体协商制度。实施渐进式延迟法定退休年龄。</w:t>
      </w:r>
    </w:p>
    <w:p w14:paraId="2BC4E7F1" w14:textId="77777777" w:rsidR="003F5F97" w:rsidRDefault="00000000">
      <w:pPr>
        <w:ind w:firstLineChars="200" w:firstLine="600"/>
        <w:jc w:val="left"/>
        <w:rPr>
          <w:rFonts w:eastAsiaTheme="minorEastAsia"/>
          <w:sz w:val="30"/>
          <w:szCs w:val="30"/>
        </w:rPr>
      </w:pPr>
      <w:r>
        <w:rPr>
          <w:rFonts w:hint="eastAsia"/>
          <w:sz w:val="30"/>
          <w:szCs w:val="30"/>
        </w:rPr>
        <w:t>健全各类生产要素参与分配机制。构建知识、技术、数据等创新要素参与收益分配机制，强化以增加知识价值为导向的分配政策，发挥工资激励保障作用。完善国有企业科技人才薪酬激励政策。完善股份制企业特别是上市公司分红制度。完善股票发行、信息披露等制度，推动资本市场规范健康发展。创新更多适应家庭财富管理需求的金融产品，增加居民投资收益。探索通过土地、</w:t>
      </w:r>
      <w:r>
        <w:rPr>
          <w:rFonts w:hint="eastAsia"/>
          <w:sz w:val="30"/>
          <w:szCs w:val="30"/>
        </w:rPr>
        <w:lastRenderedPageBreak/>
        <w:t>资本等要素使用权、收益权增加中低收入群体要素收入。</w:t>
      </w:r>
    </w:p>
    <w:p w14:paraId="3C02DE45" w14:textId="77777777" w:rsidR="003F5F97" w:rsidRDefault="00000000">
      <w:pPr>
        <w:ind w:firstLineChars="200" w:firstLine="600"/>
        <w:jc w:val="left"/>
        <w:rPr>
          <w:rFonts w:eastAsiaTheme="minorEastAsia"/>
          <w:sz w:val="30"/>
          <w:szCs w:val="30"/>
        </w:rPr>
      </w:pPr>
      <w:r>
        <w:rPr>
          <w:rFonts w:hint="eastAsia"/>
          <w:sz w:val="30"/>
          <w:szCs w:val="30"/>
        </w:rPr>
        <w:t>扩大中等收入群体规模。通过开展示范区建设等，探索扎实推动共同富裕的有效路径。推进高等学校和职业院校毕业生、技能型劳动者、农民工等群体稳定增收，培育高素质农民，完善小微创业者扶持政策，支持个体工商户、灵活就业人员等群体勤劳致富，使更多普通劳动者通过自身努力进入中等收入群体。健全公共服务体系，合理减轻中等收入群体负担。</w:t>
      </w:r>
    </w:p>
    <w:p w14:paraId="5515CF1D" w14:textId="77777777" w:rsidR="003F5F97" w:rsidRDefault="00000000">
      <w:pPr>
        <w:ind w:firstLineChars="200" w:firstLine="600"/>
        <w:jc w:val="left"/>
        <w:rPr>
          <w:rFonts w:eastAsiaTheme="minorEastAsia"/>
          <w:sz w:val="30"/>
          <w:szCs w:val="30"/>
        </w:rPr>
      </w:pPr>
      <w:r>
        <w:rPr>
          <w:rFonts w:hint="eastAsia"/>
          <w:sz w:val="30"/>
          <w:szCs w:val="30"/>
        </w:rPr>
        <w:t>（二十九）逐步健全再分配机制</w:t>
      </w:r>
    </w:p>
    <w:p w14:paraId="40B76167" w14:textId="77777777" w:rsidR="003F5F97" w:rsidRDefault="00000000">
      <w:pPr>
        <w:ind w:firstLineChars="200" w:firstLine="600"/>
        <w:jc w:val="left"/>
        <w:rPr>
          <w:rFonts w:eastAsiaTheme="minorEastAsia"/>
          <w:sz w:val="30"/>
          <w:szCs w:val="30"/>
        </w:rPr>
      </w:pPr>
      <w:r>
        <w:rPr>
          <w:rFonts w:hint="eastAsia"/>
          <w:sz w:val="30"/>
          <w:szCs w:val="30"/>
        </w:rPr>
        <w:t>加大财税制度对收入分配的调节力度。健全直接税体系，完善综合与分类相结合的个人所得税制度，加强对高收入者的税收调节和监管。完善中央与地方财政事权和支出责任划分，推动教育、养老、医疗、住房保障等基本公共服务均等化。完善转移支付制度，重点加大对发展水平相对落后地区的转移支付力度。有序增加社会民生领域资金投入，优化教育支出结构。</w:t>
      </w:r>
    </w:p>
    <w:p w14:paraId="56208C66" w14:textId="77777777" w:rsidR="003F5F97" w:rsidRDefault="00000000">
      <w:pPr>
        <w:ind w:firstLineChars="200" w:firstLine="600"/>
        <w:jc w:val="left"/>
        <w:rPr>
          <w:rFonts w:eastAsiaTheme="minorEastAsia"/>
          <w:sz w:val="30"/>
          <w:szCs w:val="30"/>
        </w:rPr>
      </w:pPr>
      <w:r>
        <w:rPr>
          <w:rFonts w:hint="eastAsia"/>
          <w:sz w:val="30"/>
          <w:szCs w:val="30"/>
        </w:rPr>
        <w:t>健全社会保障制度。推进基本养老保险由制度全覆盖到法定人群全覆盖，完善灵活就业人员参加职工社会保险制度。发展企业年金、职业年金，规范发展第三支柱养老保险。完善基本医疗保险制度，</w:t>
      </w:r>
      <w:proofErr w:type="gramStart"/>
      <w:r>
        <w:rPr>
          <w:rFonts w:hint="eastAsia"/>
          <w:sz w:val="30"/>
          <w:szCs w:val="30"/>
        </w:rPr>
        <w:t>健全重</w:t>
      </w:r>
      <w:proofErr w:type="gramEnd"/>
      <w:r>
        <w:rPr>
          <w:rFonts w:hint="eastAsia"/>
          <w:sz w:val="30"/>
          <w:szCs w:val="30"/>
        </w:rPr>
        <w:t>特大疾病医疗保险和救助制度，支持商业健康保险发展。实现企业职工基本养老保险全国统筹，推动基本医疗保险、失业保险省级统筹，巩固完善工伤保险省级统筹。健全社会保障待遇调整机制。完善社会救助制度兜底功能。完善帮扶残疾人、孤儿等社会福利制度。健全退役军人工作体系和保障制度。</w:t>
      </w:r>
    </w:p>
    <w:p w14:paraId="39B7190B" w14:textId="77777777" w:rsidR="003F5F97" w:rsidRDefault="00000000">
      <w:pPr>
        <w:ind w:firstLineChars="200" w:firstLine="600"/>
        <w:jc w:val="left"/>
        <w:rPr>
          <w:rFonts w:eastAsiaTheme="minorEastAsia"/>
          <w:sz w:val="30"/>
          <w:szCs w:val="30"/>
        </w:rPr>
      </w:pPr>
      <w:r>
        <w:rPr>
          <w:rFonts w:hint="eastAsia"/>
          <w:sz w:val="30"/>
          <w:szCs w:val="30"/>
        </w:rPr>
        <w:lastRenderedPageBreak/>
        <w:t>（三十）重视发挥第三次分配作用</w:t>
      </w:r>
    </w:p>
    <w:p w14:paraId="40489BBB" w14:textId="77777777" w:rsidR="003F5F97" w:rsidRDefault="00000000">
      <w:pPr>
        <w:ind w:firstLineChars="200" w:firstLine="600"/>
        <w:jc w:val="left"/>
        <w:rPr>
          <w:rFonts w:eastAsiaTheme="minorEastAsia"/>
          <w:sz w:val="30"/>
          <w:szCs w:val="30"/>
        </w:rPr>
      </w:pPr>
      <w:r>
        <w:rPr>
          <w:rFonts w:hint="eastAsia"/>
          <w:sz w:val="30"/>
          <w:szCs w:val="30"/>
        </w:rPr>
        <w:t>发展慈善事业。建立健全慈善事业发展体制机制，规范培育发展慈善组织。完善慈善褒奖制度，引导支持有意愿有能力的企业和社会群体积极参与公益慈善事业。</w:t>
      </w:r>
    </w:p>
    <w:p w14:paraId="3C8B1B84" w14:textId="77777777" w:rsidR="003F5F97" w:rsidRDefault="00000000">
      <w:pPr>
        <w:ind w:firstLineChars="200" w:firstLine="600"/>
        <w:jc w:val="left"/>
        <w:rPr>
          <w:rFonts w:eastAsiaTheme="minorEastAsia"/>
          <w:sz w:val="30"/>
          <w:szCs w:val="30"/>
        </w:rPr>
      </w:pPr>
      <w:r>
        <w:rPr>
          <w:rFonts w:hint="eastAsia"/>
          <w:sz w:val="30"/>
          <w:szCs w:val="30"/>
        </w:rPr>
        <w:t>健全志愿服务体系。发展社会工作服务机构和志愿服务组织，壮大志愿者队伍，搭建更多志愿服务平台，全面提升志愿服务水平。广泛开展志愿服务关爱行动。探索建立文明实践积分银行，将志愿服务活动、</w:t>
      </w:r>
      <w:proofErr w:type="gramStart"/>
      <w:r>
        <w:rPr>
          <w:rFonts w:hint="eastAsia"/>
          <w:sz w:val="30"/>
          <w:szCs w:val="30"/>
        </w:rPr>
        <w:t>践行</w:t>
      </w:r>
      <w:proofErr w:type="gramEnd"/>
      <w:r>
        <w:rPr>
          <w:rFonts w:hint="eastAsia"/>
          <w:sz w:val="30"/>
          <w:szCs w:val="30"/>
        </w:rPr>
        <w:t>文明行为等纳入积分管理，促进形成志愿服务良好社会氛围。</w:t>
      </w:r>
    </w:p>
    <w:p w14:paraId="3FAB74D7" w14:textId="77777777" w:rsidR="003F5F97" w:rsidRDefault="00000000">
      <w:pPr>
        <w:ind w:firstLineChars="200" w:firstLine="600"/>
        <w:jc w:val="left"/>
        <w:rPr>
          <w:rFonts w:eastAsiaTheme="minorEastAsia"/>
          <w:sz w:val="30"/>
          <w:szCs w:val="30"/>
        </w:rPr>
      </w:pPr>
      <w:r>
        <w:rPr>
          <w:rFonts w:hint="eastAsia"/>
          <w:sz w:val="30"/>
          <w:szCs w:val="30"/>
        </w:rPr>
        <w:t>十、提升安全保障能力，夯实内需发展基础</w:t>
      </w:r>
    </w:p>
    <w:p w14:paraId="2FAE2670" w14:textId="77777777" w:rsidR="003F5F97" w:rsidRDefault="00000000">
      <w:pPr>
        <w:ind w:firstLineChars="200" w:firstLine="600"/>
        <w:jc w:val="left"/>
        <w:rPr>
          <w:rFonts w:eastAsiaTheme="minorEastAsia"/>
          <w:sz w:val="30"/>
          <w:szCs w:val="30"/>
        </w:rPr>
      </w:pPr>
      <w:r>
        <w:rPr>
          <w:rFonts w:hint="eastAsia"/>
          <w:sz w:val="30"/>
          <w:szCs w:val="30"/>
        </w:rPr>
        <w:t>把</w:t>
      </w:r>
      <w:proofErr w:type="gramStart"/>
      <w:r>
        <w:rPr>
          <w:rFonts w:hint="eastAsia"/>
          <w:sz w:val="30"/>
          <w:szCs w:val="30"/>
        </w:rPr>
        <w:t>安全发展</w:t>
      </w:r>
      <w:proofErr w:type="gramEnd"/>
      <w:r>
        <w:rPr>
          <w:rFonts w:hint="eastAsia"/>
          <w:sz w:val="30"/>
          <w:szCs w:val="30"/>
        </w:rPr>
        <w:t>贯穿扩大内需工作各领域和全过程，着力提升粮食、能源和战略性矿产资源等领域供应保障能力，有效维护产业</w:t>
      </w:r>
      <w:proofErr w:type="gramStart"/>
      <w:r>
        <w:rPr>
          <w:rFonts w:hint="eastAsia"/>
          <w:sz w:val="30"/>
          <w:szCs w:val="30"/>
        </w:rPr>
        <w:t>链供应</w:t>
      </w:r>
      <w:proofErr w:type="gramEnd"/>
      <w:r>
        <w:rPr>
          <w:rFonts w:hint="eastAsia"/>
          <w:sz w:val="30"/>
          <w:szCs w:val="30"/>
        </w:rPr>
        <w:t>链稳定，不断提高应对突发应急事件能力，为国内市场平稳发展提供坚强安全保障。</w:t>
      </w:r>
    </w:p>
    <w:p w14:paraId="4705515B" w14:textId="77777777" w:rsidR="003F5F97" w:rsidRDefault="00000000">
      <w:pPr>
        <w:ind w:firstLineChars="200" w:firstLine="600"/>
        <w:jc w:val="left"/>
        <w:rPr>
          <w:rFonts w:eastAsiaTheme="minorEastAsia"/>
          <w:sz w:val="30"/>
          <w:szCs w:val="30"/>
        </w:rPr>
      </w:pPr>
      <w:r>
        <w:rPr>
          <w:rFonts w:hint="eastAsia"/>
          <w:sz w:val="30"/>
          <w:szCs w:val="30"/>
        </w:rPr>
        <w:t>（三十一）保障粮食安全</w:t>
      </w:r>
    </w:p>
    <w:p w14:paraId="320EF284" w14:textId="77777777" w:rsidR="003F5F97" w:rsidRDefault="00000000">
      <w:pPr>
        <w:ind w:firstLineChars="200" w:firstLine="600"/>
        <w:jc w:val="left"/>
        <w:rPr>
          <w:rFonts w:eastAsiaTheme="minorEastAsia"/>
          <w:sz w:val="30"/>
          <w:szCs w:val="30"/>
        </w:rPr>
      </w:pPr>
      <w:r>
        <w:rPr>
          <w:rFonts w:hint="eastAsia"/>
          <w:sz w:val="30"/>
          <w:szCs w:val="30"/>
        </w:rPr>
        <w:t>推进粮食稳产增产。深入实施藏粮于地、</w:t>
      </w:r>
      <w:proofErr w:type="gramStart"/>
      <w:r>
        <w:rPr>
          <w:rFonts w:hint="eastAsia"/>
          <w:sz w:val="30"/>
          <w:szCs w:val="30"/>
        </w:rPr>
        <w:t>藏粮于技战略</w:t>
      </w:r>
      <w:proofErr w:type="gramEnd"/>
      <w:r>
        <w:rPr>
          <w:rFonts w:hint="eastAsia"/>
          <w:sz w:val="30"/>
          <w:szCs w:val="30"/>
        </w:rPr>
        <w:t>，坚持最严格的耕地保护制度，严守</w:t>
      </w:r>
      <w:r>
        <w:rPr>
          <w:rFonts w:hint="eastAsia"/>
          <w:sz w:val="30"/>
          <w:szCs w:val="30"/>
        </w:rPr>
        <w:t>18</w:t>
      </w:r>
      <w:r>
        <w:rPr>
          <w:rFonts w:hint="eastAsia"/>
          <w:sz w:val="30"/>
          <w:szCs w:val="30"/>
        </w:rPr>
        <w:t>亿亩耕地红线，坚决遏制耕地“非农化”、严格管控“非粮化”。推进合理布局，主产区、主销区、产销平衡区都要保面积、保产量，加大粮食生产政策支持力度，确保口粮绝对安全、谷物基本自给。实施重要农产品保障战略，实现生猪基本自给、其他重要农副产品供应充足。</w:t>
      </w:r>
    </w:p>
    <w:p w14:paraId="027A7F5C" w14:textId="77777777" w:rsidR="003F5F97" w:rsidRDefault="00000000">
      <w:pPr>
        <w:ind w:firstLineChars="200" w:firstLine="600"/>
        <w:jc w:val="left"/>
        <w:rPr>
          <w:rFonts w:eastAsiaTheme="minorEastAsia"/>
          <w:sz w:val="30"/>
          <w:szCs w:val="30"/>
        </w:rPr>
      </w:pPr>
      <w:r>
        <w:rPr>
          <w:rFonts w:hint="eastAsia"/>
          <w:sz w:val="30"/>
          <w:szCs w:val="30"/>
        </w:rPr>
        <w:t>健全粮食产购储加销体系。落实粮食安全党政同责要求。深</w:t>
      </w:r>
      <w:r>
        <w:rPr>
          <w:rFonts w:hint="eastAsia"/>
          <w:sz w:val="30"/>
          <w:szCs w:val="30"/>
        </w:rPr>
        <w:lastRenderedPageBreak/>
        <w:t>化粮食等重要农产品收储制度改革，加快培育多元市场购销主体，科学确定粮食储备规模、结构、布局，完善粮食储备管理体制和运行机制。加强粮食、棉、糖等重要农产品仓储物流设施建设。强化地方储备体系建设，健全层级分明、运作高效的农产品储备体系。深入推进优质粮食工程，加快构建现代化粮食产业体系。持续倡导节粮减损。</w:t>
      </w:r>
    </w:p>
    <w:p w14:paraId="307491E3" w14:textId="77777777" w:rsidR="003F5F97" w:rsidRDefault="00000000">
      <w:pPr>
        <w:ind w:firstLineChars="200" w:firstLine="600"/>
        <w:jc w:val="left"/>
        <w:rPr>
          <w:rFonts w:eastAsiaTheme="minorEastAsia"/>
          <w:sz w:val="30"/>
          <w:szCs w:val="30"/>
        </w:rPr>
      </w:pPr>
      <w:r>
        <w:rPr>
          <w:rFonts w:hint="eastAsia"/>
          <w:sz w:val="30"/>
          <w:szCs w:val="30"/>
        </w:rPr>
        <w:t>加强种子安全保障。建立健全现代种业体系，加强种质资源保护利用和种子库建设，提高资源保护、育种创新、品种测试、良种繁育能力，实施农业生物育种重大科技项目。在尊重科学、严格监管的前提下，有序推进生物育种产业化应用。</w:t>
      </w:r>
    </w:p>
    <w:p w14:paraId="030D846B" w14:textId="77777777" w:rsidR="003F5F97" w:rsidRDefault="00000000">
      <w:pPr>
        <w:ind w:firstLineChars="200" w:firstLine="600"/>
        <w:jc w:val="left"/>
        <w:rPr>
          <w:rFonts w:eastAsiaTheme="minorEastAsia"/>
          <w:sz w:val="30"/>
          <w:szCs w:val="30"/>
        </w:rPr>
      </w:pPr>
      <w:r>
        <w:rPr>
          <w:rFonts w:hint="eastAsia"/>
          <w:sz w:val="30"/>
          <w:szCs w:val="30"/>
        </w:rPr>
        <w:t>（三十二）强化能源资源安全保障</w:t>
      </w:r>
    </w:p>
    <w:p w14:paraId="389DA3E9" w14:textId="77777777" w:rsidR="003F5F97" w:rsidRDefault="00000000">
      <w:pPr>
        <w:ind w:firstLineChars="200" w:firstLine="600"/>
        <w:jc w:val="left"/>
        <w:rPr>
          <w:rFonts w:eastAsiaTheme="minorEastAsia"/>
          <w:sz w:val="30"/>
          <w:szCs w:val="30"/>
        </w:rPr>
      </w:pPr>
      <w:r>
        <w:rPr>
          <w:rFonts w:hint="eastAsia"/>
          <w:sz w:val="30"/>
          <w:szCs w:val="30"/>
        </w:rPr>
        <w:t>增强国内生产供应能力。推动国内油气增储上产，加强陆海油气开发。推动页岩气稳产增产，提升页岩油开发规模。引导和鼓励社会资本进入油气勘探开采领域。稳妥推进煤制油气，规划建设煤制油气战略基地。深入实施找矿突破战略行动，开展战略性矿产资源现状调查和潜力评价，积极开展现有矿山深部及外围找矿，延长矿山服务年限。持续推进矿山智能化、绿色化建设。</w:t>
      </w:r>
    </w:p>
    <w:p w14:paraId="12A5ED7A" w14:textId="77777777" w:rsidR="003F5F97" w:rsidRDefault="00000000">
      <w:pPr>
        <w:ind w:firstLineChars="200" w:firstLine="600"/>
        <w:jc w:val="left"/>
        <w:rPr>
          <w:rFonts w:eastAsiaTheme="minorEastAsia"/>
          <w:sz w:val="30"/>
          <w:szCs w:val="30"/>
        </w:rPr>
      </w:pPr>
      <w:r>
        <w:rPr>
          <w:rFonts w:hint="eastAsia"/>
          <w:sz w:val="30"/>
          <w:szCs w:val="30"/>
        </w:rPr>
        <w:t>（三十三）增强产业</w:t>
      </w:r>
      <w:proofErr w:type="gramStart"/>
      <w:r>
        <w:rPr>
          <w:rFonts w:hint="eastAsia"/>
          <w:sz w:val="30"/>
          <w:szCs w:val="30"/>
        </w:rPr>
        <w:t>链供应链安全</w:t>
      </w:r>
      <w:proofErr w:type="gramEnd"/>
      <w:r>
        <w:rPr>
          <w:rFonts w:hint="eastAsia"/>
          <w:sz w:val="30"/>
          <w:szCs w:val="30"/>
        </w:rPr>
        <w:t>保障能力</w:t>
      </w:r>
    </w:p>
    <w:p w14:paraId="029424E9" w14:textId="77777777" w:rsidR="003F5F97" w:rsidRDefault="00000000">
      <w:pPr>
        <w:ind w:firstLineChars="200" w:firstLine="600"/>
        <w:jc w:val="left"/>
        <w:rPr>
          <w:rFonts w:eastAsiaTheme="minorEastAsia"/>
          <w:sz w:val="30"/>
          <w:szCs w:val="30"/>
        </w:rPr>
      </w:pPr>
      <w:r>
        <w:rPr>
          <w:rFonts w:hint="eastAsia"/>
          <w:sz w:val="30"/>
          <w:szCs w:val="30"/>
        </w:rPr>
        <w:t>推进制造业</w:t>
      </w:r>
      <w:proofErr w:type="gramStart"/>
      <w:r>
        <w:rPr>
          <w:rFonts w:hint="eastAsia"/>
          <w:sz w:val="30"/>
          <w:szCs w:val="30"/>
        </w:rPr>
        <w:t>补链强链</w:t>
      </w:r>
      <w:proofErr w:type="gramEnd"/>
      <w:r>
        <w:rPr>
          <w:rFonts w:hint="eastAsia"/>
          <w:sz w:val="30"/>
          <w:szCs w:val="30"/>
        </w:rPr>
        <w:t>。实施产业基础再造工程，健全产业基础支撑体系，加强产业技术标准体系建设。巩固拓展与周边国家产业</w:t>
      </w:r>
      <w:proofErr w:type="gramStart"/>
      <w:r>
        <w:rPr>
          <w:rFonts w:hint="eastAsia"/>
          <w:sz w:val="30"/>
          <w:szCs w:val="30"/>
        </w:rPr>
        <w:t>链供应</w:t>
      </w:r>
      <w:proofErr w:type="gramEnd"/>
      <w:r>
        <w:rPr>
          <w:rFonts w:hint="eastAsia"/>
          <w:sz w:val="30"/>
          <w:szCs w:val="30"/>
        </w:rPr>
        <w:t>链合作，共同维护国际产业</w:t>
      </w:r>
      <w:proofErr w:type="gramStart"/>
      <w:r>
        <w:rPr>
          <w:rFonts w:hint="eastAsia"/>
          <w:sz w:val="30"/>
          <w:szCs w:val="30"/>
        </w:rPr>
        <w:t>链供应链稳定</w:t>
      </w:r>
      <w:proofErr w:type="gramEnd"/>
      <w:r>
        <w:rPr>
          <w:rFonts w:hint="eastAsia"/>
          <w:sz w:val="30"/>
          <w:szCs w:val="30"/>
        </w:rPr>
        <w:t>运行。实施制造业供应链提升工程，构建制造业供应链生态体系。围绕重点</w:t>
      </w:r>
      <w:r>
        <w:rPr>
          <w:rFonts w:hint="eastAsia"/>
          <w:sz w:val="30"/>
          <w:szCs w:val="30"/>
        </w:rPr>
        <w:lastRenderedPageBreak/>
        <w:t>行业产业</w:t>
      </w:r>
      <w:proofErr w:type="gramStart"/>
      <w:r>
        <w:rPr>
          <w:rFonts w:hint="eastAsia"/>
          <w:sz w:val="30"/>
          <w:szCs w:val="30"/>
        </w:rPr>
        <w:t>链供应链关键</w:t>
      </w:r>
      <w:proofErr w:type="gramEnd"/>
      <w:r>
        <w:rPr>
          <w:rFonts w:hint="eastAsia"/>
          <w:sz w:val="30"/>
          <w:szCs w:val="30"/>
        </w:rPr>
        <w:t>原材料、技术、产品，增强供应链灵活性可靠性。</w:t>
      </w:r>
    </w:p>
    <w:p w14:paraId="0858ABFB" w14:textId="77777777" w:rsidR="003F5F97" w:rsidRDefault="00000000">
      <w:pPr>
        <w:ind w:firstLineChars="200" w:firstLine="600"/>
        <w:jc w:val="left"/>
        <w:rPr>
          <w:rFonts w:eastAsiaTheme="minorEastAsia"/>
          <w:sz w:val="30"/>
          <w:szCs w:val="30"/>
        </w:rPr>
      </w:pPr>
      <w:r>
        <w:rPr>
          <w:rFonts w:hint="eastAsia"/>
          <w:sz w:val="30"/>
          <w:szCs w:val="30"/>
        </w:rPr>
        <w:t>保障事关国计民生的基础产业安全稳定运行。聚焦保障煤电油气</w:t>
      </w:r>
      <w:proofErr w:type="gramStart"/>
      <w:r>
        <w:rPr>
          <w:rFonts w:hint="eastAsia"/>
          <w:sz w:val="30"/>
          <w:szCs w:val="30"/>
        </w:rPr>
        <w:t>运安全</w:t>
      </w:r>
      <w:proofErr w:type="gramEnd"/>
      <w:r>
        <w:rPr>
          <w:rFonts w:hint="eastAsia"/>
          <w:sz w:val="30"/>
          <w:szCs w:val="30"/>
        </w:rPr>
        <w:t>稳定运行，强化关键仪器设备、关键基础软件、大型工业软件、行业应用软件和工业控制系统、重要零部件的稳定供应，保证核心系统运行安全。保障居民基本生活必需品产业链安全，实现极端情况下群众基本生活不受大的影响。</w:t>
      </w:r>
    </w:p>
    <w:p w14:paraId="4CCA6B8A" w14:textId="77777777" w:rsidR="003F5F97" w:rsidRDefault="00000000">
      <w:pPr>
        <w:ind w:firstLineChars="200" w:firstLine="600"/>
        <w:jc w:val="left"/>
        <w:rPr>
          <w:rFonts w:eastAsiaTheme="minorEastAsia"/>
          <w:sz w:val="30"/>
          <w:szCs w:val="30"/>
        </w:rPr>
      </w:pPr>
      <w:r>
        <w:rPr>
          <w:rFonts w:hint="eastAsia"/>
          <w:sz w:val="30"/>
          <w:szCs w:val="30"/>
        </w:rPr>
        <w:t>（三十四）推动应急管理能力建设</w:t>
      </w:r>
    </w:p>
    <w:p w14:paraId="0C8C762D" w14:textId="77777777" w:rsidR="003F5F97" w:rsidRDefault="00000000">
      <w:pPr>
        <w:ind w:firstLineChars="200" w:firstLine="600"/>
        <w:jc w:val="left"/>
        <w:rPr>
          <w:rFonts w:eastAsiaTheme="minorEastAsia"/>
          <w:sz w:val="30"/>
          <w:szCs w:val="30"/>
        </w:rPr>
      </w:pPr>
      <w:r>
        <w:rPr>
          <w:rFonts w:hint="eastAsia"/>
          <w:sz w:val="30"/>
          <w:szCs w:val="30"/>
        </w:rPr>
        <w:t>增强重特大突发事件应急能力。加强应急物资装备保障体系建设，强化公共卫生、灾害事故等领域应急物资保障，完善中央、省、市、县、乡五级应急物资储备网络。建设国家级应急物资储备库，升级地方应急物资储备库和救援装备库，中央应急物资储备向中西部地区和灾害多发易发地区倾斜。优化重要应急</w:t>
      </w:r>
      <w:proofErr w:type="gramStart"/>
      <w:r>
        <w:rPr>
          <w:rFonts w:hint="eastAsia"/>
          <w:sz w:val="30"/>
          <w:szCs w:val="30"/>
        </w:rPr>
        <w:t>物资产能区域</w:t>
      </w:r>
      <w:proofErr w:type="gramEnd"/>
      <w:r>
        <w:rPr>
          <w:rFonts w:hint="eastAsia"/>
          <w:sz w:val="30"/>
          <w:szCs w:val="30"/>
        </w:rPr>
        <w:t>布局，实施应急产品生产能力储备工程，引导企业积极履行社会责任建立必要的产能储备，建设区域性应急物资生产保障基地，完善国家应急资源管理平台。健全应急决策支撑体系，建设应急技术装备研发实验室。加快提升应急物流投送与快速反应能力，完善应急广播体系。</w:t>
      </w:r>
    </w:p>
    <w:p w14:paraId="039E59DE" w14:textId="77777777" w:rsidR="003F5F97" w:rsidRDefault="00000000">
      <w:pPr>
        <w:ind w:firstLineChars="200" w:firstLine="600"/>
        <w:jc w:val="left"/>
        <w:rPr>
          <w:rFonts w:eastAsiaTheme="minorEastAsia"/>
          <w:sz w:val="30"/>
          <w:szCs w:val="30"/>
        </w:rPr>
      </w:pPr>
      <w:r>
        <w:rPr>
          <w:rFonts w:hint="eastAsia"/>
          <w:sz w:val="30"/>
          <w:szCs w:val="30"/>
        </w:rPr>
        <w:t>加强应急救援力量建设。完善航空应急救援体系，推进新型智能装备、航空消防大飞机、特种救援装备、特殊工程机械设备研发配备。加大综合性消防救援队伍和专业救援队伍、社会救援队伍建设力度，推动救援队伍能力现代化。推进城乡公共消防设</w:t>
      </w:r>
      <w:r>
        <w:rPr>
          <w:rFonts w:hint="eastAsia"/>
          <w:sz w:val="30"/>
          <w:szCs w:val="30"/>
        </w:rPr>
        <w:lastRenderedPageBreak/>
        <w:t>施建设，推进重点场所消防系统改造。强化危险化学品、矿山、道路交通等重点领域生命防护，提高安全生产重大风险防控能力。</w:t>
      </w:r>
    </w:p>
    <w:p w14:paraId="6CEA51FE" w14:textId="77777777" w:rsidR="003F5F97" w:rsidRDefault="00000000">
      <w:pPr>
        <w:ind w:firstLineChars="200" w:firstLine="600"/>
        <w:jc w:val="left"/>
        <w:rPr>
          <w:rFonts w:eastAsiaTheme="minorEastAsia"/>
          <w:sz w:val="30"/>
          <w:szCs w:val="30"/>
        </w:rPr>
      </w:pPr>
      <w:r>
        <w:rPr>
          <w:rFonts w:hint="eastAsia"/>
          <w:sz w:val="30"/>
          <w:szCs w:val="30"/>
        </w:rPr>
        <w:t>推进灾害事故防控能力建设。支持城乡防灾基础设施建设，完善防汛抗旱、防震减灾、防风抗潮、森林草原防灭火、地震地质灾害防治等骨干设施。提升城市防洪排涝能力，逐步建立完善防洪排涝体系。优化国土空间防灾减灾救灾设施布局，推进公共基础设施安全加固，加快构建城乡应急避难场所体系。加强防灾减灾救灾和安全生产科技信息化支撑能力，加快构建天空地一体化灾害事故监测预警体系和应急通信体系。发展巨灾保险。</w:t>
      </w:r>
    </w:p>
    <w:p w14:paraId="74586DE3" w14:textId="77777777" w:rsidR="003F5F97" w:rsidRDefault="00000000">
      <w:pPr>
        <w:ind w:firstLineChars="200" w:firstLine="600"/>
        <w:jc w:val="left"/>
        <w:rPr>
          <w:rFonts w:eastAsiaTheme="minorEastAsia"/>
          <w:sz w:val="30"/>
          <w:szCs w:val="30"/>
        </w:rPr>
      </w:pPr>
      <w:r>
        <w:rPr>
          <w:rFonts w:hint="eastAsia"/>
          <w:sz w:val="30"/>
          <w:szCs w:val="30"/>
        </w:rPr>
        <w:t>十一、实施保障</w:t>
      </w:r>
    </w:p>
    <w:p w14:paraId="7F7C9DF7" w14:textId="77777777" w:rsidR="003F5F97" w:rsidRDefault="00000000">
      <w:pPr>
        <w:ind w:firstLineChars="200" w:firstLine="600"/>
        <w:jc w:val="left"/>
        <w:rPr>
          <w:rFonts w:eastAsiaTheme="minorEastAsia"/>
          <w:sz w:val="30"/>
          <w:szCs w:val="30"/>
        </w:rPr>
      </w:pPr>
      <w:r>
        <w:rPr>
          <w:rFonts w:hint="eastAsia"/>
          <w:sz w:val="30"/>
          <w:szCs w:val="30"/>
        </w:rPr>
        <w:t>（三十五）加强党的全面领导</w:t>
      </w:r>
    </w:p>
    <w:p w14:paraId="6AC4FA59" w14:textId="77777777" w:rsidR="003F5F97" w:rsidRDefault="00000000">
      <w:pPr>
        <w:ind w:firstLineChars="200" w:firstLine="600"/>
        <w:jc w:val="left"/>
        <w:rPr>
          <w:rFonts w:eastAsiaTheme="minorEastAsia"/>
          <w:sz w:val="30"/>
          <w:szCs w:val="30"/>
        </w:rPr>
      </w:pPr>
      <w:r>
        <w:rPr>
          <w:rFonts w:hint="eastAsia"/>
          <w:sz w:val="30"/>
          <w:szCs w:val="30"/>
        </w:rPr>
        <w:t>各地区各部门要深入学习贯彻习近平新时代中国特色社会主义思想，增强“四个意识”、坚定“四个自信”、做到“两个维护”，不断提高政治判断力、政治领悟力、政治执行力，不断提高把握新发展阶段、贯彻新发展理念、构建新发展格局的政治能力、战略眼光、专业水平，抓好重大任务和政策落实。充分调动各有关方面实施扩大内需战略的积极性、主动性、创造性，为实现规划纲要确定的主要目标提供坚强组织保障。</w:t>
      </w:r>
    </w:p>
    <w:p w14:paraId="21C51EA5" w14:textId="77777777" w:rsidR="003F5F97" w:rsidRDefault="00000000">
      <w:pPr>
        <w:ind w:firstLineChars="200" w:firstLine="600"/>
        <w:jc w:val="left"/>
        <w:rPr>
          <w:rFonts w:eastAsiaTheme="minorEastAsia"/>
          <w:sz w:val="30"/>
          <w:szCs w:val="30"/>
        </w:rPr>
      </w:pPr>
      <w:r>
        <w:rPr>
          <w:rFonts w:hint="eastAsia"/>
          <w:sz w:val="30"/>
          <w:szCs w:val="30"/>
        </w:rPr>
        <w:t>（三十六）完善组织协调机制</w:t>
      </w:r>
    </w:p>
    <w:p w14:paraId="22357297" w14:textId="77777777" w:rsidR="003F5F97" w:rsidRDefault="00000000">
      <w:pPr>
        <w:ind w:firstLineChars="200" w:firstLine="600"/>
        <w:jc w:val="left"/>
        <w:rPr>
          <w:rFonts w:eastAsiaTheme="minorEastAsia"/>
          <w:sz w:val="30"/>
          <w:szCs w:val="30"/>
        </w:rPr>
      </w:pPr>
      <w:r>
        <w:rPr>
          <w:rFonts w:hint="eastAsia"/>
          <w:sz w:val="30"/>
          <w:szCs w:val="30"/>
        </w:rPr>
        <w:t>各有关部门要加强实施扩大内需战略部际协调，发挥统筹协调作用，推动落实扩大内需各项工作；定期编制扩大内需战略实施方案，进一步细化实化规划纲要明确的重大任务和重大政策。</w:t>
      </w:r>
      <w:r>
        <w:rPr>
          <w:rFonts w:hint="eastAsia"/>
          <w:sz w:val="30"/>
          <w:szCs w:val="30"/>
        </w:rPr>
        <w:lastRenderedPageBreak/>
        <w:t>地方各级政府要因地制宜积极作为，把实施扩大内需战略纳入经济社会发展规划，结合实际制定本地区扩大内需战略政策措施，压实地方落实扩大内需战略责任，创新规划纲要组织实施方式，发挥各方面作用，坚决杜绝形式主义、官僚主义。</w:t>
      </w:r>
    </w:p>
    <w:p w14:paraId="7779CBBE" w14:textId="77777777" w:rsidR="003F5F97" w:rsidRDefault="00000000">
      <w:pPr>
        <w:ind w:firstLineChars="200" w:firstLine="600"/>
        <w:jc w:val="left"/>
        <w:rPr>
          <w:rFonts w:eastAsiaTheme="minorEastAsia"/>
          <w:sz w:val="30"/>
          <w:szCs w:val="30"/>
        </w:rPr>
      </w:pPr>
      <w:r>
        <w:rPr>
          <w:rFonts w:hint="eastAsia"/>
          <w:sz w:val="30"/>
          <w:szCs w:val="30"/>
        </w:rPr>
        <w:t>（三十七）强化政策协同配合</w:t>
      </w:r>
    </w:p>
    <w:p w14:paraId="168A1D67" w14:textId="77777777" w:rsidR="003F5F97" w:rsidRDefault="00000000">
      <w:pPr>
        <w:ind w:firstLineChars="200" w:firstLine="600"/>
        <w:jc w:val="left"/>
        <w:rPr>
          <w:rFonts w:eastAsiaTheme="minorEastAsia"/>
          <w:sz w:val="30"/>
          <w:szCs w:val="30"/>
        </w:rPr>
      </w:pPr>
      <w:r>
        <w:rPr>
          <w:rFonts w:hint="eastAsia"/>
          <w:sz w:val="30"/>
          <w:szCs w:val="30"/>
        </w:rPr>
        <w:t>完善宏观经济治理，不断创新和完善宏观调控，强化宏观政策对实施扩大内需战略的统筹支持。着力发挥规划纲要导向作用，加强财政、货币、就业、产业、投资、消费、环保、区域等政策的协同配合，推动形成扩大内需的政策合力。密切跟踪分析政策落实情况及内需形势变化，加强扩大内需政策研究储备，完善政策制定和执行机制，强化政策成效评估，保障战略目标顺利实现。</w:t>
      </w:r>
    </w:p>
    <w:p w14:paraId="4B96C91E" w14:textId="77777777" w:rsidR="003F5F97" w:rsidRDefault="00000000">
      <w:pPr>
        <w:ind w:firstLineChars="200" w:firstLine="600"/>
        <w:jc w:val="left"/>
        <w:rPr>
          <w:rFonts w:eastAsiaTheme="minorEastAsia"/>
          <w:sz w:val="30"/>
          <w:szCs w:val="30"/>
        </w:rPr>
      </w:pPr>
      <w:r>
        <w:rPr>
          <w:rFonts w:hint="eastAsia"/>
          <w:sz w:val="30"/>
          <w:szCs w:val="30"/>
        </w:rPr>
        <w:t>（三十八）加大宣传引导力度</w:t>
      </w:r>
    </w:p>
    <w:p w14:paraId="72AE4F6C" w14:textId="77777777" w:rsidR="003F5F97" w:rsidRDefault="00000000">
      <w:pPr>
        <w:ind w:firstLineChars="200" w:firstLine="600"/>
        <w:jc w:val="left"/>
        <w:rPr>
          <w:sz w:val="30"/>
          <w:szCs w:val="30"/>
        </w:rPr>
      </w:pPr>
      <w:r>
        <w:rPr>
          <w:rFonts w:hint="eastAsia"/>
          <w:sz w:val="30"/>
          <w:szCs w:val="30"/>
        </w:rPr>
        <w:t>各地区各有关部门要加强扩大内需战略的宣传和引导，综合运用各种媒体，通过大众喜闻乐见的形式深入解读扩大内需战略的新举措新要求，进一步营造浓厚社会氛围。及时总结规划纲要实施成效，充分挖掘各地区和不同行业、企业在扩大内需方面的成功案例，通过多种形式及时总结推广好经验好做法。</w:t>
      </w:r>
    </w:p>
    <w:p w14:paraId="2429E609" w14:textId="77777777" w:rsidR="003F5F97" w:rsidRDefault="003F5F97">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766AAE39" w14:textId="77777777" w:rsidR="003F5F97" w:rsidRDefault="003F5F97">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75AAC16E" w14:textId="77777777" w:rsidR="003F5F97" w:rsidRDefault="003F5F97">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32CB9B90" w14:textId="77777777" w:rsidR="003F5F97"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t>附件2</w:t>
      </w:r>
    </w:p>
    <w:p w14:paraId="481BADDE" w14:textId="77777777" w:rsidR="003F5F97" w:rsidRDefault="003F5F97">
      <w:pPr>
        <w:jc w:val="left"/>
        <w:rPr>
          <w:rFonts w:ascii="微软雅黑" w:eastAsia="微软雅黑" w:hAnsi="微软雅黑" w:cs="宋体"/>
          <w:color w:val="333333"/>
          <w:spacing w:val="8"/>
          <w:kern w:val="0"/>
          <w:sz w:val="33"/>
          <w:szCs w:val="33"/>
        </w:rPr>
      </w:pPr>
    </w:p>
    <w:p w14:paraId="68E9ED38" w14:textId="77777777" w:rsidR="003F5F97" w:rsidRDefault="00000000">
      <w:pPr>
        <w:jc w:val="left"/>
        <w:rPr>
          <w:rFonts w:ascii="微软雅黑" w:eastAsia="微软雅黑" w:hAnsi="微软雅黑" w:cs="宋体"/>
          <w:color w:val="333333"/>
          <w:spacing w:val="8"/>
          <w:kern w:val="0"/>
          <w:sz w:val="33"/>
          <w:szCs w:val="33"/>
        </w:rPr>
      </w:pPr>
      <w:r>
        <w:rPr>
          <w:rFonts w:ascii="微软雅黑" w:eastAsia="微软雅黑" w:hAnsi="微软雅黑" w:cs="宋体" w:hint="eastAsia"/>
          <w:color w:val="333333"/>
          <w:spacing w:val="8"/>
          <w:kern w:val="0"/>
          <w:sz w:val="33"/>
          <w:szCs w:val="33"/>
        </w:rPr>
        <w:t>中康CMH《2022中国药品市场全域零售报告》重磅发布！</w:t>
      </w:r>
    </w:p>
    <w:p w14:paraId="713E79CC" w14:textId="77777777" w:rsidR="003F5F97" w:rsidRDefault="003F5F97">
      <w:pPr>
        <w:jc w:val="left"/>
      </w:pPr>
    </w:p>
    <w:p w14:paraId="04D37C00" w14:textId="77777777" w:rsidR="003F5F97" w:rsidRDefault="00000000">
      <w:pPr>
        <w:jc w:val="left"/>
        <w:rPr>
          <w:rFonts w:asciiTheme="minorEastAsia" w:hAnsiTheme="minorEastAsia" w:cs="Helvetica"/>
          <w:bCs/>
          <w:spacing w:val="15"/>
          <w:sz w:val="28"/>
          <w:szCs w:val="28"/>
        </w:rPr>
      </w:pPr>
      <w:r>
        <w:rPr>
          <w:rFonts w:hint="eastAsia"/>
        </w:rPr>
        <w:t>原创</w:t>
      </w:r>
      <w:r>
        <w:rPr>
          <w:rFonts w:hint="eastAsia"/>
        </w:rPr>
        <w:t xml:space="preserve"> </w:t>
      </w:r>
      <w:r>
        <w:rPr>
          <w:rFonts w:hint="eastAsia"/>
        </w:rPr>
        <w:t>中康</w:t>
      </w:r>
      <w:r>
        <w:rPr>
          <w:rFonts w:hint="eastAsia"/>
        </w:rPr>
        <w:t xml:space="preserve">CMH </w:t>
      </w:r>
      <w:proofErr w:type="gramStart"/>
      <w:r>
        <w:rPr>
          <w:rFonts w:hint="eastAsia"/>
        </w:rPr>
        <w:t>新康界</w:t>
      </w:r>
      <w:proofErr w:type="gramEnd"/>
      <w:r>
        <w:rPr>
          <w:rFonts w:hint="eastAsia"/>
        </w:rPr>
        <w:t xml:space="preserve"> 2022-12-24</w:t>
      </w:r>
    </w:p>
    <w:p w14:paraId="4048CD43" w14:textId="77777777" w:rsidR="003F5F97" w:rsidRDefault="003F5F97">
      <w:pPr>
        <w:widowControl/>
        <w:jc w:val="left"/>
        <w:rPr>
          <w:rFonts w:ascii="宋体" w:hAnsi="宋体" w:cs="宋体"/>
          <w:b/>
          <w:bCs/>
          <w:kern w:val="0"/>
          <w:sz w:val="24"/>
          <w:szCs w:val="24"/>
        </w:rPr>
      </w:pPr>
    </w:p>
    <w:p w14:paraId="43F76532"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根据公开数据显示，数以亿计的国人，正在指尖探索一个线上的健康中国。本月初，《药品网络销售监督管理办法》亦正式施行，药品全域零售已迎来高质量发展的时代。中康CMH数据显示，在标外市场的重要性不断提升的大背景下，2022年实体药房市场(包含O2O)增速将达5.2%，电商B2C作为市场增长的主要驱动者，增速将达20.8%。全域零售为标外市场贡献增长活力，势在必行。</w:t>
      </w:r>
    </w:p>
    <w:p w14:paraId="04F2118D"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drawing>
          <wp:inline distT="0" distB="0" distL="114300" distR="114300" wp14:anchorId="2891C0F3" wp14:editId="7AA3E5C4">
            <wp:extent cx="5264150" cy="2482850"/>
            <wp:effectExtent l="0" t="0" r="12700" b="12700"/>
            <wp:docPr id="8" name="图片 8" descr="8cb1100b2a918a38b1e4ee5e92b2e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cb1100b2a918a38b1e4ee5e92b2ebc6"/>
                    <pic:cNvPicPr>
                      <a:picLocks noChangeAspect="1"/>
                    </pic:cNvPicPr>
                  </pic:nvPicPr>
                  <pic:blipFill>
                    <a:blip r:embed="rId10"/>
                    <a:stretch>
                      <a:fillRect/>
                    </a:stretch>
                  </pic:blipFill>
                  <pic:spPr>
                    <a:xfrm>
                      <a:off x="0" y="0"/>
                      <a:ext cx="5264150" cy="2482850"/>
                    </a:xfrm>
                    <a:prstGeom prst="rect">
                      <a:avLst/>
                    </a:prstGeom>
                  </pic:spPr>
                </pic:pic>
              </a:graphicData>
            </a:graphic>
          </wp:inline>
        </w:drawing>
      </w:r>
    </w:p>
    <w:p w14:paraId="5597EE4A"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lastRenderedPageBreak/>
        <w:t>基于上述的市场背景，中康CMH于近日正式发布《2022中国药品市场全域零售报告》，致力于为供</w:t>
      </w:r>
      <w:proofErr w:type="gramStart"/>
      <w:r>
        <w:rPr>
          <w:rStyle w:val="ad"/>
          <w:rFonts w:asciiTheme="minorEastAsia" w:eastAsiaTheme="minorEastAsia" w:hAnsiTheme="minorEastAsia" w:cs="Helvetica" w:hint="eastAsia"/>
          <w:b w:val="0"/>
          <w:spacing w:val="15"/>
          <w:sz w:val="28"/>
          <w:szCs w:val="28"/>
        </w:rPr>
        <w:t>零双方</w:t>
      </w:r>
      <w:proofErr w:type="gramEnd"/>
      <w:r>
        <w:rPr>
          <w:rStyle w:val="ad"/>
          <w:rFonts w:asciiTheme="minorEastAsia" w:eastAsiaTheme="minorEastAsia" w:hAnsiTheme="minorEastAsia" w:cs="Helvetica" w:hint="eastAsia"/>
          <w:b w:val="0"/>
          <w:spacing w:val="15"/>
          <w:sz w:val="28"/>
          <w:szCs w:val="28"/>
        </w:rPr>
        <w:t>提供更全面的全域零售市场行情，进一步为企业在</w:t>
      </w:r>
      <w:proofErr w:type="gramStart"/>
      <w:r>
        <w:rPr>
          <w:rStyle w:val="ad"/>
          <w:rFonts w:asciiTheme="minorEastAsia" w:eastAsiaTheme="minorEastAsia" w:hAnsiTheme="minorEastAsia" w:cs="Helvetica" w:hint="eastAsia"/>
          <w:b w:val="0"/>
          <w:spacing w:val="15"/>
          <w:sz w:val="28"/>
          <w:szCs w:val="28"/>
        </w:rPr>
        <w:t>医药电</w:t>
      </w:r>
      <w:proofErr w:type="gramEnd"/>
      <w:r>
        <w:rPr>
          <w:rStyle w:val="ad"/>
          <w:rFonts w:asciiTheme="minorEastAsia" w:eastAsiaTheme="minorEastAsia" w:hAnsiTheme="minorEastAsia" w:cs="Helvetica" w:hint="eastAsia"/>
          <w:b w:val="0"/>
          <w:spacing w:val="15"/>
          <w:sz w:val="28"/>
          <w:szCs w:val="28"/>
        </w:rPr>
        <w:t>商B2C和医药即时零售O2O渠道挖掘更多的潜在商业机会。</w:t>
      </w:r>
    </w:p>
    <w:p w14:paraId="409D8332" w14:textId="77777777" w:rsidR="003F5F97" w:rsidRDefault="00000000">
      <w:pPr>
        <w:ind w:firstLineChars="200" w:firstLine="500"/>
        <w:jc w:val="left"/>
        <w:rPr>
          <w:rStyle w:val="ad"/>
          <w:rFonts w:ascii="微软雅黑" w:eastAsia="微软雅黑" w:hAnsi="微软雅黑" w:cs="微软雅黑"/>
          <w:color w:val="888888"/>
          <w:spacing w:val="15"/>
          <w:sz w:val="22"/>
          <w:shd w:val="clear" w:color="auto" w:fill="FFFFFF"/>
        </w:rPr>
      </w:pPr>
      <w:r>
        <w:rPr>
          <w:rStyle w:val="ad"/>
          <w:rFonts w:ascii="微软雅黑" w:eastAsia="微软雅黑" w:hAnsi="微软雅黑" w:cs="微软雅黑"/>
          <w:color w:val="888888"/>
          <w:spacing w:val="15"/>
          <w:sz w:val="22"/>
          <w:shd w:val="clear" w:color="auto" w:fill="FFFFFF"/>
        </w:rPr>
        <w:t>以下为该报告内容节选</w:t>
      </w:r>
    </w:p>
    <w:p w14:paraId="75BEE7BB" w14:textId="77777777" w:rsidR="003F5F97" w:rsidRDefault="00000000">
      <w:pPr>
        <w:numPr>
          <w:ilvl w:val="0"/>
          <w:numId w:val="5"/>
        </w:numPr>
        <w:jc w:val="left"/>
        <w:rPr>
          <w:rStyle w:val="ad"/>
          <w:rFonts w:ascii="微软雅黑" w:eastAsia="微软雅黑" w:hAnsi="微软雅黑" w:cs="微软雅黑"/>
          <w:color w:val="159196"/>
          <w:spacing w:val="15"/>
          <w:sz w:val="25"/>
          <w:szCs w:val="25"/>
          <w:shd w:val="clear" w:color="auto" w:fill="FFFFFF"/>
        </w:rPr>
      </w:pPr>
      <w:r>
        <w:rPr>
          <w:rStyle w:val="ad"/>
          <w:rFonts w:ascii="微软雅黑" w:eastAsia="微软雅黑" w:hAnsi="微软雅黑" w:cs="微软雅黑"/>
          <w:color w:val="159196"/>
          <w:spacing w:val="15"/>
          <w:sz w:val="25"/>
          <w:szCs w:val="25"/>
          <w:shd w:val="clear" w:color="auto" w:fill="FFFFFF"/>
        </w:rPr>
        <w:t>全域零售市场增长前景明朗，即将迎来其高质量发展的黄金时代</w:t>
      </w:r>
    </w:p>
    <w:p w14:paraId="37CCF795"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proofErr w:type="gramStart"/>
      <w:r>
        <w:rPr>
          <w:rStyle w:val="ad"/>
          <w:rFonts w:asciiTheme="minorEastAsia" w:eastAsiaTheme="minorEastAsia" w:hAnsiTheme="minorEastAsia" w:cs="Helvetica" w:hint="eastAsia"/>
          <w:b w:val="0"/>
          <w:spacing w:val="15"/>
          <w:sz w:val="28"/>
          <w:szCs w:val="28"/>
        </w:rPr>
        <w:t>医药电</w:t>
      </w:r>
      <w:proofErr w:type="gramEnd"/>
      <w:r>
        <w:rPr>
          <w:rStyle w:val="ad"/>
          <w:rFonts w:asciiTheme="minorEastAsia" w:eastAsiaTheme="minorEastAsia" w:hAnsiTheme="minorEastAsia" w:cs="Helvetica" w:hint="eastAsia"/>
          <w:b w:val="0"/>
          <w:spacing w:val="15"/>
          <w:sz w:val="28"/>
          <w:szCs w:val="28"/>
        </w:rPr>
        <w:t>商B2C和医药即时零售O2O作为两大新兴渠道，近年来备受市场关注。从政策层面不难看出，月初实行的《药品网络销售监督管理办法》意在树立市场执行标准，规范化经营监督，</w:t>
      </w:r>
      <w:proofErr w:type="gramStart"/>
      <w:r>
        <w:rPr>
          <w:rStyle w:val="ad"/>
          <w:rFonts w:asciiTheme="minorEastAsia" w:eastAsiaTheme="minorEastAsia" w:hAnsiTheme="minorEastAsia" w:cs="Helvetica" w:hint="eastAsia"/>
          <w:b w:val="0"/>
          <w:spacing w:val="15"/>
          <w:sz w:val="28"/>
          <w:szCs w:val="28"/>
        </w:rPr>
        <w:t>明确网售</w:t>
      </w:r>
      <w:proofErr w:type="gramEnd"/>
      <w:r>
        <w:rPr>
          <w:rStyle w:val="ad"/>
          <w:rFonts w:asciiTheme="minorEastAsia" w:eastAsiaTheme="minorEastAsia" w:hAnsiTheme="minorEastAsia" w:cs="Helvetica" w:hint="eastAsia"/>
          <w:b w:val="0"/>
          <w:spacing w:val="15"/>
          <w:sz w:val="28"/>
          <w:szCs w:val="28"/>
        </w:rPr>
        <w:t>平台作为第三方经营者的权责范畴和管理制度。</w:t>
      </w:r>
      <w:proofErr w:type="gramStart"/>
      <w:r>
        <w:rPr>
          <w:rStyle w:val="ad"/>
          <w:rFonts w:asciiTheme="minorEastAsia" w:eastAsiaTheme="minorEastAsia" w:hAnsiTheme="minorEastAsia" w:cs="Helvetica" w:hint="eastAsia"/>
          <w:b w:val="0"/>
          <w:spacing w:val="15"/>
          <w:sz w:val="28"/>
          <w:szCs w:val="28"/>
        </w:rPr>
        <w:t>此次管理</w:t>
      </w:r>
      <w:proofErr w:type="gramEnd"/>
      <w:r>
        <w:rPr>
          <w:rStyle w:val="ad"/>
          <w:rFonts w:asciiTheme="minorEastAsia" w:eastAsiaTheme="minorEastAsia" w:hAnsiTheme="minorEastAsia" w:cs="Helvetica" w:hint="eastAsia"/>
          <w:b w:val="0"/>
          <w:spacing w:val="15"/>
          <w:sz w:val="28"/>
          <w:szCs w:val="28"/>
        </w:rPr>
        <w:t>办法的出台和实施，绝非</w:t>
      </w:r>
      <w:proofErr w:type="gramStart"/>
      <w:r>
        <w:rPr>
          <w:rStyle w:val="ad"/>
          <w:rFonts w:asciiTheme="minorEastAsia" w:eastAsiaTheme="minorEastAsia" w:hAnsiTheme="minorEastAsia" w:cs="Helvetica" w:hint="eastAsia"/>
          <w:b w:val="0"/>
          <w:spacing w:val="15"/>
          <w:sz w:val="28"/>
          <w:szCs w:val="28"/>
        </w:rPr>
        <w:t>限制网售药品</w:t>
      </w:r>
      <w:proofErr w:type="gramEnd"/>
      <w:r>
        <w:rPr>
          <w:rStyle w:val="ad"/>
          <w:rFonts w:asciiTheme="minorEastAsia" w:eastAsiaTheme="minorEastAsia" w:hAnsiTheme="minorEastAsia" w:cs="Helvetica" w:hint="eastAsia"/>
          <w:b w:val="0"/>
          <w:spacing w:val="15"/>
          <w:sz w:val="28"/>
          <w:szCs w:val="28"/>
        </w:rPr>
        <w:t>发展空间之举，而是对此新兴渠道从无序走向有序的正向推动，为产业活力构筑更大的市场空间。</w:t>
      </w:r>
      <w:proofErr w:type="gramStart"/>
      <w:r>
        <w:rPr>
          <w:rStyle w:val="ad"/>
          <w:rFonts w:asciiTheme="minorEastAsia" w:eastAsiaTheme="minorEastAsia" w:hAnsiTheme="minorEastAsia" w:cs="Helvetica" w:hint="eastAsia"/>
          <w:b w:val="0"/>
          <w:spacing w:val="15"/>
          <w:sz w:val="28"/>
          <w:szCs w:val="28"/>
        </w:rPr>
        <w:t>药品网售领域</w:t>
      </w:r>
      <w:proofErr w:type="gramEnd"/>
      <w:r>
        <w:rPr>
          <w:rStyle w:val="ad"/>
          <w:rFonts w:asciiTheme="minorEastAsia" w:eastAsiaTheme="minorEastAsia" w:hAnsiTheme="minorEastAsia" w:cs="Helvetica" w:hint="eastAsia"/>
          <w:b w:val="0"/>
          <w:spacing w:val="15"/>
          <w:sz w:val="28"/>
          <w:szCs w:val="28"/>
        </w:rPr>
        <w:t>或迎大考，也即将迎来其高质量发展的黄金时代。</w:t>
      </w:r>
    </w:p>
    <w:p w14:paraId="4D42D257"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drawing>
          <wp:inline distT="0" distB="0" distL="114300" distR="114300" wp14:anchorId="7CB298F2" wp14:editId="6AA268C8">
            <wp:extent cx="5266690" cy="2355215"/>
            <wp:effectExtent l="0" t="0" r="10160" b="6985"/>
            <wp:docPr id="10" name="图片 10" descr="6640257f847528aa9d3838bb92b6d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40257f847528aa9d3838bb92b6d17f"/>
                    <pic:cNvPicPr>
                      <a:picLocks noChangeAspect="1"/>
                    </pic:cNvPicPr>
                  </pic:nvPicPr>
                  <pic:blipFill>
                    <a:blip r:embed="rId11"/>
                    <a:stretch>
                      <a:fillRect/>
                    </a:stretch>
                  </pic:blipFill>
                  <pic:spPr>
                    <a:xfrm>
                      <a:off x="0" y="0"/>
                      <a:ext cx="5266690" cy="2355215"/>
                    </a:xfrm>
                    <a:prstGeom prst="rect">
                      <a:avLst/>
                    </a:prstGeom>
                  </pic:spPr>
                </pic:pic>
              </a:graphicData>
            </a:graphic>
          </wp:inline>
        </w:drawing>
      </w:r>
    </w:p>
    <w:p w14:paraId="178C2AD3"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微软雅黑" w:eastAsia="微软雅黑" w:hAnsi="微软雅黑" w:cs="微软雅黑"/>
          <w:color w:val="159196"/>
          <w:spacing w:val="15"/>
          <w:sz w:val="25"/>
          <w:szCs w:val="25"/>
          <w:shd w:val="clear" w:color="auto" w:fill="FFFFFF"/>
        </w:rPr>
        <w:t>2</w:t>
      </w:r>
      <w:r>
        <w:rPr>
          <w:rStyle w:val="ad"/>
          <w:rFonts w:ascii="微软雅黑" w:eastAsia="微软雅黑" w:hAnsi="微软雅黑" w:cs="微软雅黑" w:hint="eastAsia"/>
          <w:color w:val="159196"/>
          <w:spacing w:val="15"/>
          <w:sz w:val="25"/>
          <w:szCs w:val="25"/>
          <w:shd w:val="clear" w:color="auto" w:fill="FFFFFF"/>
        </w:rPr>
        <w:t>.疫情时代，药品全域零售市场应对诸多考验，已展现其独特的市场韧性</w:t>
      </w:r>
    </w:p>
    <w:p w14:paraId="7753A49C"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lastRenderedPageBreak/>
        <w:t>2020年疫情初期的全国性爆发，加速了药品销售从市场规模从线下到线上的初步迁移，</w:t>
      </w:r>
      <w:proofErr w:type="gramStart"/>
      <w:r>
        <w:rPr>
          <w:rStyle w:val="ad"/>
          <w:rFonts w:asciiTheme="minorEastAsia" w:eastAsiaTheme="minorEastAsia" w:hAnsiTheme="minorEastAsia" w:cs="Helvetica" w:hint="eastAsia"/>
          <w:b w:val="0"/>
          <w:spacing w:val="15"/>
          <w:sz w:val="28"/>
          <w:szCs w:val="28"/>
        </w:rPr>
        <w:t>医药电</w:t>
      </w:r>
      <w:proofErr w:type="gramEnd"/>
      <w:r>
        <w:rPr>
          <w:rStyle w:val="ad"/>
          <w:rFonts w:asciiTheme="minorEastAsia" w:eastAsiaTheme="minorEastAsia" w:hAnsiTheme="minorEastAsia" w:cs="Helvetica" w:hint="eastAsia"/>
          <w:b w:val="0"/>
          <w:spacing w:val="15"/>
          <w:sz w:val="28"/>
          <w:szCs w:val="28"/>
        </w:rPr>
        <w:t>商B2C市场的重要性不断提升。根据中康CMH数据显示，药品B2C市场两大头部平台于2022年上半年市场规模高达254亿，对比线下实体药店，市场重要性已高达12%，且仍持续提升。</w:t>
      </w:r>
    </w:p>
    <w:p w14:paraId="5EDEEB35"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drawing>
          <wp:inline distT="0" distB="0" distL="114300" distR="114300" wp14:anchorId="739ABE02" wp14:editId="12784E83">
            <wp:extent cx="5273040" cy="2641600"/>
            <wp:effectExtent l="0" t="0" r="3810" b="6350"/>
            <wp:docPr id="23" name="图片 23" descr="563dd7dbeb008891a7ad9620f685e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63dd7dbeb008891a7ad9620f685ef95"/>
                    <pic:cNvPicPr>
                      <a:picLocks noChangeAspect="1"/>
                    </pic:cNvPicPr>
                  </pic:nvPicPr>
                  <pic:blipFill>
                    <a:blip r:embed="rId12"/>
                    <a:stretch>
                      <a:fillRect/>
                    </a:stretch>
                  </pic:blipFill>
                  <pic:spPr>
                    <a:xfrm>
                      <a:off x="0" y="0"/>
                      <a:ext cx="5273040" cy="2641600"/>
                    </a:xfrm>
                    <a:prstGeom prst="rect">
                      <a:avLst/>
                    </a:prstGeom>
                  </pic:spPr>
                </pic:pic>
              </a:graphicData>
            </a:graphic>
          </wp:inline>
        </w:drawing>
      </w:r>
    </w:p>
    <w:p w14:paraId="28F237E2"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数字背后，我们看到在需求端，2020年初以来全国性的疫情环境催化了国民健康意识的逐步唤醒和健康期望的高涨，从未病先防到既病防变的全周期生命健康管理诉求在电商B2C渠道可见一斑。根据京东健康的数据显示，截至2022年9月，平台上的体外检测产品已覆盖40种以上疾病类型，整体类</w:t>
      </w:r>
      <w:proofErr w:type="gramStart"/>
      <w:r>
        <w:rPr>
          <w:rStyle w:val="ad"/>
          <w:rFonts w:asciiTheme="minorEastAsia" w:eastAsiaTheme="minorEastAsia" w:hAnsiTheme="minorEastAsia" w:cs="Helvetica" w:hint="eastAsia"/>
          <w:b w:val="0"/>
          <w:spacing w:val="15"/>
          <w:sz w:val="28"/>
          <w:szCs w:val="28"/>
        </w:rPr>
        <w:t>目规模同比</w:t>
      </w:r>
      <w:proofErr w:type="gramEnd"/>
      <w:r>
        <w:rPr>
          <w:rStyle w:val="ad"/>
          <w:rFonts w:asciiTheme="minorEastAsia" w:eastAsiaTheme="minorEastAsia" w:hAnsiTheme="minorEastAsia" w:cs="Helvetica" w:hint="eastAsia"/>
          <w:b w:val="0"/>
          <w:spacing w:val="15"/>
          <w:sz w:val="28"/>
          <w:szCs w:val="28"/>
        </w:rPr>
        <w:t>增幅高达367%。</w:t>
      </w:r>
    </w:p>
    <w:p w14:paraId="6F569498"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在供给端，平台方积极为</w:t>
      </w:r>
      <w:proofErr w:type="gramStart"/>
      <w:r>
        <w:rPr>
          <w:rStyle w:val="ad"/>
          <w:rFonts w:asciiTheme="minorEastAsia" w:eastAsiaTheme="minorEastAsia" w:hAnsiTheme="minorEastAsia" w:cs="Helvetica" w:hint="eastAsia"/>
          <w:b w:val="0"/>
          <w:spacing w:val="15"/>
          <w:sz w:val="28"/>
          <w:szCs w:val="28"/>
        </w:rPr>
        <w:t>药品网售环境</w:t>
      </w:r>
      <w:proofErr w:type="gramEnd"/>
      <w:r>
        <w:rPr>
          <w:rStyle w:val="ad"/>
          <w:rFonts w:asciiTheme="minorEastAsia" w:eastAsiaTheme="minorEastAsia" w:hAnsiTheme="minorEastAsia" w:cs="Helvetica" w:hint="eastAsia"/>
          <w:b w:val="0"/>
          <w:spacing w:val="15"/>
          <w:sz w:val="28"/>
          <w:szCs w:val="28"/>
        </w:rPr>
        <w:t>配置供应链资源，使得两大新兴渠道的药品齐全、可及性和供药便利性优势进一步凸显。在2022年上半年的区域性疫情突发环境下，O2O市场出现了暂时性的产品品类结构变化，可见该渠道在应对极端环</w:t>
      </w:r>
      <w:r>
        <w:rPr>
          <w:rStyle w:val="ad"/>
          <w:rFonts w:asciiTheme="minorEastAsia" w:eastAsiaTheme="minorEastAsia" w:hAnsiTheme="minorEastAsia" w:cs="Helvetica" w:hint="eastAsia"/>
          <w:b w:val="0"/>
          <w:spacing w:val="15"/>
          <w:sz w:val="28"/>
          <w:szCs w:val="28"/>
        </w:rPr>
        <w:lastRenderedPageBreak/>
        <w:t>境下患者用药需求方面，仍保有其独到的韧性。</w:t>
      </w:r>
    </w:p>
    <w:p w14:paraId="678F6D99"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b w:val="0"/>
          <w:noProof/>
          <w:spacing w:val="15"/>
          <w:sz w:val="28"/>
          <w:szCs w:val="28"/>
        </w:rPr>
        <w:drawing>
          <wp:inline distT="0" distB="0" distL="114300" distR="114300" wp14:anchorId="2C68ADC4" wp14:editId="46DEF831">
            <wp:extent cx="5262245" cy="2936240"/>
            <wp:effectExtent l="0" t="0" r="14605" b="16510"/>
            <wp:docPr id="24" name="图片 24" descr="6bc250bb919795d3bcb0566259f7b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bc250bb919795d3bcb0566259f7b58d"/>
                    <pic:cNvPicPr>
                      <a:picLocks noChangeAspect="1"/>
                    </pic:cNvPicPr>
                  </pic:nvPicPr>
                  <pic:blipFill>
                    <a:blip r:embed="rId13"/>
                    <a:stretch>
                      <a:fillRect/>
                    </a:stretch>
                  </pic:blipFill>
                  <pic:spPr>
                    <a:xfrm>
                      <a:off x="0" y="0"/>
                      <a:ext cx="5262245" cy="2936240"/>
                    </a:xfrm>
                    <a:prstGeom prst="rect">
                      <a:avLst/>
                    </a:prstGeom>
                  </pic:spPr>
                </pic:pic>
              </a:graphicData>
            </a:graphic>
          </wp:inline>
        </w:drawing>
      </w:r>
    </w:p>
    <w:p w14:paraId="046C7375"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微软雅黑" w:eastAsia="微软雅黑" w:hAnsi="微软雅黑" w:cs="微软雅黑"/>
          <w:color w:val="159196"/>
          <w:spacing w:val="15"/>
          <w:sz w:val="25"/>
          <w:szCs w:val="25"/>
          <w:shd w:val="clear" w:color="auto" w:fill="FFFFFF"/>
        </w:rPr>
        <w:t>3.</w:t>
      </w:r>
      <w:r>
        <w:rPr>
          <w:rStyle w:val="ad"/>
          <w:rFonts w:ascii="微软雅黑" w:eastAsia="微软雅黑" w:hAnsi="微软雅黑" w:cs="微软雅黑" w:hint="eastAsia"/>
          <w:color w:val="159196"/>
          <w:spacing w:val="15"/>
          <w:sz w:val="25"/>
          <w:szCs w:val="25"/>
          <w:shd w:val="clear" w:color="auto" w:fill="FFFFFF"/>
        </w:rPr>
        <w:t>O2O作为满足急性需求的渠道，连锁和工业需要为患者购药时共建更为短平快的链路；</w:t>
      </w:r>
    </w:p>
    <w:p w14:paraId="4F96000F"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b w:val="0"/>
          <w:spacing w:val="15"/>
          <w:sz w:val="28"/>
          <w:szCs w:val="28"/>
        </w:rPr>
        <w:t>对比线下实体药房渠道来看，患者在O2O渠道的购买偏好更趋于即时性的心智。根据中康CMH真实O2O订单数据来看，该渠道的客单价和</w:t>
      </w:r>
      <w:proofErr w:type="gramStart"/>
      <w:r>
        <w:rPr>
          <w:rStyle w:val="ad"/>
          <w:rFonts w:asciiTheme="minorEastAsia" w:eastAsiaTheme="minorEastAsia" w:hAnsiTheme="minorEastAsia" w:cs="Helvetica"/>
          <w:b w:val="0"/>
          <w:spacing w:val="15"/>
          <w:sz w:val="28"/>
          <w:szCs w:val="28"/>
        </w:rPr>
        <w:t>客单件数</w:t>
      </w:r>
      <w:proofErr w:type="gramEnd"/>
      <w:r>
        <w:rPr>
          <w:rStyle w:val="ad"/>
          <w:rFonts w:asciiTheme="minorEastAsia" w:eastAsiaTheme="minorEastAsia" w:hAnsiTheme="minorEastAsia" w:cs="Helvetica"/>
          <w:b w:val="0"/>
          <w:spacing w:val="15"/>
          <w:sz w:val="28"/>
          <w:szCs w:val="28"/>
        </w:rPr>
        <w:t>均低于线下实体药房购药订单。从数据上看，胃肠道用药、皮肤用药等O2O头部赛道中，治疗急性炎症的药物品种排名和份额普遍优于线下实体药房。</w:t>
      </w:r>
    </w:p>
    <w:p w14:paraId="488D0DE6"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lastRenderedPageBreak/>
        <w:drawing>
          <wp:inline distT="0" distB="0" distL="114300" distR="114300" wp14:anchorId="72E44E48" wp14:editId="3B9C223B">
            <wp:extent cx="5259705" cy="2728595"/>
            <wp:effectExtent l="0" t="0" r="17145" b="14605"/>
            <wp:docPr id="25" name="图片 25" descr="9278510e6f597f86bc139fa04c8f8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278510e6f597f86bc139fa04c8f8b12"/>
                    <pic:cNvPicPr>
                      <a:picLocks noChangeAspect="1"/>
                    </pic:cNvPicPr>
                  </pic:nvPicPr>
                  <pic:blipFill>
                    <a:blip r:embed="rId14"/>
                    <a:stretch>
                      <a:fillRect/>
                    </a:stretch>
                  </pic:blipFill>
                  <pic:spPr>
                    <a:xfrm>
                      <a:off x="0" y="0"/>
                      <a:ext cx="5259705" cy="2728595"/>
                    </a:xfrm>
                    <a:prstGeom prst="rect">
                      <a:avLst/>
                    </a:prstGeom>
                  </pic:spPr>
                </pic:pic>
              </a:graphicData>
            </a:graphic>
          </wp:inline>
        </w:drawing>
      </w:r>
    </w:p>
    <w:p w14:paraId="665B1136"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drawing>
          <wp:inline distT="0" distB="0" distL="114300" distR="114300" wp14:anchorId="6FDA17DC" wp14:editId="1CD23861">
            <wp:extent cx="5269865" cy="2695575"/>
            <wp:effectExtent l="0" t="0" r="6985" b="9525"/>
            <wp:docPr id="26" name="图片 26" descr="fa6fa517c5a3be2f6fb30ace68196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a6fa517c5a3be2f6fb30ace6819656e"/>
                    <pic:cNvPicPr>
                      <a:picLocks noChangeAspect="1"/>
                    </pic:cNvPicPr>
                  </pic:nvPicPr>
                  <pic:blipFill>
                    <a:blip r:embed="rId15"/>
                    <a:stretch>
                      <a:fillRect/>
                    </a:stretch>
                  </pic:blipFill>
                  <pic:spPr>
                    <a:xfrm>
                      <a:off x="0" y="0"/>
                      <a:ext cx="5269865" cy="2695575"/>
                    </a:xfrm>
                    <a:prstGeom prst="rect">
                      <a:avLst/>
                    </a:prstGeom>
                  </pic:spPr>
                </pic:pic>
              </a:graphicData>
            </a:graphic>
          </wp:inline>
        </w:drawing>
      </w:r>
    </w:p>
    <w:p w14:paraId="4EB02A98"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典型品种如吗丁</w:t>
      </w:r>
      <w:proofErr w:type="gramStart"/>
      <w:r>
        <w:rPr>
          <w:rStyle w:val="ad"/>
          <w:rFonts w:asciiTheme="minorEastAsia" w:eastAsiaTheme="minorEastAsia" w:hAnsiTheme="minorEastAsia" w:cs="Helvetica" w:hint="eastAsia"/>
          <w:b w:val="0"/>
          <w:spacing w:val="15"/>
          <w:sz w:val="28"/>
          <w:szCs w:val="28"/>
        </w:rPr>
        <w:t>啉</w:t>
      </w:r>
      <w:proofErr w:type="gramEnd"/>
      <w:r>
        <w:rPr>
          <w:rStyle w:val="ad"/>
          <w:rFonts w:asciiTheme="minorEastAsia" w:eastAsiaTheme="minorEastAsia" w:hAnsiTheme="minorEastAsia" w:cs="Helvetica" w:hint="eastAsia"/>
          <w:b w:val="0"/>
          <w:spacing w:val="15"/>
          <w:sz w:val="28"/>
          <w:szCs w:val="28"/>
        </w:rPr>
        <w:t>、百多</w:t>
      </w:r>
      <w:proofErr w:type="gramStart"/>
      <w:r>
        <w:rPr>
          <w:rStyle w:val="ad"/>
          <w:rFonts w:asciiTheme="minorEastAsia" w:eastAsiaTheme="minorEastAsia" w:hAnsiTheme="minorEastAsia" w:cs="Helvetica" w:hint="eastAsia"/>
          <w:b w:val="0"/>
          <w:spacing w:val="15"/>
          <w:sz w:val="28"/>
          <w:szCs w:val="28"/>
        </w:rPr>
        <w:t>邦</w:t>
      </w:r>
      <w:proofErr w:type="gramEnd"/>
      <w:r>
        <w:rPr>
          <w:rStyle w:val="ad"/>
          <w:rFonts w:asciiTheme="minorEastAsia" w:eastAsiaTheme="minorEastAsia" w:hAnsiTheme="minorEastAsia" w:cs="Helvetica" w:hint="eastAsia"/>
          <w:b w:val="0"/>
          <w:spacing w:val="15"/>
          <w:sz w:val="28"/>
          <w:szCs w:val="28"/>
        </w:rPr>
        <w:t>和男科用药爱</w:t>
      </w:r>
      <w:proofErr w:type="gramStart"/>
      <w:r>
        <w:rPr>
          <w:rStyle w:val="ad"/>
          <w:rFonts w:asciiTheme="minorEastAsia" w:eastAsiaTheme="minorEastAsia" w:hAnsiTheme="minorEastAsia" w:cs="Helvetica" w:hint="eastAsia"/>
          <w:b w:val="0"/>
          <w:spacing w:val="15"/>
          <w:sz w:val="28"/>
          <w:szCs w:val="28"/>
        </w:rPr>
        <w:t>廷</w:t>
      </w:r>
      <w:proofErr w:type="gramEnd"/>
      <w:r>
        <w:rPr>
          <w:rStyle w:val="ad"/>
          <w:rFonts w:asciiTheme="minorEastAsia" w:eastAsiaTheme="minorEastAsia" w:hAnsiTheme="minorEastAsia" w:cs="Helvetica" w:hint="eastAsia"/>
          <w:b w:val="0"/>
          <w:spacing w:val="15"/>
          <w:sz w:val="28"/>
          <w:szCs w:val="28"/>
        </w:rPr>
        <w:t>玖等品牌药物，在多品</w:t>
      </w:r>
      <w:proofErr w:type="gramStart"/>
      <w:r>
        <w:rPr>
          <w:rStyle w:val="ad"/>
          <w:rFonts w:asciiTheme="minorEastAsia" w:eastAsiaTheme="minorEastAsia" w:hAnsiTheme="minorEastAsia" w:cs="Helvetica" w:hint="eastAsia"/>
          <w:b w:val="0"/>
          <w:spacing w:val="15"/>
          <w:sz w:val="28"/>
          <w:szCs w:val="28"/>
        </w:rPr>
        <w:t>规</w:t>
      </w:r>
      <w:proofErr w:type="gramEnd"/>
      <w:r>
        <w:rPr>
          <w:rStyle w:val="ad"/>
          <w:rFonts w:asciiTheme="minorEastAsia" w:eastAsiaTheme="minorEastAsia" w:hAnsiTheme="minorEastAsia" w:cs="Helvetica" w:hint="eastAsia"/>
          <w:b w:val="0"/>
          <w:spacing w:val="15"/>
          <w:sz w:val="28"/>
          <w:szCs w:val="28"/>
        </w:rPr>
        <w:t>产品组合的基础上，其小规格产品所占O2O生意比重显著高于线下同期。</w:t>
      </w:r>
    </w:p>
    <w:p w14:paraId="575EEB39"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lastRenderedPageBreak/>
        <w:drawing>
          <wp:inline distT="0" distB="0" distL="114300" distR="114300" wp14:anchorId="47C9929E" wp14:editId="1B0A85C7">
            <wp:extent cx="5272405" cy="2827655"/>
            <wp:effectExtent l="0" t="0" r="4445" b="10795"/>
            <wp:docPr id="27" name="图片 27" descr="61e2b4d71bb424805b10da0abb79d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1e2b4d71bb424805b10da0abb79d9e4"/>
                    <pic:cNvPicPr>
                      <a:picLocks noChangeAspect="1"/>
                    </pic:cNvPicPr>
                  </pic:nvPicPr>
                  <pic:blipFill>
                    <a:blip r:embed="rId16"/>
                    <a:stretch>
                      <a:fillRect/>
                    </a:stretch>
                  </pic:blipFill>
                  <pic:spPr>
                    <a:xfrm>
                      <a:off x="0" y="0"/>
                      <a:ext cx="5272405" cy="2827655"/>
                    </a:xfrm>
                    <a:prstGeom prst="rect">
                      <a:avLst/>
                    </a:prstGeom>
                  </pic:spPr>
                </pic:pic>
              </a:graphicData>
            </a:graphic>
          </wp:inline>
        </w:drawing>
      </w:r>
    </w:p>
    <w:p w14:paraId="6F72DA06"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同时，从数据层面来看，购药者也倾向于将O2O作为夜间急用药场景的渠道满足。由此可见，购药者在O2O</w:t>
      </w:r>
      <w:proofErr w:type="gramStart"/>
      <w:r>
        <w:rPr>
          <w:rStyle w:val="ad"/>
          <w:rFonts w:asciiTheme="minorEastAsia" w:eastAsiaTheme="minorEastAsia" w:hAnsiTheme="minorEastAsia" w:cs="Helvetica" w:hint="eastAsia"/>
          <w:b w:val="0"/>
          <w:spacing w:val="15"/>
          <w:sz w:val="28"/>
          <w:szCs w:val="28"/>
        </w:rPr>
        <w:t>场域购药</w:t>
      </w:r>
      <w:proofErr w:type="gramEnd"/>
      <w:r>
        <w:rPr>
          <w:rStyle w:val="ad"/>
          <w:rFonts w:asciiTheme="minorEastAsia" w:eastAsiaTheme="minorEastAsia" w:hAnsiTheme="minorEastAsia" w:cs="Helvetica" w:hint="eastAsia"/>
          <w:b w:val="0"/>
          <w:spacing w:val="15"/>
          <w:sz w:val="28"/>
          <w:szCs w:val="28"/>
        </w:rPr>
        <w:t>旅程中拥有快速选药，尽快下单，焦急等药送达等心智，为购药者搭建一个更为短平快的购药链路，例如：</w:t>
      </w:r>
    </w:p>
    <w:p w14:paraId="2422FCBC"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1.积极露出与病症相关的有效信息，提高购药者的选药效率；</w:t>
      </w:r>
    </w:p>
    <w:p w14:paraId="6D468924"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2.在产品组合相对多元的基础上，可适当加强小规格产品在店铺内的露出；</w:t>
      </w:r>
    </w:p>
    <w:p w14:paraId="460829E8"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3.规范平台药品分类和上架产品的信息展示，减少错字少字，提高被正确搜索的概率，提高可及性。</w:t>
      </w:r>
    </w:p>
    <w:p w14:paraId="423C7EA0"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以上举措，意在帮助患者在急用药物场景时得以更高效的链路实现购药旅程，进一步凸显O2O渠道购药的便利性和可及性优势，避免仅用低价作为竞争力的恶性依赖，共建更为友好的O2O购药环境，并为患者提供更为优质的药事服务。</w:t>
      </w:r>
    </w:p>
    <w:p w14:paraId="25D295B2"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微软雅黑" w:eastAsia="微软雅黑" w:hAnsi="微软雅黑" w:cs="微软雅黑"/>
          <w:color w:val="159196"/>
          <w:spacing w:val="15"/>
          <w:sz w:val="25"/>
          <w:szCs w:val="25"/>
          <w:shd w:val="clear" w:color="auto" w:fill="FFFFFF"/>
        </w:rPr>
        <w:t>4.药品可及、种类齐全的优势未来将使B2C渠道成为一站式综合购</w:t>
      </w:r>
      <w:r>
        <w:rPr>
          <w:rStyle w:val="ad"/>
          <w:rFonts w:ascii="微软雅黑" w:eastAsia="微软雅黑" w:hAnsi="微软雅黑" w:cs="微软雅黑"/>
          <w:color w:val="159196"/>
          <w:spacing w:val="15"/>
          <w:sz w:val="25"/>
          <w:szCs w:val="25"/>
          <w:shd w:val="clear" w:color="auto" w:fill="FFFFFF"/>
        </w:rPr>
        <w:lastRenderedPageBreak/>
        <w:t>药的核心渠道之一</w:t>
      </w:r>
    </w:p>
    <w:p w14:paraId="1AC591C7"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proofErr w:type="gramStart"/>
      <w:r>
        <w:rPr>
          <w:rStyle w:val="ad"/>
          <w:rFonts w:asciiTheme="minorEastAsia" w:eastAsiaTheme="minorEastAsia" w:hAnsiTheme="minorEastAsia" w:cs="Helvetica" w:hint="eastAsia"/>
          <w:b w:val="0"/>
          <w:spacing w:val="15"/>
          <w:sz w:val="28"/>
          <w:szCs w:val="28"/>
        </w:rPr>
        <w:t>医药电</w:t>
      </w:r>
      <w:proofErr w:type="gramEnd"/>
      <w:r>
        <w:rPr>
          <w:rStyle w:val="ad"/>
          <w:rFonts w:asciiTheme="minorEastAsia" w:eastAsiaTheme="minorEastAsia" w:hAnsiTheme="minorEastAsia" w:cs="Helvetica" w:hint="eastAsia"/>
          <w:b w:val="0"/>
          <w:spacing w:val="15"/>
          <w:sz w:val="28"/>
          <w:szCs w:val="28"/>
        </w:rPr>
        <w:t>商B2C渠道</w:t>
      </w:r>
      <w:proofErr w:type="gramStart"/>
      <w:r>
        <w:rPr>
          <w:rStyle w:val="ad"/>
          <w:rFonts w:asciiTheme="minorEastAsia" w:eastAsiaTheme="minorEastAsia" w:hAnsiTheme="minorEastAsia" w:cs="Helvetica" w:hint="eastAsia"/>
          <w:b w:val="0"/>
          <w:spacing w:val="15"/>
          <w:sz w:val="28"/>
          <w:szCs w:val="28"/>
        </w:rPr>
        <w:t>经网售政策</w:t>
      </w:r>
      <w:proofErr w:type="gramEnd"/>
      <w:r>
        <w:rPr>
          <w:rStyle w:val="ad"/>
          <w:rFonts w:asciiTheme="minorEastAsia" w:eastAsiaTheme="minorEastAsia" w:hAnsiTheme="minorEastAsia" w:cs="Helvetica" w:hint="eastAsia"/>
          <w:b w:val="0"/>
          <w:spacing w:val="15"/>
          <w:sz w:val="28"/>
          <w:szCs w:val="28"/>
        </w:rPr>
        <w:t>环境逐步放开和疫情期间凸显的便利性优势，当前已渗透积累了一定的购药用户基础。该渠道前期增长迅速的核心根因主要在于进一步提升了药品可及性，得益于当前各大</w:t>
      </w:r>
      <w:proofErr w:type="gramStart"/>
      <w:r>
        <w:rPr>
          <w:rStyle w:val="ad"/>
          <w:rFonts w:asciiTheme="minorEastAsia" w:eastAsiaTheme="minorEastAsia" w:hAnsiTheme="minorEastAsia" w:cs="Helvetica" w:hint="eastAsia"/>
          <w:b w:val="0"/>
          <w:spacing w:val="15"/>
          <w:sz w:val="28"/>
          <w:szCs w:val="28"/>
        </w:rPr>
        <w:t>医药电</w:t>
      </w:r>
      <w:proofErr w:type="gramEnd"/>
      <w:r>
        <w:rPr>
          <w:rStyle w:val="ad"/>
          <w:rFonts w:asciiTheme="minorEastAsia" w:eastAsiaTheme="minorEastAsia" w:hAnsiTheme="minorEastAsia" w:cs="Helvetica" w:hint="eastAsia"/>
          <w:b w:val="0"/>
          <w:spacing w:val="15"/>
          <w:sz w:val="28"/>
          <w:szCs w:val="28"/>
        </w:rPr>
        <w:t>商平台的柔性供应链和仓储配送能力搭建之完善，这一点从时间和空间上均可弥补线下购药的局限性。从时间维度，用户通过B2C渠道，以物流的时间与自己亲自到医院或线下药房的购药取药时间成本进行置换，实现指尖操作即可次日达或当日达的药品可及；从空间维度，线</w:t>
      </w:r>
      <w:proofErr w:type="gramStart"/>
      <w:r>
        <w:rPr>
          <w:rStyle w:val="ad"/>
          <w:rFonts w:asciiTheme="minorEastAsia" w:eastAsiaTheme="minorEastAsia" w:hAnsiTheme="minorEastAsia" w:cs="Helvetica" w:hint="eastAsia"/>
          <w:b w:val="0"/>
          <w:spacing w:val="15"/>
          <w:sz w:val="28"/>
          <w:szCs w:val="28"/>
        </w:rPr>
        <w:t>上渠道</w:t>
      </w:r>
      <w:proofErr w:type="gramEnd"/>
      <w:r>
        <w:rPr>
          <w:rStyle w:val="ad"/>
          <w:rFonts w:asciiTheme="minorEastAsia" w:eastAsiaTheme="minorEastAsia" w:hAnsiTheme="minorEastAsia" w:cs="Helvetica" w:hint="eastAsia"/>
          <w:b w:val="0"/>
          <w:spacing w:val="15"/>
          <w:sz w:val="28"/>
          <w:szCs w:val="28"/>
        </w:rPr>
        <w:t>一不受线下药店的门</w:t>
      </w:r>
      <w:proofErr w:type="gramStart"/>
      <w:r>
        <w:rPr>
          <w:rStyle w:val="ad"/>
          <w:rFonts w:asciiTheme="minorEastAsia" w:eastAsiaTheme="minorEastAsia" w:hAnsiTheme="minorEastAsia" w:cs="Helvetica" w:hint="eastAsia"/>
          <w:b w:val="0"/>
          <w:spacing w:val="15"/>
          <w:sz w:val="28"/>
          <w:szCs w:val="28"/>
        </w:rPr>
        <w:t>店空间</w:t>
      </w:r>
      <w:proofErr w:type="gramEnd"/>
      <w:r>
        <w:rPr>
          <w:rStyle w:val="ad"/>
          <w:rFonts w:asciiTheme="minorEastAsia" w:eastAsiaTheme="minorEastAsia" w:hAnsiTheme="minorEastAsia" w:cs="Helvetica" w:hint="eastAsia"/>
          <w:b w:val="0"/>
          <w:spacing w:val="15"/>
          <w:sz w:val="28"/>
          <w:szCs w:val="28"/>
        </w:rPr>
        <w:t>限制，药品更为齐全，且分类明晰，可自主搜索关键词，整体体验链路更为流畅、便利性更强，二不受地理位置限制，下沉区域患者通过</w:t>
      </w:r>
      <w:proofErr w:type="spellStart"/>
      <w:r>
        <w:rPr>
          <w:rStyle w:val="ad"/>
          <w:rFonts w:asciiTheme="minorEastAsia" w:eastAsiaTheme="minorEastAsia" w:hAnsiTheme="minorEastAsia" w:cs="Helvetica" w:hint="eastAsia"/>
          <w:b w:val="0"/>
          <w:spacing w:val="15"/>
          <w:sz w:val="28"/>
          <w:szCs w:val="28"/>
        </w:rPr>
        <w:t>B2C</w:t>
      </w:r>
      <w:proofErr w:type="spellEnd"/>
      <w:r>
        <w:rPr>
          <w:rStyle w:val="ad"/>
          <w:rFonts w:asciiTheme="minorEastAsia" w:eastAsiaTheme="minorEastAsia" w:hAnsiTheme="minorEastAsia" w:cs="Helvetica" w:hint="eastAsia"/>
          <w:b w:val="0"/>
          <w:spacing w:val="15"/>
          <w:sz w:val="28"/>
          <w:szCs w:val="28"/>
        </w:rPr>
        <w:t>渠道购药，及时弥补其区县线下购药远、找药难等痛点，这一点在处方药尤其是慢病类药物的购买人群中更为显著。根据京东健康数据显示，来自三线及以下城市肿瘤药物的线上购药患者比例已近半（46%），同样的占比在心脑血管用药领域甚至高达90%左右。由此可见，处方药物尤其是慢病类药物在B2C渠道针对下沉区域市场的市场机会，仍大有空间。</w:t>
      </w:r>
    </w:p>
    <w:p w14:paraId="2876370B"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另一方面，我们从数据上可以看到，当前</w:t>
      </w:r>
      <w:proofErr w:type="gramStart"/>
      <w:r>
        <w:rPr>
          <w:rStyle w:val="ad"/>
          <w:rFonts w:asciiTheme="minorEastAsia" w:eastAsiaTheme="minorEastAsia" w:hAnsiTheme="minorEastAsia" w:cs="Helvetica" w:hint="eastAsia"/>
          <w:b w:val="0"/>
          <w:spacing w:val="15"/>
          <w:sz w:val="28"/>
          <w:szCs w:val="28"/>
        </w:rPr>
        <w:t>医药电</w:t>
      </w:r>
      <w:proofErr w:type="gramEnd"/>
      <w:r>
        <w:rPr>
          <w:rStyle w:val="ad"/>
          <w:rFonts w:asciiTheme="minorEastAsia" w:eastAsiaTheme="minorEastAsia" w:hAnsiTheme="minorEastAsia" w:cs="Helvetica" w:hint="eastAsia"/>
          <w:b w:val="0"/>
          <w:spacing w:val="15"/>
          <w:sz w:val="28"/>
          <w:szCs w:val="28"/>
        </w:rPr>
        <w:t>商B2C渠道已从扩大用户基础的阶段逐步走向用户粘性提升的市场发展导向。从中康CMH数据来看，药品市场中，无论是在OTC或处方药领域，多包装产品的比重均在逐年提升。处方药领域受</w:t>
      </w:r>
      <w:r>
        <w:rPr>
          <w:rStyle w:val="ad"/>
          <w:rFonts w:asciiTheme="minorEastAsia" w:eastAsiaTheme="minorEastAsia" w:hAnsiTheme="minorEastAsia" w:cs="Helvetica" w:hint="eastAsia"/>
          <w:b w:val="0"/>
          <w:spacing w:val="15"/>
          <w:sz w:val="28"/>
          <w:szCs w:val="28"/>
        </w:rPr>
        <w:lastRenderedPageBreak/>
        <w:t>慢性病用药品类具备用药依从性较强的特点驱动，其多包装产品规模占比略高于OTC药物。</w:t>
      </w:r>
    </w:p>
    <w:p w14:paraId="5A2A59DE"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drawing>
          <wp:inline distT="0" distB="0" distL="114300" distR="114300" wp14:anchorId="7DBAD69E" wp14:editId="03C85580">
            <wp:extent cx="5266055" cy="2788285"/>
            <wp:effectExtent l="0" t="0" r="10795" b="12065"/>
            <wp:docPr id="28" name="图片 28" descr="8308fca658067d235d19f691d8d84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308fca658067d235d19f691d8d84e52"/>
                    <pic:cNvPicPr>
                      <a:picLocks noChangeAspect="1"/>
                    </pic:cNvPicPr>
                  </pic:nvPicPr>
                  <pic:blipFill>
                    <a:blip r:embed="rId17"/>
                    <a:stretch>
                      <a:fillRect/>
                    </a:stretch>
                  </pic:blipFill>
                  <pic:spPr>
                    <a:xfrm>
                      <a:off x="0" y="0"/>
                      <a:ext cx="5266055" cy="2788285"/>
                    </a:xfrm>
                    <a:prstGeom prst="rect">
                      <a:avLst/>
                    </a:prstGeom>
                  </pic:spPr>
                </pic:pic>
              </a:graphicData>
            </a:graphic>
          </wp:inline>
        </w:drawing>
      </w:r>
    </w:p>
    <w:p w14:paraId="25C66E52"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细分至药品品类来看，头部品类如OTC领域的妇产科用药、维生素矿物质补充剂及胃肠道疾病用药，以及处方药领域的糖尿病用药、胃肠道疾病用药及血液和造血系统用药等药品的多包装产品规模占比均高达6成以上，其中慢病用药中的高血压用药，其多包装产品规模占比高达70%以上。患者</w:t>
      </w:r>
      <w:proofErr w:type="gramStart"/>
      <w:r>
        <w:rPr>
          <w:rStyle w:val="ad"/>
          <w:rFonts w:asciiTheme="minorEastAsia" w:eastAsiaTheme="minorEastAsia" w:hAnsiTheme="minorEastAsia" w:cs="Helvetica" w:hint="eastAsia"/>
          <w:b w:val="0"/>
          <w:spacing w:val="15"/>
          <w:sz w:val="28"/>
          <w:szCs w:val="28"/>
        </w:rPr>
        <w:t>的囤药心智</w:t>
      </w:r>
      <w:proofErr w:type="gramEnd"/>
      <w:r>
        <w:rPr>
          <w:rStyle w:val="ad"/>
          <w:rFonts w:asciiTheme="minorEastAsia" w:eastAsiaTheme="minorEastAsia" w:hAnsiTheme="minorEastAsia" w:cs="Helvetica" w:hint="eastAsia"/>
          <w:b w:val="0"/>
          <w:spacing w:val="15"/>
          <w:sz w:val="28"/>
          <w:szCs w:val="28"/>
        </w:rPr>
        <w:t>养成，可见一斑。</w:t>
      </w:r>
    </w:p>
    <w:p w14:paraId="4882FD01"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lastRenderedPageBreak/>
        <w:drawing>
          <wp:inline distT="0" distB="0" distL="114300" distR="114300" wp14:anchorId="3784CAC5" wp14:editId="7C63B50A">
            <wp:extent cx="5267960" cy="2706370"/>
            <wp:effectExtent l="0" t="0" r="8890" b="17780"/>
            <wp:docPr id="29" name="图片 29" descr="1682df8db944e62a71157c940ea4d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82df8db944e62a71157c940ea4d39c"/>
                    <pic:cNvPicPr>
                      <a:picLocks noChangeAspect="1"/>
                    </pic:cNvPicPr>
                  </pic:nvPicPr>
                  <pic:blipFill>
                    <a:blip r:embed="rId18"/>
                    <a:stretch>
                      <a:fillRect/>
                    </a:stretch>
                  </pic:blipFill>
                  <pic:spPr>
                    <a:xfrm>
                      <a:off x="0" y="0"/>
                      <a:ext cx="5267960" cy="2706370"/>
                    </a:xfrm>
                    <a:prstGeom prst="rect">
                      <a:avLst/>
                    </a:prstGeom>
                  </pic:spPr>
                </pic:pic>
              </a:graphicData>
            </a:graphic>
          </wp:inline>
        </w:drawing>
      </w:r>
    </w:p>
    <w:p w14:paraId="6430F890" w14:textId="77777777" w:rsidR="003F5F97" w:rsidRDefault="00000000">
      <w:pPr>
        <w:ind w:firstLineChars="200" w:firstLine="620"/>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spacing w:val="15"/>
          <w:sz w:val="28"/>
          <w:szCs w:val="28"/>
        </w:rPr>
        <w:t>究其背后的原因，仍得回归到购药人群结构来看。根据京东消费及产业发展研究院数据显示，当前</w:t>
      </w:r>
      <w:proofErr w:type="gramStart"/>
      <w:r>
        <w:rPr>
          <w:rStyle w:val="ad"/>
          <w:rFonts w:asciiTheme="minorEastAsia" w:eastAsiaTheme="minorEastAsia" w:hAnsiTheme="minorEastAsia" w:cs="Helvetica" w:hint="eastAsia"/>
          <w:b w:val="0"/>
          <w:spacing w:val="15"/>
          <w:sz w:val="28"/>
          <w:szCs w:val="28"/>
        </w:rPr>
        <w:t>医药电商消费</w:t>
      </w:r>
      <w:proofErr w:type="gramEnd"/>
      <w:r>
        <w:rPr>
          <w:rStyle w:val="ad"/>
          <w:rFonts w:asciiTheme="minorEastAsia" w:eastAsiaTheme="minorEastAsia" w:hAnsiTheme="minorEastAsia" w:cs="Helvetica" w:hint="eastAsia"/>
          <w:b w:val="0"/>
          <w:spacing w:val="15"/>
          <w:sz w:val="28"/>
          <w:szCs w:val="28"/>
        </w:rPr>
        <w:t>人群仍以26-45岁的中青年为主。相对于更年轻的Z时代和更年长的中老年人群，他们主要承担着家庭购药者的角色，整体消费类型更为均衡，以覆盖家庭健康所需为主要目的进行备药。从结果上来看，在2022年618期间，整个京东健康渠道上的健康消费产品及服务的人群中，标签为“家庭用户”的占比高达68%，该人群对应的人均订单量、消费件数、复</w:t>
      </w:r>
      <w:proofErr w:type="gramStart"/>
      <w:r>
        <w:rPr>
          <w:rStyle w:val="ad"/>
          <w:rFonts w:asciiTheme="minorEastAsia" w:eastAsiaTheme="minorEastAsia" w:hAnsiTheme="minorEastAsia" w:cs="Helvetica" w:hint="eastAsia"/>
          <w:b w:val="0"/>
          <w:spacing w:val="15"/>
          <w:sz w:val="28"/>
          <w:szCs w:val="28"/>
        </w:rPr>
        <w:t>购行为</w:t>
      </w:r>
      <w:proofErr w:type="gramEnd"/>
      <w:r>
        <w:rPr>
          <w:rStyle w:val="ad"/>
          <w:rFonts w:asciiTheme="minorEastAsia" w:eastAsiaTheme="minorEastAsia" w:hAnsiTheme="minorEastAsia" w:cs="Helvetica" w:hint="eastAsia"/>
          <w:b w:val="0"/>
          <w:spacing w:val="15"/>
          <w:sz w:val="28"/>
          <w:szCs w:val="28"/>
        </w:rPr>
        <w:t>都明显高于非家庭用户。可见，B2C渠道成为家庭一站式综合购药核心渠道之一的市场趋势不可小觑。</w:t>
      </w:r>
    </w:p>
    <w:p w14:paraId="45BC870D" w14:textId="77777777" w:rsidR="003F5F97" w:rsidRDefault="003F5F97">
      <w:pPr>
        <w:jc w:val="left"/>
        <w:rPr>
          <w:rStyle w:val="ad"/>
          <w:rFonts w:asciiTheme="minorEastAsia" w:eastAsiaTheme="minorEastAsia" w:hAnsiTheme="minorEastAsia" w:cs="Helvetica"/>
          <w:b w:val="0"/>
          <w:spacing w:val="15"/>
          <w:sz w:val="28"/>
          <w:szCs w:val="28"/>
        </w:rPr>
      </w:pPr>
    </w:p>
    <w:p w14:paraId="6C95D649" w14:textId="77777777" w:rsidR="003F5F97" w:rsidRDefault="003F5F97">
      <w:pPr>
        <w:jc w:val="center"/>
        <w:rPr>
          <w:rStyle w:val="ad"/>
          <w:rFonts w:asciiTheme="minorEastAsia" w:hAnsiTheme="minorEastAsia" w:cs="Helvetica"/>
          <w:b w:val="0"/>
          <w:spacing w:val="15"/>
          <w:sz w:val="28"/>
          <w:szCs w:val="28"/>
        </w:rPr>
      </w:pPr>
    </w:p>
    <w:p w14:paraId="4B4AA32F" w14:textId="77777777" w:rsidR="003F5F97" w:rsidRDefault="003F5F97">
      <w:pPr>
        <w:widowControl/>
        <w:spacing w:before="100" w:beforeAutospacing="1" w:after="100" w:afterAutospacing="1" w:line="900" w:lineRule="atLeast"/>
        <w:outlineLvl w:val="1"/>
        <w:rPr>
          <w:rFonts w:ascii="微软雅黑" w:eastAsia="微软雅黑" w:hAnsi="微软雅黑" w:cs="宋体"/>
          <w:b/>
          <w:color w:val="333333"/>
          <w:kern w:val="36"/>
          <w:sz w:val="24"/>
        </w:rPr>
      </w:pPr>
    </w:p>
    <w:p w14:paraId="096314E0" w14:textId="77777777" w:rsidR="003F5F97"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附件3</w:t>
      </w:r>
    </w:p>
    <w:p w14:paraId="39247DD6" w14:textId="77777777" w:rsidR="003F5F97" w:rsidRDefault="003F5F97">
      <w:pPr>
        <w:rPr>
          <w:rFonts w:ascii="微软雅黑" w:eastAsia="微软雅黑" w:hAnsi="微软雅黑" w:cs="宋体"/>
          <w:color w:val="333333"/>
          <w:spacing w:val="8"/>
          <w:kern w:val="0"/>
          <w:sz w:val="33"/>
          <w:szCs w:val="33"/>
        </w:rPr>
      </w:pPr>
    </w:p>
    <w:p w14:paraId="47FC57E1" w14:textId="77777777" w:rsidR="003F5F97" w:rsidRDefault="00000000">
      <w:pPr>
        <w:jc w:val="left"/>
      </w:pPr>
      <w:r>
        <w:rPr>
          <w:rFonts w:ascii="微软雅黑" w:eastAsia="微软雅黑" w:hAnsi="微软雅黑" w:cs="宋体" w:hint="eastAsia"/>
          <w:color w:val="333333"/>
          <w:spacing w:val="8"/>
          <w:kern w:val="0"/>
          <w:sz w:val="33"/>
          <w:szCs w:val="33"/>
        </w:rPr>
        <w:t>工信部中国医药工业百强榜发布</w:t>
      </w:r>
    </w:p>
    <w:p w14:paraId="36C4241C" w14:textId="77777777" w:rsidR="003F5F97" w:rsidRDefault="003F5F97">
      <w:pPr>
        <w:jc w:val="left"/>
      </w:pPr>
    </w:p>
    <w:p w14:paraId="1DAA2A0E" w14:textId="77777777" w:rsidR="003F5F97" w:rsidRDefault="00000000">
      <w:pPr>
        <w:pStyle w:val="ab"/>
        <w:spacing w:before="0" w:beforeAutospacing="0" w:after="0" w:afterAutospacing="0"/>
        <w:ind w:right="120"/>
        <w:jc w:val="both"/>
        <w:rPr>
          <w:rStyle w:val="ad"/>
          <w:rFonts w:ascii="微软雅黑" w:eastAsia="微软雅黑" w:hAnsi="微软雅黑" w:cs="微软雅黑"/>
          <w:color w:val="0A6EBF"/>
          <w:spacing w:val="8"/>
          <w:sz w:val="28"/>
          <w:szCs w:val="28"/>
          <w:shd w:val="clear" w:color="auto" w:fill="FFFFFF"/>
        </w:rPr>
      </w:pPr>
      <w:proofErr w:type="gramStart"/>
      <w:r>
        <w:rPr>
          <w:rFonts w:hint="eastAsia"/>
        </w:rPr>
        <w:t>赛柏蓝</w:t>
      </w:r>
      <w:proofErr w:type="gramEnd"/>
      <w:r>
        <w:rPr>
          <w:rFonts w:hint="eastAsia"/>
        </w:rPr>
        <w:t xml:space="preserve"> 2022-12-18</w:t>
      </w:r>
    </w:p>
    <w:p w14:paraId="241C136F" w14:textId="77777777" w:rsidR="003F5F97" w:rsidRDefault="003F5F97">
      <w:pPr>
        <w:pStyle w:val="ab"/>
        <w:spacing w:before="0" w:beforeAutospacing="0" w:after="0" w:afterAutospacing="0"/>
        <w:ind w:left="120" w:right="120"/>
        <w:jc w:val="both"/>
        <w:rPr>
          <w:rStyle w:val="ad"/>
          <w:rFonts w:ascii="微软雅黑" w:eastAsia="微软雅黑" w:hAnsi="微软雅黑" w:cs="微软雅黑"/>
          <w:color w:val="0A6EBF"/>
          <w:spacing w:val="8"/>
          <w:sz w:val="28"/>
          <w:szCs w:val="28"/>
          <w:shd w:val="clear" w:color="auto" w:fill="FFFFFF"/>
        </w:rPr>
      </w:pPr>
    </w:p>
    <w:p w14:paraId="64225394" w14:textId="77777777" w:rsidR="003F5F97" w:rsidRDefault="00000000">
      <w:pPr>
        <w:pStyle w:val="ab"/>
        <w:rPr>
          <w:rStyle w:val="ad"/>
          <w:rFonts w:ascii="微软雅黑" w:eastAsia="微软雅黑" w:hAnsi="微软雅黑" w:cs="微软雅黑"/>
          <w:color w:val="0A6EBF"/>
          <w:spacing w:val="8"/>
          <w:sz w:val="28"/>
          <w:szCs w:val="28"/>
          <w:shd w:val="clear" w:color="auto" w:fill="FFFFFF"/>
        </w:rPr>
      </w:pPr>
      <w:r>
        <w:rPr>
          <w:rStyle w:val="ad"/>
          <w:rFonts w:ascii="微软雅黑" w:eastAsia="微软雅黑" w:hAnsi="微软雅黑" w:cs="微软雅黑" w:hint="eastAsia"/>
          <w:color w:val="0A6EBF"/>
          <w:spacing w:val="8"/>
          <w:sz w:val="28"/>
          <w:szCs w:val="28"/>
          <w:shd w:val="clear" w:color="auto" w:fill="FFFFFF"/>
        </w:rPr>
        <w:t>01工信部2021年中国医药工业百强榜发布</w:t>
      </w:r>
    </w:p>
    <w:p w14:paraId="13ED2ED5" w14:textId="77777777" w:rsidR="003F5F97" w:rsidRDefault="00000000">
      <w:pPr>
        <w:pStyle w:val="ab"/>
        <w:ind w:firstLineChars="200" w:firstLine="620"/>
        <w:rPr>
          <w:rFonts w:ascii="微软雅黑" w:eastAsia="微软雅黑" w:hAnsi="微软雅黑"/>
          <w:b/>
          <w:bCs/>
          <w:color w:val="3DA742"/>
          <w:spacing w:val="15"/>
          <w:sz w:val="28"/>
          <w:szCs w:val="28"/>
        </w:rPr>
      </w:pPr>
      <w:r>
        <w:rPr>
          <w:rStyle w:val="ad"/>
          <w:rFonts w:asciiTheme="minorEastAsia" w:hAnsiTheme="minorEastAsia" w:cs="Helvetica" w:hint="eastAsia"/>
          <w:b w:val="0"/>
          <w:spacing w:val="15"/>
          <w:sz w:val="28"/>
          <w:szCs w:val="28"/>
        </w:rPr>
        <w:t>12月18日下午，在2022（第39届）全国医药工业信息年会上，“2021年度中国医药工业百强榜”发布。</w:t>
      </w:r>
    </w:p>
    <w:p w14:paraId="0D2A6199" w14:textId="77777777" w:rsidR="003F5F97" w:rsidRDefault="00000000">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具体来看，今年进入中国医药工业百强企业榜单前10名的企业如下：</w:t>
      </w:r>
    </w:p>
    <w:p w14:paraId="2DEED13F" w14:textId="77777777" w:rsidR="003F5F97" w:rsidRDefault="00000000">
      <w:pPr>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noProof/>
          <w:sz w:val="28"/>
          <w:szCs w:val="28"/>
        </w:rPr>
        <w:drawing>
          <wp:inline distT="0" distB="0" distL="114300" distR="114300" wp14:anchorId="182539CB" wp14:editId="6726EFA5">
            <wp:extent cx="5266690" cy="3823970"/>
            <wp:effectExtent l="0" t="0" r="10160" b="5080"/>
            <wp:docPr id="4" name="图片 4" descr="99b66d464ae9471a32fb0e6e21e1d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b66d464ae9471a32fb0e6e21e1dbac"/>
                    <pic:cNvPicPr>
                      <a:picLocks noChangeAspect="1"/>
                    </pic:cNvPicPr>
                  </pic:nvPicPr>
                  <pic:blipFill>
                    <a:blip r:embed="rId19"/>
                    <a:stretch>
                      <a:fillRect/>
                    </a:stretch>
                  </pic:blipFill>
                  <pic:spPr>
                    <a:xfrm>
                      <a:off x="0" y="0"/>
                      <a:ext cx="5266690" cy="3823970"/>
                    </a:xfrm>
                    <a:prstGeom prst="rect">
                      <a:avLst/>
                    </a:prstGeom>
                  </pic:spPr>
                </pic:pic>
              </a:graphicData>
            </a:graphic>
          </wp:inline>
        </w:drawing>
      </w:r>
    </w:p>
    <w:p w14:paraId="3DDE2D3C"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lastRenderedPageBreak/>
        <w:t>在上一年度的工信部中国医药工业百强企业中，前10名的</w:t>
      </w:r>
      <w:proofErr w:type="gramStart"/>
      <w:r>
        <w:rPr>
          <w:rStyle w:val="ad"/>
          <w:rFonts w:asciiTheme="minorEastAsia" w:hAnsiTheme="minorEastAsia" w:cs="Helvetica" w:hint="eastAsia"/>
          <w:b w:val="0"/>
          <w:spacing w:val="15"/>
          <w:kern w:val="0"/>
          <w:sz w:val="28"/>
          <w:szCs w:val="28"/>
        </w:rPr>
        <w:t>药企依然</w:t>
      </w:r>
      <w:proofErr w:type="gramEnd"/>
      <w:r>
        <w:rPr>
          <w:rStyle w:val="ad"/>
          <w:rFonts w:asciiTheme="minorEastAsia" w:hAnsiTheme="minorEastAsia" w:cs="Helvetica" w:hint="eastAsia"/>
          <w:b w:val="0"/>
          <w:spacing w:val="15"/>
          <w:kern w:val="0"/>
          <w:sz w:val="28"/>
          <w:szCs w:val="28"/>
        </w:rPr>
        <w:t>蝉联今年的10强，但除中国医药和华润医药外，排名均出现了变动。上一年的前10强依次为：中国医药集团有限公司、扬子江药业集团有限公司、广州医药集团有限公司、江苏恒瑞医药股份有限公司、华润医药控股有限公司、修正药业集团股份有限公司、上海复星医药（集团）股份有限公司、上海医药（集团）有限公司、齐鲁制药集团有限公司、石药控股集团有限公司。</w:t>
      </w:r>
    </w:p>
    <w:p w14:paraId="0F7A3E5A"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t>据赛</w:t>
      </w:r>
      <w:proofErr w:type="gramStart"/>
      <w:r>
        <w:rPr>
          <w:rStyle w:val="ad"/>
          <w:rFonts w:asciiTheme="minorEastAsia" w:hAnsiTheme="minorEastAsia" w:cs="Helvetica" w:hint="eastAsia"/>
          <w:b w:val="0"/>
          <w:spacing w:val="15"/>
          <w:kern w:val="0"/>
          <w:sz w:val="28"/>
          <w:szCs w:val="28"/>
        </w:rPr>
        <w:t>柏蓝现场</w:t>
      </w:r>
      <w:proofErr w:type="gramEnd"/>
      <w:r>
        <w:rPr>
          <w:rStyle w:val="ad"/>
          <w:rFonts w:asciiTheme="minorEastAsia" w:hAnsiTheme="minorEastAsia" w:cs="Helvetica" w:hint="eastAsia"/>
          <w:b w:val="0"/>
          <w:spacing w:val="15"/>
          <w:kern w:val="0"/>
          <w:sz w:val="28"/>
          <w:szCs w:val="28"/>
        </w:rPr>
        <w:t>了解，中国医药工业百强企业的评选以及排名会经过材料初审、工信部专家一审、工信部专家二审、工信部复审、工信部综合审定等环节。</w:t>
      </w:r>
    </w:p>
    <w:p w14:paraId="5FB6B738"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t>参与排名的全部为医药工业企业，指标依据为2021年医药工业主营业务收入，排序以工业企业法人单位为基础，对于已合并报表上报的法人单位，其合并范围内的子公司不再另行参与排序。</w:t>
      </w:r>
    </w:p>
    <w:p w14:paraId="7F9FC5D8" w14:textId="77777777" w:rsidR="003F5F97" w:rsidRDefault="00000000">
      <w:pPr>
        <w:pStyle w:val="ab"/>
        <w:rPr>
          <w:rStyle w:val="ad"/>
          <w:rFonts w:ascii="微软雅黑" w:eastAsia="微软雅黑" w:hAnsi="微软雅黑" w:cs="微软雅黑"/>
          <w:color w:val="0A6EBF"/>
          <w:spacing w:val="8"/>
          <w:sz w:val="28"/>
          <w:szCs w:val="28"/>
          <w:shd w:val="clear" w:color="auto" w:fill="FFFFFF"/>
        </w:rPr>
      </w:pPr>
      <w:r>
        <w:rPr>
          <w:rStyle w:val="ad"/>
          <w:rFonts w:ascii="微软雅黑" w:eastAsia="微软雅黑" w:hAnsi="微软雅黑" w:cs="微软雅黑" w:hint="eastAsia"/>
          <w:color w:val="0A6EBF"/>
          <w:spacing w:val="8"/>
          <w:sz w:val="28"/>
          <w:szCs w:val="28"/>
          <w:shd w:val="clear" w:color="auto" w:fill="FFFFFF"/>
        </w:rPr>
        <w:t>02营</w:t>
      </w:r>
      <w:proofErr w:type="gramStart"/>
      <w:r>
        <w:rPr>
          <w:rStyle w:val="ad"/>
          <w:rFonts w:ascii="微软雅黑" w:eastAsia="微软雅黑" w:hAnsi="微软雅黑" w:cs="微软雅黑" w:hint="eastAsia"/>
          <w:color w:val="0A6EBF"/>
          <w:spacing w:val="8"/>
          <w:sz w:val="28"/>
          <w:szCs w:val="28"/>
          <w:shd w:val="clear" w:color="auto" w:fill="FFFFFF"/>
        </w:rPr>
        <w:t>收规模</w:t>
      </w:r>
      <w:proofErr w:type="gramEnd"/>
      <w:r>
        <w:rPr>
          <w:rStyle w:val="ad"/>
          <w:rFonts w:ascii="微软雅黑" w:eastAsia="微软雅黑" w:hAnsi="微软雅黑" w:cs="微软雅黑" w:hint="eastAsia"/>
          <w:color w:val="0A6EBF"/>
          <w:spacing w:val="8"/>
          <w:sz w:val="28"/>
          <w:szCs w:val="28"/>
          <w:shd w:val="clear" w:color="auto" w:fill="FFFFFF"/>
        </w:rPr>
        <w:t>首破万亿 百强企业门槛升高</w:t>
      </w:r>
    </w:p>
    <w:p w14:paraId="2F75DBE4"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t>参与排名的全部为医药工业企业，指标依据为2021年医药工业主营业务收入，排序以工业企业法人单位为基础，对于已合并报表上报的法人单位，其合并范围内的子公司不再另行参与排序。</w:t>
      </w:r>
    </w:p>
    <w:p w14:paraId="57818D5F"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t>2021年，医药行业在严峻的环境下实现恢复性增长，营</w:t>
      </w:r>
      <w:proofErr w:type="gramStart"/>
      <w:r>
        <w:rPr>
          <w:rStyle w:val="ad"/>
          <w:rFonts w:asciiTheme="minorEastAsia" w:hAnsiTheme="minorEastAsia" w:cs="Helvetica" w:hint="eastAsia"/>
          <w:b w:val="0"/>
          <w:spacing w:val="15"/>
          <w:kern w:val="0"/>
          <w:sz w:val="28"/>
          <w:szCs w:val="28"/>
        </w:rPr>
        <w:t>收</w:t>
      </w:r>
      <w:r>
        <w:rPr>
          <w:rStyle w:val="ad"/>
          <w:rFonts w:asciiTheme="minorEastAsia" w:hAnsiTheme="minorEastAsia" w:cs="Helvetica" w:hint="eastAsia"/>
          <w:b w:val="0"/>
          <w:spacing w:val="15"/>
          <w:kern w:val="0"/>
          <w:sz w:val="28"/>
          <w:szCs w:val="28"/>
        </w:rPr>
        <w:lastRenderedPageBreak/>
        <w:t>规模</w:t>
      </w:r>
      <w:proofErr w:type="gramEnd"/>
      <w:r>
        <w:rPr>
          <w:rStyle w:val="ad"/>
          <w:rFonts w:asciiTheme="minorEastAsia" w:hAnsiTheme="minorEastAsia" w:cs="Helvetica" w:hint="eastAsia"/>
          <w:b w:val="0"/>
          <w:spacing w:val="15"/>
          <w:kern w:val="0"/>
          <w:sz w:val="28"/>
          <w:szCs w:val="28"/>
        </w:rPr>
        <w:t>首破万亿。2021年，中国医药工业百强企业的总体营收为10762亿元，与上年度的9012.1亿元相比，增长了19.4%。</w:t>
      </w:r>
    </w:p>
    <w:p w14:paraId="201963A9"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t>另外，百强企业上榜门槛从27.8亿元上升至31.4亿元，同比增长12.9%。其中进入百亿俱乐部的企业从2020年的26家上升至28家，比2016年相比多了9家。</w:t>
      </w:r>
    </w:p>
    <w:p w14:paraId="0910FE53"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t>同时，会上还发布了2022年中国医药研发产品</w:t>
      </w:r>
      <w:proofErr w:type="gramStart"/>
      <w:r>
        <w:rPr>
          <w:rStyle w:val="ad"/>
          <w:rFonts w:asciiTheme="minorEastAsia" w:hAnsiTheme="minorEastAsia" w:cs="Helvetica" w:hint="eastAsia"/>
          <w:b w:val="0"/>
          <w:spacing w:val="15"/>
          <w:kern w:val="0"/>
          <w:sz w:val="28"/>
          <w:szCs w:val="28"/>
        </w:rPr>
        <w:t>线最佳</w:t>
      </w:r>
      <w:proofErr w:type="gramEnd"/>
      <w:r>
        <w:rPr>
          <w:rStyle w:val="ad"/>
          <w:rFonts w:asciiTheme="minorEastAsia" w:hAnsiTheme="minorEastAsia" w:cs="Helvetica" w:hint="eastAsia"/>
          <w:b w:val="0"/>
          <w:spacing w:val="15"/>
          <w:kern w:val="0"/>
          <w:sz w:val="28"/>
          <w:szCs w:val="28"/>
        </w:rPr>
        <w:t>工业企业、2022年中国医药工业最具投资价值企业、2022年中国医药工业最具成长力企业、2022年中国医药新锐创新力量企业榜单。</w:t>
      </w:r>
    </w:p>
    <w:p w14:paraId="6BF964E8" w14:textId="77777777" w:rsidR="003F5F97" w:rsidRDefault="00000000">
      <w:pPr>
        <w:ind w:firstLineChars="200" w:firstLine="620"/>
        <w:rPr>
          <w:rStyle w:val="ad"/>
          <w:rFonts w:asciiTheme="minorEastAsia" w:hAnsiTheme="minorEastAsia" w:cs="Helvetica"/>
          <w:b w:val="0"/>
          <w:spacing w:val="15"/>
          <w:kern w:val="0"/>
          <w:sz w:val="28"/>
          <w:szCs w:val="28"/>
        </w:rPr>
      </w:pPr>
      <w:r>
        <w:rPr>
          <w:rStyle w:val="ad"/>
          <w:rFonts w:asciiTheme="minorEastAsia" w:hAnsiTheme="minorEastAsia" w:cs="Helvetica" w:hint="eastAsia"/>
          <w:b w:val="0"/>
          <w:spacing w:val="15"/>
          <w:kern w:val="0"/>
          <w:sz w:val="28"/>
          <w:szCs w:val="28"/>
        </w:rPr>
        <w:t>最后，让我们一起祝贺上榜的企业！</w:t>
      </w:r>
    </w:p>
    <w:p w14:paraId="59A0FF4E" w14:textId="77777777" w:rsidR="003F5F97" w:rsidRDefault="003F5F97">
      <w:pPr>
        <w:rPr>
          <w:rStyle w:val="ad"/>
          <w:rFonts w:ascii="微软雅黑" w:eastAsia="微软雅黑" w:hAnsi="微软雅黑" w:cs="微软雅黑"/>
          <w:color w:val="0A6EBF"/>
          <w:spacing w:val="8"/>
          <w:sz w:val="22"/>
          <w:shd w:val="clear" w:color="auto" w:fill="FFFFFF"/>
        </w:rPr>
      </w:pPr>
    </w:p>
    <w:p w14:paraId="106F4A40" w14:textId="77777777" w:rsidR="003F5F97" w:rsidRDefault="003F5F97">
      <w:pPr>
        <w:rPr>
          <w:rStyle w:val="ad"/>
          <w:rFonts w:ascii="微软雅黑" w:eastAsia="微软雅黑" w:hAnsi="微软雅黑" w:cs="微软雅黑"/>
          <w:color w:val="0A6EBF"/>
          <w:spacing w:val="8"/>
          <w:sz w:val="22"/>
          <w:shd w:val="clear" w:color="auto" w:fill="FFFFFF"/>
        </w:rPr>
      </w:pPr>
    </w:p>
    <w:p w14:paraId="188036D8" w14:textId="77777777" w:rsidR="003F5F97" w:rsidRDefault="003F5F97">
      <w:pPr>
        <w:rPr>
          <w:rStyle w:val="ad"/>
          <w:rFonts w:ascii="微软雅黑" w:eastAsia="微软雅黑" w:hAnsi="微软雅黑" w:cs="微软雅黑"/>
          <w:color w:val="0A6EBF"/>
          <w:spacing w:val="8"/>
          <w:sz w:val="22"/>
          <w:shd w:val="clear" w:color="auto" w:fill="FFFFFF"/>
        </w:rPr>
      </w:pPr>
    </w:p>
    <w:p w14:paraId="09C4BBC9" w14:textId="77777777" w:rsidR="003F5F97" w:rsidRDefault="00000000">
      <w:pPr>
        <w:rPr>
          <w:rStyle w:val="ad"/>
          <w:rFonts w:ascii="微软雅黑" w:eastAsia="微软雅黑" w:hAnsi="微软雅黑" w:cs="微软雅黑"/>
          <w:color w:val="0A6EBF"/>
          <w:spacing w:val="8"/>
          <w:sz w:val="22"/>
          <w:shd w:val="clear" w:color="auto" w:fill="FFFFFF"/>
        </w:rPr>
      </w:pPr>
      <w:r>
        <w:rPr>
          <w:rStyle w:val="ad"/>
          <w:rFonts w:ascii="微软雅黑" w:eastAsia="微软雅黑" w:hAnsi="微软雅黑" w:cs="微软雅黑"/>
          <w:color w:val="0A6EBF"/>
          <w:spacing w:val="8"/>
          <w:sz w:val="22"/>
          <w:shd w:val="clear" w:color="auto" w:fill="FFFFFF"/>
        </w:rPr>
        <w:t>附：</w:t>
      </w:r>
    </w:p>
    <w:p w14:paraId="5B64D427" w14:textId="77777777" w:rsidR="003F5F97" w:rsidRDefault="00000000">
      <w:pPr>
        <w:rPr>
          <w:rStyle w:val="ad"/>
          <w:rFonts w:ascii="微软雅黑" w:eastAsia="微软雅黑" w:hAnsi="微软雅黑" w:cs="微软雅黑"/>
          <w:color w:val="0A6EBF"/>
          <w:spacing w:val="8"/>
          <w:sz w:val="22"/>
          <w:shd w:val="clear" w:color="auto" w:fill="FFFFFF"/>
        </w:rPr>
      </w:pPr>
      <w:r>
        <w:rPr>
          <w:rStyle w:val="ad"/>
          <w:rFonts w:ascii="微软雅黑" w:eastAsia="微软雅黑" w:hAnsi="微软雅黑" w:cs="微软雅黑" w:hint="eastAsia"/>
          <w:noProof/>
          <w:color w:val="0A6EBF"/>
          <w:spacing w:val="8"/>
          <w:sz w:val="22"/>
          <w:shd w:val="clear" w:color="auto" w:fill="FFFFFF"/>
        </w:rPr>
        <w:drawing>
          <wp:inline distT="0" distB="0" distL="114300" distR="114300" wp14:anchorId="5BC4710B" wp14:editId="1A31A69D">
            <wp:extent cx="5269230" cy="1038860"/>
            <wp:effectExtent l="0" t="0" r="7620" b="8890"/>
            <wp:docPr id="5" name="图片 5" descr="167237327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2373272539"/>
                    <pic:cNvPicPr>
                      <a:picLocks noChangeAspect="1"/>
                    </pic:cNvPicPr>
                  </pic:nvPicPr>
                  <pic:blipFill>
                    <a:blip r:embed="rId20"/>
                    <a:stretch>
                      <a:fillRect/>
                    </a:stretch>
                  </pic:blipFill>
                  <pic:spPr>
                    <a:xfrm>
                      <a:off x="0" y="0"/>
                      <a:ext cx="5269230" cy="1038860"/>
                    </a:xfrm>
                    <a:prstGeom prst="rect">
                      <a:avLst/>
                    </a:prstGeom>
                  </pic:spPr>
                </pic:pic>
              </a:graphicData>
            </a:graphic>
          </wp:inline>
        </w:drawing>
      </w:r>
    </w:p>
    <w:p w14:paraId="462BB69B" w14:textId="77777777" w:rsidR="003F5F97" w:rsidRDefault="00000000">
      <w:pPr>
        <w:jc w:val="center"/>
        <w:rPr>
          <w:rStyle w:val="ad"/>
          <w:rFonts w:ascii="微软雅黑" w:eastAsia="微软雅黑" w:hAnsi="微软雅黑" w:cs="微软雅黑"/>
          <w:color w:val="0A6EBF"/>
          <w:spacing w:val="8"/>
          <w:sz w:val="22"/>
          <w:shd w:val="clear" w:color="auto" w:fill="FFFFFF"/>
        </w:rPr>
      </w:pPr>
      <w:r>
        <w:rPr>
          <w:rStyle w:val="ad"/>
          <w:rFonts w:ascii="微软雅黑" w:eastAsia="微软雅黑" w:hAnsi="微软雅黑" w:cs="微软雅黑" w:hint="eastAsia"/>
          <w:noProof/>
          <w:color w:val="0A6EBF"/>
          <w:spacing w:val="8"/>
          <w:sz w:val="22"/>
          <w:shd w:val="clear" w:color="auto" w:fill="FFFFFF"/>
        </w:rPr>
        <w:lastRenderedPageBreak/>
        <w:drawing>
          <wp:inline distT="0" distB="0" distL="114300" distR="114300" wp14:anchorId="7DD192EC" wp14:editId="6BFE6948">
            <wp:extent cx="4654550" cy="8870315"/>
            <wp:effectExtent l="0" t="0" r="12700" b="6985"/>
            <wp:docPr id="7" name="图片 7" descr="8e5ca57a3795798dac2a4e5935fbb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e5ca57a3795798dac2a4e5935fbb253"/>
                    <pic:cNvPicPr>
                      <a:picLocks noChangeAspect="1"/>
                    </pic:cNvPicPr>
                  </pic:nvPicPr>
                  <pic:blipFill>
                    <a:blip r:embed="rId21"/>
                    <a:srcRect t="1745" b="47902"/>
                    <a:stretch>
                      <a:fillRect/>
                    </a:stretch>
                  </pic:blipFill>
                  <pic:spPr>
                    <a:xfrm>
                      <a:off x="0" y="0"/>
                      <a:ext cx="4654550" cy="8870315"/>
                    </a:xfrm>
                    <a:prstGeom prst="rect">
                      <a:avLst/>
                    </a:prstGeom>
                  </pic:spPr>
                </pic:pic>
              </a:graphicData>
            </a:graphic>
          </wp:inline>
        </w:drawing>
      </w:r>
    </w:p>
    <w:p w14:paraId="16093B5E" w14:textId="77777777" w:rsidR="003F5F97" w:rsidRDefault="00000000">
      <w:pPr>
        <w:jc w:val="center"/>
        <w:rPr>
          <w:rStyle w:val="ad"/>
          <w:rFonts w:ascii="微软雅黑" w:eastAsia="微软雅黑" w:hAnsi="微软雅黑" w:cs="微软雅黑"/>
          <w:color w:val="0A6EBF"/>
          <w:spacing w:val="8"/>
          <w:sz w:val="22"/>
          <w:shd w:val="clear" w:color="auto" w:fill="FFFFFF"/>
        </w:rPr>
      </w:pPr>
      <w:r>
        <w:rPr>
          <w:rStyle w:val="ad"/>
          <w:rFonts w:ascii="微软雅黑" w:eastAsia="微软雅黑" w:hAnsi="微软雅黑" w:cs="微软雅黑" w:hint="eastAsia"/>
          <w:noProof/>
          <w:color w:val="0A6EBF"/>
          <w:spacing w:val="8"/>
          <w:sz w:val="22"/>
          <w:shd w:val="clear" w:color="auto" w:fill="FFFFFF"/>
        </w:rPr>
        <w:lastRenderedPageBreak/>
        <w:drawing>
          <wp:inline distT="0" distB="0" distL="114300" distR="114300" wp14:anchorId="1A19F19C" wp14:editId="7056AA49">
            <wp:extent cx="4799965" cy="8835390"/>
            <wp:effectExtent l="0" t="0" r="635" b="3810"/>
            <wp:docPr id="11" name="图片 11" descr="8e5ca57a3795798dac2a4e5935fbb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e5ca57a3795798dac2a4e5935fbb253"/>
                    <pic:cNvPicPr>
                      <a:picLocks noChangeAspect="1"/>
                    </pic:cNvPicPr>
                  </pic:nvPicPr>
                  <pic:blipFill>
                    <a:blip r:embed="rId21"/>
                    <a:srcRect t="52019"/>
                    <a:stretch>
                      <a:fillRect/>
                    </a:stretch>
                  </pic:blipFill>
                  <pic:spPr>
                    <a:xfrm>
                      <a:off x="0" y="0"/>
                      <a:ext cx="4799965" cy="8835390"/>
                    </a:xfrm>
                    <a:prstGeom prst="rect">
                      <a:avLst/>
                    </a:prstGeom>
                  </pic:spPr>
                </pic:pic>
              </a:graphicData>
            </a:graphic>
          </wp:inline>
        </w:drawing>
      </w:r>
    </w:p>
    <w:p w14:paraId="7B373D91" w14:textId="77777777" w:rsidR="003F5F97"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附件4</w:t>
      </w:r>
    </w:p>
    <w:p w14:paraId="1141DB44" w14:textId="77777777" w:rsidR="003F5F97" w:rsidRDefault="003F5F97">
      <w:pPr>
        <w:rPr>
          <w:rFonts w:ascii="微软雅黑" w:eastAsia="微软雅黑" w:hAnsi="微软雅黑" w:cs="宋体"/>
          <w:color w:val="333333"/>
          <w:spacing w:val="8"/>
          <w:kern w:val="0"/>
          <w:sz w:val="33"/>
          <w:szCs w:val="33"/>
        </w:rPr>
      </w:pPr>
    </w:p>
    <w:p w14:paraId="26856F49" w14:textId="77777777" w:rsidR="003F5F97" w:rsidRDefault="00000000">
      <w:pPr>
        <w:jc w:val="left"/>
      </w:pPr>
      <w:r>
        <w:rPr>
          <w:rFonts w:ascii="微软雅黑" w:eastAsia="微软雅黑" w:hAnsi="微软雅黑" w:cs="宋体" w:hint="eastAsia"/>
          <w:color w:val="333333"/>
          <w:spacing w:val="8"/>
          <w:kern w:val="0"/>
          <w:sz w:val="33"/>
          <w:szCs w:val="33"/>
        </w:rPr>
        <w:t>最新！</w:t>
      </w:r>
      <w:proofErr w:type="gramStart"/>
      <w:r>
        <w:rPr>
          <w:rFonts w:ascii="微软雅黑" w:eastAsia="微软雅黑" w:hAnsi="微软雅黑" w:cs="宋体" w:hint="eastAsia"/>
          <w:color w:val="333333"/>
          <w:spacing w:val="8"/>
          <w:kern w:val="0"/>
          <w:sz w:val="33"/>
          <w:szCs w:val="33"/>
        </w:rPr>
        <w:t>益丰公布</w:t>
      </w:r>
      <w:proofErr w:type="gramEnd"/>
      <w:r>
        <w:rPr>
          <w:rFonts w:ascii="微软雅黑" w:eastAsia="微软雅黑" w:hAnsi="微软雅黑" w:cs="宋体" w:hint="eastAsia"/>
          <w:color w:val="333333"/>
          <w:spacing w:val="8"/>
          <w:kern w:val="0"/>
          <w:sz w:val="33"/>
          <w:szCs w:val="33"/>
        </w:rPr>
        <w:t>详细开店计划</w:t>
      </w:r>
    </w:p>
    <w:p w14:paraId="680B041B" w14:textId="77777777" w:rsidR="003F5F97" w:rsidRDefault="003F5F97">
      <w:pPr>
        <w:jc w:val="left"/>
      </w:pPr>
    </w:p>
    <w:p w14:paraId="09A96FAE" w14:textId="77777777" w:rsidR="003F5F97" w:rsidRDefault="00000000">
      <w:pPr>
        <w:jc w:val="left"/>
        <w:rPr>
          <w:rStyle w:val="ad"/>
          <w:rFonts w:ascii="微软雅黑" w:eastAsia="微软雅黑" w:hAnsi="微软雅黑"/>
          <w:color w:val="CD0202"/>
          <w:spacing w:val="8"/>
          <w:sz w:val="60"/>
          <w:szCs w:val="60"/>
        </w:rPr>
      </w:pPr>
      <w:r>
        <w:rPr>
          <w:rFonts w:hint="eastAsia"/>
        </w:rPr>
        <w:t>第一</w:t>
      </w:r>
      <w:proofErr w:type="gramStart"/>
      <w:r>
        <w:rPr>
          <w:rFonts w:hint="eastAsia"/>
        </w:rPr>
        <w:t>药店财智</w:t>
      </w:r>
      <w:proofErr w:type="gramEnd"/>
      <w:r>
        <w:rPr>
          <w:rFonts w:hint="eastAsia"/>
        </w:rPr>
        <w:t xml:space="preserve"> 2022-12-18</w:t>
      </w:r>
    </w:p>
    <w:p w14:paraId="442E20F4" w14:textId="77777777" w:rsidR="003F5F97" w:rsidRDefault="003F5F97">
      <w:pPr>
        <w:pStyle w:val="ab"/>
        <w:spacing w:before="0" w:beforeAutospacing="0" w:after="0" w:afterAutospacing="0"/>
        <w:ind w:left="120" w:right="120"/>
        <w:jc w:val="both"/>
        <w:rPr>
          <w:rStyle w:val="ad"/>
          <w:rFonts w:ascii="微软雅黑" w:eastAsia="微软雅黑" w:hAnsi="微软雅黑" w:cs="微软雅黑"/>
          <w:color w:val="0A6EBF"/>
          <w:spacing w:val="8"/>
          <w:sz w:val="28"/>
          <w:szCs w:val="28"/>
          <w:shd w:val="clear" w:color="auto" w:fill="FFFFFF"/>
        </w:rPr>
      </w:pPr>
    </w:p>
    <w:p w14:paraId="38B31A11" w14:textId="77777777" w:rsidR="003F5F97" w:rsidRDefault="00000000">
      <w:pPr>
        <w:pStyle w:val="ab"/>
        <w:spacing w:before="0" w:beforeAutospacing="0" w:after="0" w:afterAutospacing="0"/>
        <w:ind w:left="120" w:right="120"/>
        <w:jc w:val="both"/>
        <w:rPr>
          <w:rFonts w:ascii="微软雅黑" w:eastAsia="微软雅黑" w:hAnsi="微软雅黑" w:cs="微软雅黑"/>
          <w:color w:val="222222"/>
          <w:spacing w:val="8"/>
          <w:sz w:val="28"/>
          <w:szCs w:val="28"/>
        </w:rPr>
      </w:pPr>
      <w:r>
        <w:rPr>
          <w:rStyle w:val="ae"/>
          <w:rFonts w:ascii="Helvetica" w:eastAsia="Helvetica" w:hAnsi="Helvetica" w:cs="Helvetica"/>
          <w:color w:val="888888"/>
          <w:spacing w:val="30"/>
          <w:sz w:val="22"/>
          <w:szCs w:val="22"/>
          <w:shd w:val="clear" w:color="auto" w:fill="F7F7F7"/>
        </w:rPr>
        <w:t>近日，</w:t>
      </w:r>
      <w:proofErr w:type="gramStart"/>
      <w:r>
        <w:rPr>
          <w:rStyle w:val="ae"/>
          <w:rFonts w:ascii="Helvetica" w:eastAsia="Helvetica" w:hAnsi="Helvetica" w:cs="Helvetica"/>
          <w:color w:val="888888"/>
          <w:spacing w:val="30"/>
          <w:sz w:val="22"/>
          <w:szCs w:val="22"/>
          <w:shd w:val="clear" w:color="auto" w:fill="F7F7F7"/>
        </w:rPr>
        <w:t>益丰药房</w:t>
      </w:r>
      <w:proofErr w:type="gramEnd"/>
      <w:r>
        <w:rPr>
          <w:rStyle w:val="ae"/>
          <w:rFonts w:ascii="Helvetica" w:eastAsia="Helvetica" w:hAnsi="Helvetica" w:cs="Helvetica"/>
          <w:color w:val="888888"/>
          <w:spacing w:val="30"/>
          <w:sz w:val="22"/>
          <w:szCs w:val="22"/>
          <w:shd w:val="clear" w:color="auto" w:fill="F7F7F7"/>
        </w:rPr>
        <w:t>对《中国证监会行政许可项目审查一次反馈意见通知书》做出回复，其中对可转</w:t>
      </w:r>
      <w:proofErr w:type="gramStart"/>
      <w:r>
        <w:rPr>
          <w:rStyle w:val="ae"/>
          <w:rFonts w:ascii="Helvetica" w:eastAsia="Helvetica" w:hAnsi="Helvetica" w:cs="Helvetica"/>
          <w:color w:val="888888"/>
          <w:spacing w:val="30"/>
          <w:sz w:val="22"/>
          <w:szCs w:val="22"/>
          <w:shd w:val="clear" w:color="auto" w:fill="F7F7F7"/>
        </w:rPr>
        <w:t>债项目</w:t>
      </w:r>
      <w:proofErr w:type="gramEnd"/>
      <w:r>
        <w:rPr>
          <w:rStyle w:val="ae"/>
          <w:rFonts w:ascii="Helvetica" w:eastAsia="Helvetica" w:hAnsi="Helvetica" w:cs="Helvetica"/>
          <w:color w:val="888888"/>
          <w:spacing w:val="30"/>
          <w:sz w:val="22"/>
          <w:szCs w:val="22"/>
          <w:shd w:val="clear" w:color="auto" w:fill="F7F7F7"/>
        </w:rPr>
        <w:t>各议案相关细节进行详细披露。</w:t>
      </w:r>
    </w:p>
    <w:p w14:paraId="49FBC775" w14:textId="77777777" w:rsidR="003F5F97" w:rsidRDefault="00000000">
      <w:pPr>
        <w:pStyle w:val="ab"/>
        <w:rPr>
          <w:rStyle w:val="ad"/>
          <w:rFonts w:asciiTheme="minorEastAsia" w:hAnsiTheme="minorEastAsia" w:cs="Helvetica"/>
          <w:b w:val="0"/>
          <w:spacing w:val="15"/>
          <w:sz w:val="28"/>
          <w:szCs w:val="28"/>
        </w:rPr>
      </w:pPr>
      <w:r>
        <w:rPr>
          <w:rFonts w:ascii="微软雅黑" w:eastAsia="微软雅黑" w:hAnsi="微软雅黑" w:cs="微软雅黑" w:hint="eastAsia"/>
          <w:b/>
          <w:bCs/>
          <w:color w:val="CD0202"/>
          <w:spacing w:val="8"/>
          <w:sz w:val="60"/>
          <w:szCs w:val="60"/>
          <w:shd w:val="clear" w:color="auto" w:fill="FFFFFF"/>
        </w:rPr>
        <w:t>01</w:t>
      </w:r>
      <w:r>
        <w:rPr>
          <w:rStyle w:val="ad"/>
          <w:spacing w:val="30"/>
        </w:rPr>
        <w:t>三年门店计划：重点发力湖南、江苏、湖北</w:t>
      </w:r>
    </w:p>
    <w:p w14:paraId="5B1F9FB4"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此前，</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公告拟公开发行可转债25.5亿元，</w:t>
      </w:r>
      <w:proofErr w:type="gramStart"/>
      <w:r>
        <w:rPr>
          <w:rStyle w:val="ad"/>
          <w:rFonts w:asciiTheme="minorEastAsia" w:hAnsiTheme="minorEastAsia" w:cs="Helvetica" w:hint="eastAsia"/>
          <w:b w:val="0"/>
          <w:spacing w:val="15"/>
          <w:sz w:val="28"/>
          <w:szCs w:val="28"/>
        </w:rPr>
        <w:t>募投项目</w:t>
      </w:r>
      <w:proofErr w:type="gramEnd"/>
      <w:r>
        <w:rPr>
          <w:rStyle w:val="ad"/>
          <w:rFonts w:asciiTheme="minorEastAsia" w:hAnsiTheme="minorEastAsia" w:cs="Helvetica" w:hint="eastAsia"/>
          <w:b w:val="0"/>
          <w:spacing w:val="15"/>
          <w:sz w:val="28"/>
          <w:szCs w:val="28"/>
        </w:rPr>
        <w:t>包括3年拟新建连锁门店3900家，该项目投入占比高，占全部募资的半数以上，建设期3年。</w:t>
      </w:r>
    </w:p>
    <w:p w14:paraId="673EB22D" w14:textId="77777777" w:rsidR="003F5F97" w:rsidRDefault="00000000">
      <w:pPr>
        <w:ind w:firstLineChars="200" w:firstLine="620"/>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介绍，公司每年新建直营连锁药店数量持续增长，本次新建连锁门</w:t>
      </w:r>
      <w:proofErr w:type="gramStart"/>
      <w:r>
        <w:rPr>
          <w:rStyle w:val="ad"/>
          <w:rFonts w:asciiTheme="minorEastAsia" w:hAnsiTheme="minorEastAsia" w:cs="Helvetica" w:hint="eastAsia"/>
          <w:b w:val="0"/>
          <w:spacing w:val="15"/>
          <w:sz w:val="28"/>
          <w:szCs w:val="28"/>
        </w:rPr>
        <w:t>店项目</w:t>
      </w:r>
      <w:proofErr w:type="gramEnd"/>
      <w:r>
        <w:rPr>
          <w:rStyle w:val="ad"/>
          <w:rFonts w:asciiTheme="minorEastAsia" w:hAnsiTheme="minorEastAsia" w:cs="Helvetica" w:hint="eastAsia"/>
          <w:b w:val="0"/>
          <w:spacing w:val="15"/>
          <w:sz w:val="28"/>
          <w:szCs w:val="28"/>
        </w:rPr>
        <w:t>拟新建直营门</w:t>
      </w:r>
      <w:proofErr w:type="gramStart"/>
      <w:r>
        <w:rPr>
          <w:rStyle w:val="ad"/>
          <w:rFonts w:asciiTheme="minorEastAsia" w:hAnsiTheme="minorEastAsia" w:cs="Helvetica" w:hint="eastAsia"/>
          <w:b w:val="0"/>
          <w:spacing w:val="15"/>
          <w:sz w:val="28"/>
          <w:szCs w:val="28"/>
        </w:rPr>
        <w:t>店规划</w:t>
      </w:r>
      <w:proofErr w:type="gramEnd"/>
      <w:r>
        <w:rPr>
          <w:rStyle w:val="ad"/>
          <w:rFonts w:asciiTheme="minorEastAsia" w:hAnsiTheme="minorEastAsia" w:cs="Helvetica" w:hint="eastAsia"/>
          <w:b w:val="0"/>
          <w:spacing w:val="15"/>
          <w:sz w:val="28"/>
          <w:szCs w:val="28"/>
        </w:rPr>
        <w:t>符合公司历史直营门店新增数量及增长趋势。</w:t>
      </w:r>
    </w:p>
    <w:p w14:paraId="6B4656DD" w14:textId="77777777" w:rsidR="003F5F97" w:rsidRDefault="00000000">
      <w:pPr>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drawing>
          <wp:inline distT="0" distB="0" distL="114300" distR="114300" wp14:anchorId="47CFB0B3" wp14:editId="05BA9860">
            <wp:extent cx="5269865" cy="728980"/>
            <wp:effectExtent l="0" t="0" r="6985" b="13970"/>
            <wp:docPr id="43" name="图片 43" descr="90c888c833002ed842f6701a37cc9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0c888c833002ed842f6701a37cc90a1"/>
                    <pic:cNvPicPr>
                      <a:picLocks noChangeAspect="1"/>
                    </pic:cNvPicPr>
                  </pic:nvPicPr>
                  <pic:blipFill>
                    <a:blip r:embed="rId22"/>
                    <a:stretch>
                      <a:fillRect/>
                    </a:stretch>
                  </pic:blipFill>
                  <pic:spPr>
                    <a:xfrm>
                      <a:off x="0" y="0"/>
                      <a:ext cx="5269865" cy="728980"/>
                    </a:xfrm>
                    <a:prstGeom prst="rect">
                      <a:avLst/>
                    </a:prstGeom>
                  </pic:spPr>
                </pic:pic>
              </a:graphicData>
            </a:graphic>
          </wp:inline>
        </w:drawing>
      </w:r>
    </w:p>
    <w:p w14:paraId="047F596B" w14:textId="77777777" w:rsidR="003F5F97" w:rsidRDefault="00000000">
      <w:pPr>
        <w:jc w:val="center"/>
        <w:rPr>
          <w:rFonts w:ascii="微软雅黑" w:eastAsia="微软雅黑" w:hAnsi="微软雅黑" w:cs="微软雅黑"/>
          <w:color w:val="888888"/>
          <w:spacing w:val="8"/>
          <w:sz w:val="18"/>
          <w:szCs w:val="18"/>
          <w:shd w:val="clear" w:color="auto" w:fill="FFFFFF"/>
        </w:rPr>
      </w:pPr>
      <w:r>
        <w:rPr>
          <w:rFonts w:ascii="微软雅黑" w:eastAsia="微软雅黑" w:hAnsi="微软雅黑" w:cs="微软雅黑"/>
          <w:color w:val="888888"/>
          <w:spacing w:val="8"/>
          <w:sz w:val="18"/>
          <w:szCs w:val="18"/>
          <w:shd w:val="clear" w:color="auto" w:fill="FFFFFF"/>
        </w:rPr>
        <w:t>数据来源：</w:t>
      </w:r>
      <w:proofErr w:type="gramStart"/>
      <w:r>
        <w:rPr>
          <w:rFonts w:ascii="微软雅黑" w:eastAsia="微软雅黑" w:hAnsi="微软雅黑" w:cs="微软雅黑"/>
          <w:color w:val="888888"/>
          <w:spacing w:val="8"/>
          <w:sz w:val="18"/>
          <w:szCs w:val="18"/>
          <w:shd w:val="clear" w:color="auto" w:fill="FFFFFF"/>
        </w:rPr>
        <w:t>益丰药房</w:t>
      </w:r>
      <w:proofErr w:type="gramEnd"/>
      <w:r>
        <w:rPr>
          <w:rFonts w:ascii="微软雅黑" w:eastAsia="微软雅黑" w:hAnsi="微软雅黑" w:cs="微软雅黑"/>
          <w:color w:val="888888"/>
          <w:spacing w:val="8"/>
          <w:sz w:val="18"/>
          <w:szCs w:val="18"/>
          <w:shd w:val="clear" w:color="auto" w:fill="FFFFFF"/>
        </w:rPr>
        <w:t>公告</w:t>
      </w:r>
    </w:p>
    <w:p w14:paraId="24961E89"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具体来看，本次新建连锁直营门</w:t>
      </w:r>
      <w:proofErr w:type="gramStart"/>
      <w:r>
        <w:rPr>
          <w:rStyle w:val="ad"/>
          <w:rFonts w:asciiTheme="minorEastAsia" w:hAnsiTheme="minorEastAsia" w:cs="Helvetica" w:hint="eastAsia"/>
          <w:b w:val="0"/>
          <w:spacing w:val="15"/>
          <w:sz w:val="28"/>
          <w:szCs w:val="28"/>
        </w:rPr>
        <w:t>店项目</w:t>
      </w:r>
      <w:proofErr w:type="gramEnd"/>
      <w:r>
        <w:rPr>
          <w:rStyle w:val="ad"/>
          <w:rFonts w:asciiTheme="minorEastAsia" w:hAnsiTheme="minorEastAsia" w:cs="Helvetica" w:hint="eastAsia"/>
          <w:b w:val="0"/>
          <w:spacing w:val="15"/>
          <w:sz w:val="28"/>
          <w:szCs w:val="28"/>
        </w:rPr>
        <w:t>拟新建直营连锁药店3900家，预计第一年新建1072家直营门店，第二年新建1285家直营门店，第三年新建1543家直营门店，新建直营门店复合年均增长率为19.97%。2019年-2022年1-9月，报告期</w:t>
      </w:r>
      <w:proofErr w:type="gramStart"/>
      <w:r>
        <w:rPr>
          <w:rStyle w:val="ad"/>
          <w:rFonts w:asciiTheme="minorEastAsia" w:hAnsiTheme="minorEastAsia" w:cs="Helvetica" w:hint="eastAsia"/>
          <w:b w:val="0"/>
          <w:spacing w:val="15"/>
          <w:sz w:val="28"/>
          <w:szCs w:val="28"/>
        </w:rPr>
        <w:t>各期</w:t>
      </w:r>
      <w:r>
        <w:rPr>
          <w:rStyle w:val="ad"/>
          <w:rFonts w:asciiTheme="minorEastAsia" w:hAnsiTheme="minorEastAsia" w:cs="Helvetica" w:hint="eastAsia"/>
          <w:b w:val="0"/>
          <w:spacing w:val="15"/>
          <w:sz w:val="28"/>
          <w:szCs w:val="28"/>
        </w:rPr>
        <w:lastRenderedPageBreak/>
        <w:t>益丰药房</w:t>
      </w:r>
      <w:proofErr w:type="gramEnd"/>
      <w:r>
        <w:rPr>
          <w:rStyle w:val="ad"/>
          <w:rFonts w:asciiTheme="minorEastAsia" w:hAnsiTheme="minorEastAsia" w:cs="Helvetica" w:hint="eastAsia"/>
          <w:b w:val="0"/>
          <w:spacing w:val="15"/>
          <w:sz w:val="28"/>
          <w:szCs w:val="28"/>
        </w:rPr>
        <w:t>新建直营连锁药店数量分别为639家、820家、1197家、817家，2019年-2021年复合年均增长率为36.87%。</w:t>
      </w:r>
    </w:p>
    <w:p w14:paraId="2E1E3E3E" w14:textId="77777777" w:rsidR="003F5F97" w:rsidRDefault="00000000">
      <w:pPr>
        <w:ind w:firstLineChars="200" w:firstLine="620"/>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还表示，目前已初步完成3900家直营门店的选址工作，计划新建直营门店的选址按省级分类情况及建设周期如下：</w:t>
      </w:r>
    </w:p>
    <w:p w14:paraId="5946AD82" w14:textId="77777777" w:rsidR="003F5F97" w:rsidRDefault="00000000">
      <w:pPr>
        <w:rPr>
          <w:rFonts w:ascii="宋体" w:hAnsi="宋体" w:cs="宋体"/>
          <w:color w:val="888888"/>
          <w:spacing w:val="8"/>
          <w:sz w:val="28"/>
          <w:szCs w:val="28"/>
          <w:shd w:val="clear" w:color="auto" w:fill="FFFFFF"/>
        </w:rPr>
      </w:pPr>
      <w:r>
        <w:rPr>
          <w:rFonts w:ascii="宋体" w:hAnsi="宋体" w:cs="宋体" w:hint="eastAsia"/>
          <w:noProof/>
          <w:color w:val="888888"/>
          <w:spacing w:val="8"/>
          <w:sz w:val="28"/>
          <w:szCs w:val="28"/>
          <w:shd w:val="clear" w:color="auto" w:fill="FFFFFF"/>
        </w:rPr>
        <w:drawing>
          <wp:inline distT="0" distB="0" distL="114300" distR="114300" wp14:anchorId="62744A14" wp14:editId="224ACBBE">
            <wp:extent cx="5272405" cy="2894330"/>
            <wp:effectExtent l="0" t="0" r="4445" b="1270"/>
            <wp:docPr id="45" name="图片 45" descr="325845b49713a4b5b6d267c3df8e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25845b49713a4b5b6d267c3df8e0745"/>
                    <pic:cNvPicPr>
                      <a:picLocks noChangeAspect="1"/>
                    </pic:cNvPicPr>
                  </pic:nvPicPr>
                  <pic:blipFill>
                    <a:blip r:embed="rId23"/>
                    <a:stretch>
                      <a:fillRect/>
                    </a:stretch>
                  </pic:blipFill>
                  <pic:spPr>
                    <a:xfrm>
                      <a:off x="0" y="0"/>
                      <a:ext cx="5272405" cy="2894330"/>
                    </a:xfrm>
                    <a:prstGeom prst="rect">
                      <a:avLst/>
                    </a:prstGeom>
                  </pic:spPr>
                </pic:pic>
              </a:graphicData>
            </a:graphic>
          </wp:inline>
        </w:drawing>
      </w:r>
    </w:p>
    <w:p w14:paraId="077B3E07" w14:textId="77777777" w:rsidR="003F5F97" w:rsidRDefault="00000000">
      <w:pPr>
        <w:jc w:val="center"/>
        <w:rPr>
          <w:rFonts w:ascii="微软雅黑" w:eastAsia="微软雅黑" w:hAnsi="微软雅黑" w:cs="微软雅黑"/>
          <w:color w:val="888888"/>
          <w:spacing w:val="8"/>
          <w:sz w:val="18"/>
          <w:szCs w:val="18"/>
          <w:shd w:val="clear" w:color="auto" w:fill="FFFFFF"/>
        </w:rPr>
      </w:pPr>
      <w:r>
        <w:rPr>
          <w:rFonts w:ascii="微软雅黑" w:eastAsia="微软雅黑" w:hAnsi="微软雅黑" w:cs="微软雅黑"/>
          <w:color w:val="888888"/>
          <w:spacing w:val="8"/>
          <w:sz w:val="18"/>
          <w:szCs w:val="18"/>
          <w:shd w:val="clear" w:color="auto" w:fill="FFFFFF"/>
        </w:rPr>
        <w:t>数据来源：</w:t>
      </w:r>
      <w:proofErr w:type="gramStart"/>
      <w:r>
        <w:rPr>
          <w:rFonts w:ascii="微软雅黑" w:eastAsia="微软雅黑" w:hAnsi="微软雅黑" w:cs="微软雅黑"/>
          <w:color w:val="888888"/>
          <w:spacing w:val="8"/>
          <w:sz w:val="18"/>
          <w:szCs w:val="18"/>
          <w:shd w:val="clear" w:color="auto" w:fill="FFFFFF"/>
        </w:rPr>
        <w:t>益丰药房</w:t>
      </w:r>
      <w:proofErr w:type="gramEnd"/>
      <w:r>
        <w:rPr>
          <w:rFonts w:ascii="微软雅黑" w:eastAsia="微软雅黑" w:hAnsi="微软雅黑" w:cs="微软雅黑"/>
          <w:color w:val="888888"/>
          <w:spacing w:val="8"/>
          <w:sz w:val="18"/>
          <w:szCs w:val="18"/>
          <w:shd w:val="clear" w:color="auto" w:fill="FFFFFF"/>
        </w:rPr>
        <w:t>公告</w:t>
      </w:r>
    </w:p>
    <w:p w14:paraId="1E07584E" w14:textId="77777777" w:rsidR="003F5F97" w:rsidRDefault="00000000">
      <w:pPr>
        <w:ind w:firstLineChars="200" w:firstLine="620"/>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从益丰药房拟新建门店</w:t>
      </w:r>
      <w:proofErr w:type="gramEnd"/>
      <w:r>
        <w:rPr>
          <w:rStyle w:val="ad"/>
          <w:rFonts w:asciiTheme="minorEastAsia" w:hAnsiTheme="minorEastAsia" w:cs="Helvetica" w:hint="eastAsia"/>
          <w:b w:val="0"/>
          <w:spacing w:val="15"/>
          <w:sz w:val="28"/>
          <w:szCs w:val="28"/>
        </w:rPr>
        <w:t>的布局来看，仍延续其立足于中南、华东、华北市场持续深耕的策略，其中湖南、江苏、湖北三地预计新增门店数最多。</w:t>
      </w:r>
    </w:p>
    <w:p w14:paraId="1AD35FEF" w14:textId="77777777" w:rsidR="003F5F97" w:rsidRDefault="00000000">
      <w:pPr>
        <w:ind w:firstLineChars="200" w:firstLine="620"/>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介绍，截至2021年12月31日，在拟开设区域中，除上海市及湖南省外，连锁化率均未达到商务部所设立的70%连锁化率的总体目标，连锁化率尚有提升空间，亟需连锁药店企业积极布局相关市场，提升当地零售药店连锁化率，其中上海市及湖南省尽管连锁化率已达到70%，但每店服务人数仍有优化提升的空间，对提升门店总数仍有一定需求。</w:t>
      </w:r>
    </w:p>
    <w:p w14:paraId="3A14251F"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lastRenderedPageBreak/>
        <w:t>除广东省及河北省外，建设计划涉及区域每店服务人数均高于WTO推荐的2500人的店</w:t>
      </w:r>
      <w:proofErr w:type="gramStart"/>
      <w:r>
        <w:rPr>
          <w:rStyle w:val="ad"/>
          <w:rFonts w:asciiTheme="minorEastAsia" w:hAnsiTheme="minorEastAsia" w:cs="Helvetica" w:hint="eastAsia"/>
          <w:b w:val="0"/>
          <w:spacing w:val="15"/>
          <w:sz w:val="28"/>
          <w:szCs w:val="28"/>
        </w:rPr>
        <w:t>均服务</w:t>
      </w:r>
      <w:proofErr w:type="gramEnd"/>
      <w:r>
        <w:rPr>
          <w:rStyle w:val="ad"/>
          <w:rFonts w:asciiTheme="minorEastAsia" w:hAnsiTheme="minorEastAsia" w:cs="Helvetica" w:hint="eastAsia"/>
          <w:b w:val="0"/>
          <w:spacing w:val="15"/>
          <w:sz w:val="28"/>
          <w:szCs w:val="28"/>
        </w:rPr>
        <w:t>人数，从药店总体数量上仍有很大的提升空间以满足民众日益增长的零售药店消费需求，其中广东省及河北省尽管门店数量上达到了推荐的每店服务人数，但整体连锁化率仍有上升空间，市场对具备更优质服务的连锁药店存在一定需求。</w:t>
      </w:r>
    </w:p>
    <w:p w14:paraId="31E0F32D"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总体来看，新建连锁药店项目是抓住行业发展新契机，提高综合竞争力的必然选择，另一方面，扩大连锁药店数量</w:t>
      </w:r>
      <w:proofErr w:type="gramStart"/>
      <w:r>
        <w:rPr>
          <w:rStyle w:val="ad"/>
          <w:rFonts w:asciiTheme="minorEastAsia" w:hAnsiTheme="minorEastAsia" w:cs="Helvetica" w:hint="eastAsia"/>
          <w:b w:val="0"/>
          <w:spacing w:val="15"/>
          <w:sz w:val="28"/>
          <w:szCs w:val="28"/>
        </w:rPr>
        <w:t>有助于益丰药房</w:t>
      </w:r>
      <w:proofErr w:type="gramEnd"/>
      <w:r>
        <w:rPr>
          <w:rStyle w:val="ad"/>
          <w:rFonts w:asciiTheme="minorEastAsia" w:hAnsiTheme="minorEastAsia" w:cs="Helvetica" w:hint="eastAsia"/>
          <w:b w:val="0"/>
          <w:spacing w:val="15"/>
          <w:sz w:val="28"/>
          <w:szCs w:val="28"/>
        </w:rPr>
        <w:t>进一步促进规模效益实现，降低采购成本。</w:t>
      </w:r>
    </w:p>
    <w:p w14:paraId="1DDDC1D1" w14:textId="77777777" w:rsidR="003F5F97" w:rsidRDefault="00000000">
      <w:pPr>
        <w:rPr>
          <w:rStyle w:val="ad"/>
          <w:rFonts w:ascii="宋体" w:hAnsi="宋体" w:cs="宋体"/>
          <w:spacing w:val="30"/>
          <w:sz w:val="24"/>
          <w:szCs w:val="24"/>
        </w:rPr>
      </w:pPr>
      <w:r>
        <w:rPr>
          <w:rFonts w:ascii="微软雅黑" w:eastAsia="微软雅黑" w:hAnsi="微软雅黑" w:cs="微软雅黑"/>
          <w:b/>
          <w:bCs/>
          <w:color w:val="CD0202"/>
          <w:spacing w:val="8"/>
          <w:sz w:val="60"/>
          <w:szCs w:val="60"/>
          <w:shd w:val="clear" w:color="auto" w:fill="FFFFFF"/>
        </w:rPr>
        <w:t>02</w:t>
      </w:r>
      <w:r>
        <w:rPr>
          <w:rStyle w:val="ad"/>
          <w:rFonts w:ascii="宋体" w:hAnsi="宋体" w:cs="宋体"/>
          <w:spacing w:val="30"/>
          <w:sz w:val="24"/>
          <w:szCs w:val="24"/>
        </w:rPr>
        <w:t>门店高速扩张，仓储物流加速升级</w:t>
      </w:r>
    </w:p>
    <w:p w14:paraId="5F6138CE"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截至2022年9月30日，</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已拥有9781家门店（含加盟店），业务规模的持续扩张，进一步增加了医药商品仓储物流的需求。</w:t>
      </w:r>
    </w:p>
    <w:p w14:paraId="2FCD146C"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例如，2019年-2021年，</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江苏区域直营连锁门店数量分别为1029家、1331家及1648家，复合年均增长率达26.55%，截至2022年9月末，</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江苏区域直营连锁门店达1872家。</w:t>
      </w:r>
    </w:p>
    <w:p w14:paraId="6995480D" w14:textId="77777777" w:rsidR="003F5F97" w:rsidRDefault="00000000">
      <w:pPr>
        <w:jc w:val="center"/>
        <w:rPr>
          <w:rStyle w:val="ad"/>
          <w:rFonts w:ascii="微软雅黑" w:eastAsia="微软雅黑" w:hAnsi="微软雅黑" w:cs="微软雅黑"/>
          <w:color w:val="222222"/>
          <w:spacing w:val="30"/>
          <w:sz w:val="18"/>
          <w:szCs w:val="18"/>
          <w:shd w:val="clear" w:color="auto" w:fill="FFFFFF"/>
        </w:rPr>
      </w:pPr>
      <w:proofErr w:type="gramStart"/>
      <w:r>
        <w:rPr>
          <w:rStyle w:val="ad"/>
          <w:rFonts w:ascii="微软雅黑" w:eastAsia="微软雅黑" w:hAnsi="微软雅黑" w:cs="微软雅黑"/>
          <w:color w:val="222222"/>
          <w:spacing w:val="30"/>
          <w:sz w:val="18"/>
          <w:szCs w:val="18"/>
          <w:shd w:val="clear" w:color="auto" w:fill="FFFFFF"/>
        </w:rPr>
        <w:t>益丰药房</w:t>
      </w:r>
      <w:proofErr w:type="gramEnd"/>
      <w:r>
        <w:rPr>
          <w:rStyle w:val="ad"/>
          <w:rFonts w:ascii="微软雅黑" w:eastAsia="微软雅黑" w:hAnsi="微软雅黑" w:cs="微软雅黑"/>
          <w:color w:val="222222"/>
          <w:spacing w:val="30"/>
          <w:sz w:val="18"/>
          <w:szCs w:val="18"/>
          <w:shd w:val="clear" w:color="auto" w:fill="FFFFFF"/>
        </w:rPr>
        <w:t>江苏区域直营门店发展情况</w:t>
      </w:r>
    </w:p>
    <w:p w14:paraId="1EFA0C3E" w14:textId="77777777" w:rsidR="003F5F97" w:rsidRDefault="00000000">
      <w:pPr>
        <w:rPr>
          <w:rStyle w:val="ad"/>
          <w:rFonts w:ascii="微软雅黑" w:eastAsia="微软雅黑" w:hAnsi="微软雅黑" w:cs="微软雅黑"/>
          <w:color w:val="222222"/>
          <w:spacing w:val="30"/>
          <w:sz w:val="18"/>
          <w:szCs w:val="18"/>
          <w:shd w:val="clear" w:color="auto" w:fill="FFFFFF"/>
        </w:rPr>
      </w:pPr>
      <w:r>
        <w:rPr>
          <w:rStyle w:val="ad"/>
          <w:rFonts w:ascii="微软雅黑" w:eastAsia="微软雅黑" w:hAnsi="微软雅黑" w:cs="微软雅黑" w:hint="eastAsia"/>
          <w:noProof/>
          <w:color w:val="222222"/>
          <w:spacing w:val="30"/>
          <w:sz w:val="18"/>
          <w:szCs w:val="18"/>
          <w:shd w:val="clear" w:color="auto" w:fill="FFFFFF"/>
        </w:rPr>
        <w:drawing>
          <wp:inline distT="0" distB="0" distL="114300" distR="114300" wp14:anchorId="2A76EFC6" wp14:editId="2FD937CD">
            <wp:extent cx="5272405" cy="783590"/>
            <wp:effectExtent l="0" t="0" r="4445" b="16510"/>
            <wp:docPr id="53" name="图片 53" descr="7509a01de23f91b42410fa9d4bad1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509a01de23f91b42410fa9d4bad111c"/>
                    <pic:cNvPicPr>
                      <a:picLocks noChangeAspect="1"/>
                    </pic:cNvPicPr>
                  </pic:nvPicPr>
                  <pic:blipFill>
                    <a:blip r:embed="rId24"/>
                    <a:stretch>
                      <a:fillRect/>
                    </a:stretch>
                  </pic:blipFill>
                  <pic:spPr>
                    <a:xfrm>
                      <a:off x="0" y="0"/>
                      <a:ext cx="5272405" cy="783590"/>
                    </a:xfrm>
                    <a:prstGeom prst="rect">
                      <a:avLst/>
                    </a:prstGeom>
                  </pic:spPr>
                </pic:pic>
              </a:graphicData>
            </a:graphic>
          </wp:inline>
        </w:drawing>
      </w:r>
    </w:p>
    <w:p w14:paraId="79B4611D" w14:textId="77777777" w:rsidR="003F5F97" w:rsidRDefault="00000000">
      <w:pPr>
        <w:jc w:val="center"/>
        <w:rPr>
          <w:rFonts w:ascii="微软雅黑" w:eastAsia="微软雅黑" w:hAnsi="微软雅黑" w:cs="微软雅黑"/>
          <w:color w:val="888888"/>
          <w:spacing w:val="8"/>
          <w:sz w:val="18"/>
          <w:szCs w:val="18"/>
          <w:shd w:val="clear" w:color="auto" w:fill="FFFFFF"/>
        </w:rPr>
      </w:pPr>
      <w:r>
        <w:rPr>
          <w:rFonts w:ascii="微软雅黑" w:eastAsia="微软雅黑" w:hAnsi="微软雅黑" w:cs="微软雅黑"/>
          <w:color w:val="888888"/>
          <w:spacing w:val="8"/>
          <w:sz w:val="18"/>
          <w:szCs w:val="18"/>
          <w:shd w:val="clear" w:color="auto" w:fill="FFFFFF"/>
        </w:rPr>
        <w:t>数据来源：</w:t>
      </w:r>
      <w:proofErr w:type="gramStart"/>
      <w:r>
        <w:rPr>
          <w:rFonts w:ascii="微软雅黑" w:eastAsia="微软雅黑" w:hAnsi="微软雅黑" w:cs="微软雅黑"/>
          <w:color w:val="888888"/>
          <w:spacing w:val="8"/>
          <w:sz w:val="18"/>
          <w:szCs w:val="18"/>
          <w:shd w:val="clear" w:color="auto" w:fill="FFFFFF"/>
        </w:rPr>
        <w:t>益丰药房</w:t>
      </w:r>
      <w:proofErr w:type="gramEnd"/>
      <w:r>
        <w:rPr>
          <w:rFonts w:ascii="微软雅黑" w:eastAsia="微软雅黑" w:hAnsi="微软雅黑" w:cs="微软雅黑"/>
          <w:color w:val="888888"/>
          <w:spacing w:val="8"/>
          <w:sz w:val="18"/>
          <w:szCs w:val="18"/>
          <w:shd w:val="clear" w:color="auto" w:fill="FFFFFF"/>
        </w:rPr>
        <w:t>公告</w:t>
      </w:r>
    </w:p>
    <w:p w14:paraId="17FE9763" w14:textId="77777777" w:rsidR="003F5F97" w:rsidRDefault="00000000">
      <w:pPr>
        <w:ind w:firstLineChars="200" w:firstLine="620"/>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表示，江苏区域的业务及直营门店数量快速增长</w:t>
      </w:r>
      <w:r>
        <w:rPr>
          <w:rStyle w:val="ad"/>
          <w:rFonts w:asciiTheme="minorEastAsia" w:hAnsiTheme="minorEastAsia" w:cs="Helvetica" w:hint="eastAsia"/>
          <w:b w:val="0"/>
          <w:spacing w:val="15"/>
          <w:sz w:val="28"/>
          <w:szCs w:val="28"/>
        </w:rPr>
        <w:lastRenderedPageBreak/>
        <w:t>导致公司仓储物流场地仍具有较大需求缺口，需进一步提升江苏区域产品存储能力、分拣能力。本次江苏二期项目建设顺应了公司江苏省物流配送的需要，与公司江苏区域的发展实际需要相匹配。</w:t>
      </w:r>
    </w:p>
    <w:p w14:paraId="1D028290"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据介绍，江苏二期、湖北医药分拣加工中心及河北医药库房建设项目拟引入自动化输送及集货系统、AGV机器人</w:t>
      </w:r>
      <w:proofErr w:type="gramStart"/>
      <w:r>
        <w:rPr>
          <w:rStyle w:val="ad"/>
          <w:rFonts w:asciiTheme="minorEastAsia" w:hAnsiTheme="minorEastAsia" w:cs="Helvetica" w:hint="eastAsia"/>
          <w:b w:val="0"/>
          <w:spacing w:val="15"/>
          <w:sz w:val="28"/>
          <w:szCs w:val="28"/>
        </w:rPr>
        <w:t>自动拣货系统</w:t>
      </w:r>
      <w:proofErr w:type="gramEnd"/>
      <w:r>
        <w:rPr>
          <w:rStyle w:val="ad"/>
          <w:rFonts w:asciiTheme="minorEastAsia" w:hAnsiTheme="minorEastAsia" w:cs="Helvetica" w:hint="eastAsia"/>
          <w:b w:val="0"/>
          <w:spacing w:val="15"/>
          <w:sz w:val="28"/>
          <w:szCs w:val="28"/>
        </w:rPr>
        <w:t>、自动化立体库、</w:t>
      </w:r>
      <w:proofErr w:type="gramStart"/>
      <w:r>
        <w:rPr>
          <w:rStyle w:val="ad"/>
          <w:rFonts w:asciiTheme="minorEastAsia" w:hAnsiTheme="minorEastAsia" w:cs="Helvetica" w:hint="eastAsia"/>
          <w:b w:val="0"/>
          <w:spacing w:val="15"/>
          <w:sz w:val="28"/>
          <w:szCs w:val="28"/>
        </w:rPr>
        <w:t>螺旋机</w:t>
      </w:r>
      <w:proofErr w:type="gramEnd"/>
      <w:r>
        <w:rPr>
          <w:rStyle w:val="ad"/>
          <w:rFonts w:asciiTheme="minorEastAsia" w:hAnsiTheme="minorEastAsia" w:cs="Helvetica" w:hint="eastAsia"/>
          <w:b w:val="0"/>
          <w:spacing w:val="15"/>
          <w:sz w:val="28"/>
          <w:szCs w:val="28"/>
        </w:rPr>
        <w:t>输送机等物流系统设备，在湖北武汉、江苏南京、河北石家庄新建或扩充医药商品仓储物流基地。</w:t>
      </w:r>
    </w:p>
    <w:p w14:paraId="0457A0BD"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项目建设完成后，将</w:t>
      </w:r>
      <w:proofErr w:type="gramStart"/>
      <w:r>
        <w:rPr>
          <w:rStyle w:val="ad"/>
          <w:rFonts w:asciiTheme="minorEastAsia" w:hAnsiTheme="minorEastAsia" w:cs="Helvetica" w:hint="eastAsia"/>
          <w:b w:val="0"/>
          <w:spacing w:val="15"/>
          <w:sz w:val="28"/>
          <w:szCs w:val="28"/>
        </w:rPr>
        <w:t>完善益丰</w:t>
      </w:r>
      <w:proofErr w:type="gramEnd"/>
      <w:r>
        <w:rPr>
          <w:rStyle w:val="ad"/>
          <w:rFonts w:asciiTheme="minorEastAsia" w:hAnsiTheme="minorEastAsia" w:cs="Helvetica" w:hint="eastAsia"/>
          <w:b w:val="0"/>
          <w:spacing w:val="15"/>
          <w:sz w:val="28"/>
          <w:szCs w:val="28"/>
        </w:rPr>
        <w:t>药房全国物流仓储配送网络，大幅提升产品的存储能力、分拣能力和物流配送效率，为中南、华东、华北区域内门店配送提高覆盖能力，有效</w:t>
      </w:r>
      <w:proofErr w:type="gramStart"/>
      <w:r>
        <w:rPr>
          <w:rStyle w:val="ad"/>
          <w:rFonts w:asciiTheme="minorEastAsia" w:hAnsiTheme="minorEastAsia" w:cs="Helvetica" w:hint="eastAsia"/>
          <w:b w:val="0"/>
          <w:spacing w:val="15"/>
          <w:sz w:val="28"/>
          <w:szCs w:val="28"/>
        </w:rPr>
        <w:t>解决益丰药房</w:t>
      </w:r>
      <w:proofErr w:type="gramEnd"/>
      <w:r>
        <w:rPr>
          <w:rStyle w:val="ad"/>
          <w:rFonts w:asciiTheme="minorEastAsia" w:hAnsiTheme="minorEastAsia" w:cs="Helvetica" w:hint="eastAsia"/>
          <w:b w:val="0"/>
          <w:spacing w:val="15"/>
          <w:sz w:val="28"/>
          <w:szCs w:val="28"/>
        </w:rPr>
        <w:t>因近年业务快速扩张导致仓储物流场地不足的问题。</w:t>
      </w:r>
    </w:p>
    <w:p w14:paraId="30BE1EA5" w14:textId="77777777" w:rsidR="003F5F97" w:rsidRDefault="003F5F97">
      <w:pPr>
        <w:rPr>
          <w:rStyle w:val="ad"/>
          <w:rFonts w:ascii="宋体" w:hAnsi="宋体" w:cs="宋体"/>
          <w:spacing w:val="30"/>
          <w:sz w:val="24"/>
          <w:szCs w:val="24"/>
        </w:rPr>
      </w:pPr>
    </w:p>
    <w:p w14:paraId="08AA6B53" w14:textId="77777777" w:rsidR="003F5F97" w:rsidRDefault="00000000">
      <w:pPr>
        <w:rPr>
          <w:rStyle w:val="ad"/>
          <w:rFonts w:ascii="宋体" w:hAnsi="宋体" w:cs="宋体"/>
          <w:spacing w:val="30"/>
          <w:sz w:val="24"/>
          <w:szCs w:val="24"/>
        </w:rPr>
      </w:pPr>
      <w:r>
        <w:rPr>
          <w:rFonts w:ascii="微软雅黑" w:eastAsia="微软雅黑" w:hAnsi="微软雅黑" w:cs="微软雅黑"/>
          <w:b/>
          <w:bCs/>
          <w:color w:val="CD0202"/>
          <w:spacing w:val="8"/>
          <w:sz w:val="60"/>
          <w:szCs w:val="60"/>
          <w:shd w:val="clear" w:color="auto" w:fill="FFFFFF"/>
        </w:rPr>
        <w:t>03</w:t>
      </w:r>
      <w:r>
        <w:rPr>
          <w:rStyle w:val="ad"/>
          <w:rFonts w:ascii="宋体" w:hAnsi="宋体" w:cs="宋体"/>
          <w:spacing w:val="30"/>
          <w:sz w:val="24"/>
          <w:szCs w:val="24"/>
        </w:rPr>
        <w:t>数字化平台升级，赋能门店、物流、新零售</w:t>
      </w:r>
    </w:p>
    <w:p w14:paraId="0CE3F84B"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在数字化时代的大背景下，通过互联网数字化和专业化的服务来打造医药零售产业新模式，为顾客提供定制化高价值的服务成为医药零售行业企业共同的课题。</w:t>
      </w:r>
    </w:p>
    <w:p w14:paraId="20B8FE02"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基于此，</w:t>
      </w:r>
      <w:proofErr w:type="gramStart"/>
      <w:r>
        <w:rPr>
          <w:rStyle w:val="ad"/>
          <w:rFonts w:asciiTheme="minorEastAsia" w:hAnsiTheme="minorEastAsia" w:cs="Helvetica" w:hint="eastAsia"/>
          <w:b w:val="0"/>
          <w:spacing w:val="15"/>
          <w:sz w:val="28"/>
          <w:szCs w:val="28"/>
        </w:rPr>
        <w:t>益丰药房持续提升公司</w:t>
      </w:r>
      <w:proofErr w:type="gramEnd"/>
      <w:r>
        <w:rPr>
          <w:rStyle w:val="ad"/>
          <w:rFonts w:asciiTheme="minorEastAsia" w:hAnsiTheme="minorEastAsia" w:cs="Helvetica" w:hint="eastAsia"/>
          <w:b w:val="0"/>
          <w:spacing w:val="15"/>
          <w:sz w:val="28"/>
          <w:szCs w:val="28"/>
        </w:rPr>
        <w:t>数字化水平，在数字化平台升级项目中，主要涉及门店营运数字化平台、新零售数字化平台、商品数字化平台、物流数字化平台、财务数字化平台、人力数字化平台、数据中台、业务中台、技术中台、基础平台</w:t>
      </w:r>
      <w:r>
        <w:rPr>
          <w:rStyle w:val="ad"/>
          <w:rFonts w:asciiTheme="minorEastAsia" w:hAnsiTheme="minorEastAsia" w:cs="Helvetica" w:hint="eastAsia"/>
          <w:b w:val="0"/>
          <w:spacing w:val="15"/>
          <w:sz w:val="28"/>
          <w:szCs w:val="28"/>
        </w:rPr>
        <w:lastRenderedPageBreak/>
        <w:t>及IDC机房升级。</w:t>
      </w:r>
    </w:p>
    <w:p w14:paraId="73F5655F"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在门店营运数字化平台中，</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将通过新增员工助手小程序、</w:t>
      </w:r>
      <w:proofErr w:type="gramStart"/>
      <w:r>
        <w:rPr>
          <w:rStyle w:val="ad"/>
          <w:rFonts w:asciiTheme="minorEastAsia" w:hAnsiTheme="minorEastAsia" w:cs="Helvetica" w:hint="eastAsia"/>
          <w:b w:val="0"/>
          <w:spacing w:val="15"/>
          <w:sz w:val="28"/>
          <w:szCs w:val="28"/>
        </w:rPr>
        <w:t>远程巡店管理系统</w:t>
      </w:r>
      <w:proofErr w:type="gramEnd"/>
      <w:r>
        <w:rPr>
          <w:rStyle w:val="ad"/>
          <w:rFonts w:asciiTheme="minorEastAsia" w:hAnsiTheme="minorEastAsia" w:cs="Helvetica" w:hint="eastAsia"/>
          <w:b w:val="0"/>
          <w:spacing w:val="15"/>
          <w:sz w:val="28"/>
          <w:szCs w:val="28"/>
        </w:rPr>
        <w:t>等门店运用，为管理端提效，员工端业绩、门店清单、学习考试提供系统支撑，实现员工行为在线化、门</w:t>
      </w:r>
      <w:proofErr w:type="gramStart"/>
      <w:r>
        <w:rPr>
          <w:rStyle w:val="ad"/>
          <w:rFonts w:asciiTheme="minorEastAsia" w:hAnsiTheme="minorEastAsia" w:cs="Helvetica" w:hint="eastAsia"/>
          <w:b w:val="0"/>
          <w:spacing w:val="15"/>
          <w:sz w:val="28"/>
          <w:szCs w:val="28"/>
        </w:rPr>
        <w:t>店系统</w:t>
      </w:r>
      <w:proofErr w:type="gramEnd"/>
      <w:r>
        <w:rPr>
          <w:rStyle w:val="ad"/>
          <w:rFonts w:asciiTheme="minorEastAsia" w:hAnsiTheme="minorEastAsia" w:cs="Helvetica" w:hint="eastAsia"/>
          <w:b w:val="0"/>
          <w:spacing w:val="15"/>
          <w:sz w:val="28"/>
          <w:szCs w:val="28"/>
        </w:rPr>
        <w:t>数字化，为门店工作赋能。同时，该系统的实施能够通过提供产品解决方案，实现更高水平、精细化的零售门店运营，借助数字化，消除复杂性，加速构建新功能，从而提高敏捷性和业绩，降低运营成本和提高运营效率，提高零售业的差异化竞争优势。</w:t>
      </w:r>
    </w:p>
    <w:p w14:paraId="283ED4C4"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在新零售数字化平台中，主要服务对象为门店、员工及会员。该系统定位于用户线上化、员工游戏化和运营自动化的目标，重点打造</w:t>
      </w:r>
      <w:proofErr w:type="gramStart"/>
      <w:r>
        <w:rPr>
          <w:rStyle w:val="ad"/>
          <w:rFonts w:asciiTheme="minorEastAsia" w:hAnsiTheme="minorEastAsia" w:cs="Helvetica" w:hint="eastAsia"/>
          <w:b w:val="0"/>
          <w:spacing w:val="15"/>
          <w:sz w:val="28"/>
          <w:szCs w:val="28"/>
        </w:rPr>
        <w:t>益丰健康私域</w:t>
      </w:r>
      <w:proofErr w:type="gramEnd"/>
      <w:r>
        <w:rPr>
          <w:rStyle w:val="ad"/>
          <w:rFonts w:asciiTheme="minorEastAsia" w:hAnsiTheme="minorEastAsia" w:cs="Helvetica" w:hint="eastAsia"/>
          <w:b w:val="0"/>
          <w:spacing w:val="15"/>
          <w:sz w:val="28"/>
          <w:szCs w:val="28"/>
        </w:rPr>
        <w:t>平台、健康管家和智能运营平台三大产品，结合互联网医院和会员系统两大产品的服务能力。用户线上化：用户售前、售中、</w:t>
      </w:r>
      <w:proofErr w:type="gramStart"/>
      <w:r>
        <w:rPr>
          <w:rStyle w:val="ad"/>
          <w:rFonts w:asciiTheme="minorEastAsia" w:hAnsiTheme="minorEastAsia" w:cs="Helvetica" w:hint="eastAsia"/>
          <w:b w:val="0"/>
          <w:spacing w:val="15"/>
          <w:sz w:val="28"/>
          <w:szCs w:val="28"/>
        </w:rPr>
        <w:t>售后全</w:t>
      </w:r>
      <w:proofErr w:type="gramEnd"/>
      <w:r>
        <w:rPr>
          <w:rStyle w:val="ad"/>
          <w:rFonts w:asciiTheme="minorEastAsia" w:hAnsiTheme="minorEastAsia" w:cs="Helvetica" w:hint="eastAsia"/>
          <w:b w:val="0"/>
          <w:spacing w:val="15"/>
          <w:sz w:val="28"/>
          <w:szCs w:val="28"/>
        </w:rPr>
        <w:t>流程路径信息线上化，用户画像标签化，用户数据集中化，提高</w:t>
      </w:r>
      <w:proofErr w:type="gramStart"/>
      <w:r>
        <w:rPr>
          <w:rStyle w:val="ad"/>
          <w:rFonts w:asciiTheme="minorEastAsia" w:hAnsiTheme="minorEastAsia" w:cs="Helvetica" w:hint="eastAsia"/>
          <w:b w:val="0"/>
          <w:spacing w:val="15"/>
          <w:sz w:val="28"/>
          <w:szCs w:val="28"/>
        </w:rPr>
        <w:t>用户触达精准</w:t>
      </w:r>
      <w:proofErr w:type="gramEnd"/>
      <w:r>
        <w:rPr>
          <w:rStyle w:val="ad"/>
          <w:rFonts w:asciiTheme="minorEastAsia" w:hAnsiTheme="minorEastAsia" w:cs="Helvetica" w:hint="eastAsia"/>
          <w:b w:val="0"/>
          <w:spacing w:val="15"/>
          <w:sz w:val="28"/>
          <w:szCs w:val="28"/>
        </w:rPr>
        <w:t>度和精细化管理；员工游戏化：员工日常事务任务化，日</w:t>
      </w:r>
      <w:proofErr w:type="gramStart"/>
      <w:r>
        <w:rPr>
          <w:rStyle w:val="ad"/>
          <w:rFonts w:asciiTheme="minorEastAsia" w:hAnsiTheme="minorEastAsia" w:cs="Helvetica" w:hint="eastAsia"/>
          <w:b w:val="0"/>
          <w:spacing w:val="15"/>
          <w:sz w:val="28"/>
          <w:szCs w:val="28"/>
        </w:rPr>
        <w:t>清任务</w:t>
      </w:r>
      <w:proofErr w:type="gramEnd"/>
      <w:r>
        <w:rPr>
          <w:rStyle w:val="ad"/>
          <w:rFonts w:asciiTheme="minorEastAsia" w:hAnsiTheme="minorEastAsia" w:cs="Helvetica" w:hint="eastAsia"/>
          <w:b w:val="0"/>
          <w:spacing w:val="15"/>
          <w:sz w:val="28"/>
          <w:szCs w:val="28"/>
        </w:rPr>
        <w:t>游戏化，完成情况积分化，通过游戏的方式提高员工积极性和工作热情；运营自动化：线上线下运营场景和事件模型化，运营动作自动化，提高员工运营效率，降低出错机率；生意数据化：客流、访问、流失、销售、利润等生意全链路数据化，精确监控客户动向和销售情况，提高转化率。</w:t>
      </w:r>
    </w:p>
    <w:p w14:paraId="0D75225F"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在物流数字化平台中，主要服务对象为配送中心、门店及</w:t>
      </w:r>
      <w:r>
        <w:rPr>
          <w:rStyle w:val="ad"/>
          <w:rFonts w:asciiTheme="minorEastAsia" w:hAnsiTheme="minorEastAsia" w:cs="Helvetica" w:hint="eastAsia"/>
          <w:b w:val="0"/>
          <w:spacing w:val="15"/>
          <w:sz w:val="28"/>
          <w:szCs w:val="28"/>
        </w:rPr>
        <w:lastRenderedPageBreak/>
        <w:t>企业员工。</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将打造端到端集成、可视、智能、高效、灵活的数字物流运营管理平台，通过物流数字化高效运营系统平台建设，推动精益物流管理，逐步搭建和完善便捷、高效、经济、智能的</w:t>
      </w:r>
      <w:proofErr w:type="gramStart"/>
      <w:r>
        <w:rPr>
          <w:rStyle w:val="ad"/>
          <w:rFonts w:asciiTheme="minorEastAsia" w:hAnsiTheme="minorEastAsia" w:cs="Helvetica" w:hint="eastAsia"/>
          <w:b w:val="0"/>
          <w:spacing w:val="15"/>
          <w:sz w:val="28"/>
          <w:szCs w:val="28"/>
        </w:rPr>
        <w:t>益丰供应</w:t>
      </w:r>
      <w:proofErr w:type="gramEnd"/>
      <w:r>
        <w:rPr>
          <w:rStyle w:val="ad"/>
          <w:rFonts w:asciiTheme="minorEastAsia" w:hAnsiTheme="minorEastAsia" w:cs="Helvetica" w:hint="eastAsia"/>
          <w:b w:val="0"/>
          <w:spacing w:val="15"/>
          <w:sz w:val="28"/>
          <w:szCs w:val="28"/>
        </w:rPr>
        <w:t>链物流服务体系，为快速增长的业务提供良好的保障，在满足公司业务发展的同时，逐步实现物流统一化、专业化、一体化，使</w:t>
      </w:r>
      <w:proofErr w:type="gramStart"/>
      <w:r>
        <w:rPr>
          <w:rStyle w:val="ad"/>
          <w:rFonts w:asciiTheme="minorEastAsia" w:hAnsiTheme="minorEastAsia" w:cs="Helvetica" w:hint="eastAsia"/>
          <w:b w:val="0"/>
          <w:spacing w:val="15"/>
          <w:sz w:val="28"/>
          <w:szCs w:val="28"/>
        </w:rPr>
        <w:t>物流战线</w:t>
      </w:r>
      <w:proofErr w:type="gramEnd"/>
      <w:r>
        <w:rPr>
          <w:rStyle w:val="ad"/>
          <w:rFonts w:asciiTheme="minorEastAsia" w:hAnsiTheme="minorEastAsia" w:cs="Helvetica" w:hint="eastAsia"/>
          <w:b w:val="0"/>
          <w:spacing w:val="15"/>
          <w:sz w:val="28"/>
          <w:szCs w:val="28"/>
        </w:rPr>
        <w:t>成为“共享”和“管控”双平台，使物流能力逐步成为公司的核心竞争力之一。</w:t>
      </w:r>
    </w:p>
    <w:p w14:paraId="61B44EB5" w14:textId="77777777" w:rsidR="003F5F97" w:rsidRDefault="00000000">
      <w:pPr>
        <w:ind w:firstLineChars="200" w:firstLine="620"/>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“以业务为中心，精益管理，数据驱动”的数字化转型，</w:t>
      </w:r>
      <w:proofErr w:type="gramStart"/>
      <w:r>
        <w:rPr>
          <w:rStyle w:val="ad"/>
          <w:rFonts w:asciiTheme="minorEastAsia" w:hAnsiTheme="minorEastAsia" w:cs="Helvetica" w:hint="eastAsia"/>
          <w:b w:val="0"/>
          <w:spacing w:val="15"/>
          <w:sz w:val="28"/>
          <w:szCs w:val="28"/>
        </w:rPr>
        <w:t>是益丰药房</w:t>
      </w:r>
      <w:proofErr w:type="gramEnd"/>
      <w:r>
        <w:rPr>
          <w:rStyle w:val="ad"/>
          <w:rFonts w:asciiTheme="minorEastAsia" w:hAnsiTheme="minorEastAsia" w:cs="Helvetica" w:hint="eastAsia"/>
          <w:b w:val="0"/>
          <w:spacing w:val="15"/>
          <w:sz w:val="28"/>
          <w:szCs w:val="28"/>
        </w:rPr>
        <w:t>近年来的核心战略之一，</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已构建了基于会员、大数据、互联网医疗、健康管理等生态化的先进医药新零售体系，本次项目实施完成后，</w:t>
      </w:r>
      <w:proofErr w:type="gramStart"/>
      <w:r>
        <w:rPr>
          <w:rStyle w:val="ad"/>
          <w:rFonts w:asciiTheme="minorEastAsia" w:hAnsiTheme="minorEastAsia" w:cs="Helvetica" w:hint="eastAsia"/>
          <w:b w:val="0"/>
          <w:spacing w:val="15"/>
          <w:sz w:val="28"/>
          <w:szCs w:val="28"/>
        </w:rPr>
        <w:t>益丰药房</w:t>
      </w:r>
      <w:proofErr w:type="gramEnd"/>
      <w:r>
        <w:rPr>
          <w:rStyle w:val="ad"/>
          <w:rFonts w:asciiTheme="minorEastAsia" w:hAnsiTheme="minorEastAsia" w:cs="Helvetica" w:hint="eastAsia"/>
          <w:b w:val="0"/>
          <w:spacing w:val="15"/>
          <w:sz w:val="28"/>
          <w:szCs w:val="28"/>
        </w:rPr>
        <w:t>将构建数字化药房，打造一系列产品赋能新</w:t>
      </w:r>
      <w:proofErr w:type="gramStart"/>
      <w:r>
        <w:rPr>
          <w:rStyle w:val="ad"/>
          <w:rFonts w:asciiTheme="minorEastAsia" w:hAnsiTheme="minorEastAsia" w:cs="Helvetica" w:hint="eastAsia"/>
          <w:b w:val="0"/>
          <w:spacing w:val="15"/>
          <w:sz w:val="28"/>
          <w:szCs w:val="28"/>
        </w:rPr>
        <w:t>零售全业务</w:t>
      </w:r>
      <w:proofErr w:type="gramEnd"/>
      <w:r>
        <w:rPr>
          <w:rStyle w:val="ad"/>
          <w:rFonts w:asciiTheme="minorEastAsia" w:hAnsiTheme="minorEastAsia" w:cs="Helvetica" w:hint="eastAsia"/>
          <w:b w:val="0"/>
          <w:spacing w:val="15"/>
          <w:sz w:val="28"/>
          <w:szCs w:val="28"/>
        </w:rPr>
        <w:t>场景的数字化体系，进一步强化在新零售领域的竞争优势。</w:t>
      </w:r>
    </w:p>
    <w:p w14:paraId="5D3C586F" w14:textId="77777777" w:rsidR="003F5F97" w:rsidRDefault="003F5F97">
      <w:pPr>
        <w:ind w:firstLineChars="200" w:firstLine="620"/>
        <w:rPr>
          <w:rStyle w:val="ad"/>
          <w:rFonts w:asciiTheme="minorEastAsia" w:hAnsiTheme="minorEastAsia" w:cs="Helvetica"/>
          <w:b w:val="0"/>
          <w:spacing w:val="15"/>
          <w:sz w:val="28"/>
          <w:szCs w:val="28"/>
        </w:rPr>
      </w:pPr>
    </w:p>
    <w:p w14:paraId="6F197CA1" w14:textId="77777777" w:rsidR="003F5F97" w:rsidRDefault="003F5F97">
      <w:pPr>
        <w:ind w:firstLineChars="200" w:firstLine="620"/>
        <w:rPr>
          <w:rStyle w:val="ad"/>
          <w:rFonts w:asciiTheme="minorEastAsia" w:hAnsiTheme="minorEastAsia" w:cs="Helvetica"/>
          <w:b w:val="0"/>
          <w:spacing w:val="15"/>
          <w:sz w:val="28"/>
          <w:szCs w:val="28"/>
        </w:rPr>
      </w:pPr>
    </w:p>
    <w:p w14:paraId="3FCF1251" w14:textId="77777777" w:rsidR="003F5F97" w:rsidRDefault="003F5F97">
      <w:pPr>
        <w:ind w:firstLineChars="200" w:firstLine="620"/>
        <w:rPr>
          <w:rStyle w:val="ad"/>
          <w:rFonts w:asciiTheme="minorEastAsia" w:hAnsiTheme="minorEastAsia" w:cs="Helvetica"/>
          <w:b w:val="0"/>
          <w:spacing w:val="15"/>
          <w:sz w:val="28"/>
          <w:szCs w:val="28"/>
        </w:rPr>
      </w:pPr>
    </w:p>
    <w:p w14:paraId="05FE8193" w14:textId="77777777" w:rsidR="003F5F97" w:rsidRDefault="003F5F97">
      <w:pPr>
        <w:ind w:firstLineChars="200" w:firstLine="620"/>
        <w:rPr>
          <w:rStyle w:val="ad"/>
          <w:rFonts w:asciiTheme="minorEastAsia" w:hAnsiTheme="minorEastAsia" w:cs="Helvetica"/>
          <w:b w:val="0"/>
          <w:spacing w:val="15"/>
          <w:sz w:val="28"/>
          <w:szCs w:val="28"/>
        </w:rPr>
      </w:pPr>
    </w:p>
    <w:p w14:paraId="0FBD9735" w14:textId="77777777" w:rsidR="003F5F97" w:rsidRDefault="003F5F97">
      <w:pPr>
        <w:ind w:firstLineChars="200" w:firstLine="620"/>
        <w:rPr>
          <w:rStyle w:val="ad"/>
          <w:rFonts w:asciiTheme="minorEastAsia" w:hAnsiTheme="minorEastAsia" w:cs="Helvetica"/>
          <w:b w:val="0"/>
          <w:spacing w:val="15"/>
          <w:sz w:val="28"/>
          <w:szCs w:val="28"/>
        </w:rPr>
      </w:pPr>
    </w:p>
    <w:p w14:paraId="775E8592" w14:textId="77777777" w:rsidR="003F5F97" w:rsidRDefault="003F5F97">
      <w:pPr>
        <w:ind w:firstLineChars="200" w:firstLine="620"/>
        <w:rPr>
          <w:rStyle w:val="ad"/>
          <w:rFonts w:asciiTheme="minorEastAsia" w:hAnsiTheme="minorEastAsia" w:cs="Helvetica"/>
          <w:b w:val="0"/>
          <w:spacing w:val="15"/>
          <w:sz w:val="28"/>
          <w:szCs w:val="28"/>
        </w:rPr>
      </w:pPr>
    </w:p>
    <w:p w14:paraId="00373086" w14:textId="77777777" w:rsidR="003F5F97" w:rsidRDefault="003F5F97">
      <w:pPr>
        <w:ind w:firstLineChars="200" w:firstLine="620"/>
        <w:rPr>
          <w:rStyle w:val="ad"/>
          <w:rFonts w:asciiTheme="minorEastAsia" w:hAnsiTheme="minorEastAsia" w:cs="Helvetica"/>
          <w:b w:val="0"/>
          <w:spacing w:val="15"/>
          <w:sz w:val="28"/>
          <w:szCs w:val="28"/>
        </w:rPr>
      </w:pPr>
    </w:p>
    <w:p w14:paraId="604D292B" w14:textId="77777777" w:rsidR="003F5F97" w:rsidRDefault="003F5F97">
      <w:pPr>
        <w:ind w:firstLineChars="200" w:firstLine="620"/>
        <w:rPr>
          <w:rStyle w:val="ad"/>
          <w:rFonts w:asciiTheme="minorEastAsia" w:hAnsiTheme="minorEastAsia" w:cs="Helvetica"/>
          <w:b w:val="0"/>
          <w:spacing w:val="15"/>
          <w:sz w:val="28"/>
          <w:szCs w:val="28"/>
        </w:rPr>
      </w:pPr>
    </w:p>
    <w:p w14:paraId="0B314213" w14:textId="77777777" w:rsidR="003F5F97" w:rsidRDefault="003F5F97">
      <w:pPr>
        <w:ind w:firstLineChars="200" w:firstLine="620"/>
        <w:rPr>
          <w:rStyle w:val="ad"/>
          <w:rFonts w:asciiTheme="minorEastAsia" w:hAnsiTheme="minorEastAsia" w:cs="Helvetica"/>
          <w:b w:val="0"/>
          <w:spacing w:val="15"/>
          <w:sz w:val="28"/>
          <w:szCs w:val="28"/>
        </w:rPr>
      </w:pPr>
    </w:p>
    <w:p w14:paraId="7BC08088" w14:textId="77777777" w:rsidR="003F5F97" w:rsidRDefault="00000000">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附件5</w:t>
      </w:r>
    </w:p>
    <w:p w14:paraId="230FD300" w14:textId="77777777" w:rsidR="003F5F97" w:rsidRDefault="003F5F97">
      <w:pPr>
        <w:rPr>
          <w:rFonts w:ascii="微软雅黑" w:eastAsia="微软雅黑" w:hAnsi="微软雅黑" w:cs="宋体"/>
          <w:color w:val="333333"/>
          <w:spacing w:val="8"/>
          <w:kern w:val="0"/>
          <w:sz w:val="33"/>
          <w:szCs w:val="33"/>
        </w:rPr>
      </w:pPr>
    </w:p>
    <w:p w14:paraId="311E6890" w14:textId="77777777" w:rsidR="003F5F97" w:rsidRDefault="00000000">
      <w:pPr>
        <w:jc w:val="left"/>
      </w:pPr>
      <w:proofErr w:type="gramStart"/>
      <w:r>
        <w:rPr>
          <w:rFonts w:ascii="微软雅黑" w:eastAsia="微软雅黑" w:hAnsi="微软雅黑" w:cs="宋体" w:hint="eastAsia"/>
          <w:color w:val="333333"/>
          <w:spacing w:val="8"/>
          <w:kern w:val="0"/>
          <w:sz w:val="33"/>
          <w:szCs w:val="33"/>
        </w:rPr>
        <w:t>思派健康</w:t>
      </w:r>
      <w:proofErr w:type="gramEnd"/>
      <w:r>
        <w:rPr>
          <w:rFonts w:ascii="微软雅黑" w:eastAsia="微软雅黑" w:hAnsi="微软雅黑" w:cs="宋体" w:hint="eastAsia"/>
          <w:color w:val="333333"/>
          <w:spacing w:val="8"/>
          <w:kern w:val="0"/>
          <w:sz w:val="33"/>
          <w:szCs w:val="33"/>
        </w:rPr>
        <w:t>上市，首日大涨超30%</w:t>
      </w:r>
    </w:p>
    <w:p w14:paraId="769E33AD" w14:textId="77777777" w:rsidR="003F5F97" w:rsidRDefault="003F5F97">
      <w:pPr>
        <w:jc w:val="left"/>
      </w:pPr>
    </w:p>
    <w:p w14:paraId="2E316C1C" w14:textId="77777777" w:rsidR="003F5F97" w:rsidRDefault="00000000">
      <w:pPr>
        <w:jc w:val="left"/>
        <w:rPr>
          <w:rStyle w:val="ad"/>
          <w:rFonts w:asciiTheme="minorEastAsia" w:eastAsiaTheme="minorEastAsia" w:hAnsiTheme="minorEastAsia" w:cs="Helvetica"/>
          <w:b w:val="0"/>
          <w:spacing w:val="15"/>
          <w:sz w:val="28"/>
          <w:szCs w:val="28"/>
        </w:rPr>
      </w:pPr>
      <w:r>
        <w:rPr>
          <w:rFonts w:hint="eastAsia"/>
        </w:rPr>
        <w:t>第一</w:t>
      </w:r>
      <w:proofErr w:type="gramStart"/>
      <w:r>
        <w:rPr>
          <w:rFonts w:hint="eastAsia"/>
        </w:rPr>
        <w:t>药店财智</w:t>
      </w:r>
      <w:proofErr w:type="gramEnd"/>
      <w:r>
        <w:rPr>
          <w:rFonts w:hint="eastAsia"/>
        </w:rPr>
        <w:t xml:space="preserve"> 2022-12-23</w:t>
      </w:r>
    </w:p>
    <w:p w14:paraId="390D362E" w14:textId="77777777" w:rsidR="003F5F97" w:rsidRDefault="003F5F97">
      <w:pPr>
        <w:jc w:val="left"/>
        <w:rPr>
          <w:rStyle w:val="ad"/>
          <w:rFonts w:asciiTheme="minorEastAsia" w:eastAsiaTheme="minorEastAsia" w:hAnsiTheme="minorEastAsia" w:cs="Helvetica"/>
          <w:b w:val="0"/>
          <w:spacing w:val="15"/>
          <w:sz w:val="28"/>
          <w:szCs w:val="28"/>
        </w:rPr>
      </w:pPr>
    </w:p>
    <w:p w14:paraId="4AE44B8A" w14:textId="77777777" w:rsidR="003F5F97" w:rsidRDefault="00000000">
      <w:pPr>
        <w:ind w:firstLineChars="200" w:firstLine="620"/>
        <w:jc w:val="left"/>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（00314.HK）今日（12月23日）正式在港交所主板上市，摩根士丹利与海通国际为联席保荐人。</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此次上市IPO价格为18.6港元，发售991.94万股，</w:t>
      </w:r>
      <w:proofErr w:type="gramStart"/>
      <w:r>
        <w:rPr>
          <w:rStyle w:val="ad"/>
          <w:rFonts w:asciiTheme="minorEastAsia" w:hAnsiTheme="minorEastAsia" w:cs="Helvetica" w:hint="eastAsia"/>
          <w:b w:val="0"/>
          <w:spacing w:val="15"/>
          <w:sz w:val="28"/>
          <w:szCs w:val="28"/>
        </w:rPr>
        <w:t>净筹</w:t>
      </w:r>
      <w:proofErr w:type="gramEnd"/>
      <w:r>
        <w:rPr>
          <w:rStyle w:val="ad"/>
          <w:rFonts w:asciiTheme="minorEastAsia" w:hAnsiTheme="minorEastAsia" w:cs="Helvetica" w:hint="eastAsia"/>
          <w:b w:val="0"/>
          <w:spacing w:val="15"/>
          <w:sz w:val="28"/>
          <w:szCs w:val="28"/>
        </w:rPr>
        <w:t>1.204亿港元。截至收盘，</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 xml:space="preserve">报25.00港元，上涨34.41%，港股市值190.76亿港元。 </w:t>
      </w:r>
    </w:p>
    <w:p w14:paraId="3332DC41" w14:textId="77777777" w:rsidR="003F5F97" w:rsidRDefault="003F5F97">
      <w:pPr>
        <w:widowControl/>
        <w:jc w:val="left"/>
        <w:rPr>
          <w:rFonts w:ascii="微软雅黑" w:eastAsia="微软雅黑" w:hAnsi="微软雅黑" w:cs="微软雅黑"/>
          <w:b/>
          <w:bCs/>
          <w:color w:val="CD0202"/>
          <w:spacing w:val="8"/>
          <w:kern w:val="0"/>
          <w:sz w:val="28"/>
          <w:szCs w:val="28"/>
          <w:shd w:val="clear" w:color="auto" w:fill="FFFFFF"/>
          <w:lang w:bidi="ar"/>
        </w:rPr>
      </w:pPr>
    </w:p>
    <w:p w14:paraId="41386B67" w14:textId="77777777" w:rsidR="003F5F97" w:rsidRDefault="00000000">
      <w:pPr>
        <w:widowControl/>
        <w:jc w:val="left"/>
      </w:pPr>
      <w:r>
        <w:rPr>
          <w:rFonts w:ascii="微软雅黑" w:eastAsia="微软雅黑" w:hAnsi="微软雅黑" w:cs="微软雅黑" w:hint="eastAsia"/>
          <w:b/>
          <w:bCs/>
          <w:color w:val="CD0202"/>
          <w:spacing w:val="8"/>
          <w:kern w:val="0"/>
          <w:sz w:val="60"/>
          <w:szCs w:val="60"/>
          <w:shd w:val="clear" w:color="auto" w:fill="FFFFFF"/>
          <w:lang w:bidi="ar"/>
        </w:rPr>
        <w:t>01 </w:t>
      </w:r>
    </w:p>
    <w:p w14:paraId="2C7D1454" w14:textId="77777777" w:rsidR="003F5F97" w:rsidRDefault="00000000">
      <w:pPr>
        <w:pStyle w:val="ab"/>
        <w:shd w:val="clear" w:color="auto" w:fill="FFFFFF"/>
        <w:spacing w:before="0" w:beforeAutospacing="0" w:after="0" w:afterAutospacing="0" w:line="368" w:lineRule="atLeast"/>
        <w:ind w:left="120" w:right="120"/>
        <w:jc w:val="both"/>
        <w:rPr>
          <w:rFonts w:ascii="微软雅黑" w:eastAsia="微软雅黑" w:hAnsi="微软雅黑" w:cs="微软雅黑"/>
          <w:color w:val="222222"/>
          <w:spacing w:val="8"/>
          <w:sz w:val="25"/>
          <w:szCs w:val="25"/>
        </w:rPr>
      </w:pPr>
      <w:r>
        <w:rPr>
          <w:rStyle w:val="ad"/>
          <w:rFonts w:ascii="微软雅黑" w:eastAsia="微软雅黑" w:hAnsi="微软雅黑" w:cs="微软雅黑" w:hint="eastAsia"/>
          <w:color w:val="222222"/>
          <w:spacing w:val="30"/>
          <w:shd w:val="clear" w:color="auto" w:fill="FFFFFF"/>
        </w:rPr>
        <w:t>三大业务线形</w:t>
      </w:r>
      <w:proofErr w:type="gramStart"/>
      <w:r>
        <w:rPr>
          <w:rStyle w:val="ad"/>
          <w:rFonts w:ascii="微软雅黑" w:eastAsia="微软雅黑" w:hAnsi="微软雅黑" w:cs="微软雅黑" w:hint="eastAsia"/>
          <w:color w:val="222222"/>
          <w:spacing w:val="30"/>
          <w:shd w:val="clear" w:color="auto" w:fill="FFFFFF"/>
        </w:rPr>
        <w:t>成服务</w:t>
      </w:r>
      <w:proofErr w:type="gramEnd"/>
      <w:r>
        <w:rPr>
          <w:rStyle w:val="ad"/>
          <w:rFonts w:ascii="微软雅黑" w:eastAsia="微软雅黑" w:hAnsi="微软雅黑" w:cs="微软雅黑" w:hint="eastAsia"/>
          <w:color w:val="222222"/>
          <w:spacing w:val="30"/>
          <w:shd w:val="clear" w:color="auto" w:fill="FFFFFF"/>
        </w:rPr>
        <w:t>闭环</w:t>
      </w:r>
    </w:p>
    <w:p w14:paraId="5581A00C"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自成立以来，</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致力于通过技术平台及数据赋能的营运能力，将中国医疗健康系统的患者、医生、医疗机构、制药公司及支付方联系起来，发展共生生态系统。目前，</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主要拥有特药药房业务、医生研究协助及健康保险服务三大业务。</w:t>
      </w:r>
    </w:p>
    <w:p w14:paraId="68E5DBC7"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具体来看，特药药房业务线包括特药药房和增值专业药剂师服务，专注于治疗肿瘤和其他危重疾病的特药。截至2022</w:t>
      </w:r>
      <w:r>
        <w:rPr>
          <w:rStyle w:val="ad"/>
          <w:rFonts w:asciiTheme="minorEastAsia" w:hAnsiTheme="minorEastAsia" w:cs="Helvetica" w:hint="eastAsia"/>
          <w:b w:val="0"/>
          <w:spacing w:val="15"/>
          <w:sz w:val="28"/>
          <w:szCs w:val="28"/>
        </w:rPr>
        <w:lastRenderedPageBreak/>
        <w:t>年6月30日，</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在中国内地除西藏和青海以外的所有省级行政区经营103家特药药房。其中，76家为社会医疗保险的定点药房，占所有特药药房约74%，另有47家特药药房已从当地</w:t>
      </w:r>
      <w:proofErr w:type="gramStart"/>
      <w:r>
        <w:rPr>
          <w:rStyle w:val="ad"/>
          <w:rFonts w:asciiTheme="minorEastAsia" w:hAnsiTheme="minorEastAsia" w:cs="Helvetica" w:hint="eastAsia"/>
          <w:b w:val="0"/>
          <w:spacing w:val="15"/>
          <w:sz w:val="28"/>
          <w:szCs w:val="28"/>
        </w:rPr>
        <w:t>医</w:t>
      </w:r>
      <w:proofErr w:type="gramEnd"/>
      <w:r>
        <w:rPr>
          <w:rStyle w:val="ad"/>
          <w:rFonts w:asciiTheme="minorEastAsia" w:hAnsiTheme="minorEastAsia" w:cs="Helvetica" w:hint="eastAsia"/>
          <w:b w:val="0"/>
          <w:spacing w:val="15"/>
          <w:sz w:val="28"/>
          <w:szCs w:val="28"/>
        </w:rPr>
        <w:t>保管理部门取得社会医疗保险的"大病</w:t>
      </w:r>
      <w:proofErr w:type="gramStart"/>
      <w:r>
        <w:rPr>
          <w:rStyle w:val="ad"/>
          <w:rFonts w:asciiTheme="minorEastAsia" w:hAnsiTheme="minorEastAsia" w:cs="Helvetica" w:hint="eastAsia"/>
          <w:b w:val="0"/>
          <w:spacing w:val="15"/>
          <w:sz w:val="28"/>
          <w:szCs w:val="28"/>
        </w:rPr>
        <w:t>医</w:t>
      </w:r>
      <w:proofErr w:type="gramEnd"/>
      <w:r>
        <w:rPr>
          <w:rStyle w:val="ad"/>
          <w:rFonts w:asciiTheme="minorEastAsia" w:hAnsiTheme="minorEastAsia" w:cs="Helvetica" w:hint="eastAsia"/>
          <w:b w:val="0"/>
          <w:spacing w:val="15"/>
          <w:sz w:val="28"/>
          <w:szCs w:val="28"/>
        </w:rPr>
        <w:t>保双通道资质"，使患者可以报销此前只有在公立医院购买时才能报销的药品开支。</w:t>
      </w:r>
    </w:p>
    <w:p w14:paraId="552D3EF4"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医生研究协助方面，</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从事SMO业务，以支持制药公司从I期到IV期临床试验的药物研发过程，在创新药物上市后提供真实世界研究（RWS）服务。截至2022年6月30日，</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分布在87个城市的试验中心已累计为289名客户提供服务，已实现27家省级肿瘤专科医院及五个国家级癌症治疗中心的全覆盖。截至2022年6月30日，</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已完成99个SMO项目，并正在进行936个SMO项目。</w:t>
      </w:r>
    </w:p>
    <w:p w14:paraId="43D4F26E"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健康保险服务方面，截至2022年6月30日，</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的健康服务提供商网络将中国150多个主要城市的1200多家三甲医院、55000名医生及500家体检机构联系起来。截至2022年6月30日，</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为约2390万名个人会员及876名企业客户提供服务。</w:t>
      </w:r>
    </w:p>
    <w:p w14:paraId="5B652CFE" w14:textId="77777777" w:rsidR="003F5F97" w:rsidRDefault="00000000">
      <w:pPr>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noProof/>
          <w:spacing w:val="15"/>
          <w:sz w:val="28"/>
          <w:szCs w:val="28"/>
        </w:rPr>
        <w:lastRenderedPageBreak/>
        <w:drawing>
          <wp:inline distT="0" distB="0" distL="114300" distR="114300" wp14:anchorId="3B3E8824" wp14:editId="68F9B0A8">
            <wp:extent cx="5069205" cy="3503930"/>
            <wp:effectExtent l="0" t="0" r="17145" b="1270"/>
            <wp:docPr id="6" name="图片 6" descr="db20516fa92a875da0ce0e54a8ecb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b20516fa92a875da0ce0e54a8ecb904"/>
                    <pic:cNvPicPr>
                      <a:picLocks noChangeAspect="1"/>
                    </pic:cNvPicPr>
                  </pic:nvPicPr>
                  <pic:blipFill>
                    <a:blip r:embed="rId25"/>
                    <a:stretch>
                      <a:fillRect/>
                    </a:stretch>
                  </pic:blipFill>
                  <pic:spPr>
                    <a:xfrm>
                      <a:off x="0" y="0"/>
                      <a:ext cx="5069205" cy="3503930"/>
                    </a:xfrm>
                    <a:prstGeom prst="rect">
                      <a:avLst/>
                    </a:prstGeom>
                  </pic:spPr>
                </pic:pic>
              </a:graphicData>
            </a:graphic>
          </wp:inline>
        </w:drawing>
      </w:r>
    </w:p>
    <w:p w14:paraId="537BED9B" w14:textId="77777777" w:rsidR="003F5F97" w:rsidRDefault="003F5F97">
      <w:pPr>
        <w:ind w:firstLineChars="200" w:firstLine="620"/>
        <w:jc w:val="left"/>
        <w:rPr>
          <w:rStyle w:val="ad"/>
          <w:rFonts w:asciiTheme="minorEastAsia" w:hAnsiTheme="minorEastAsia" w:cs="Helvetica"/>
          <w:b w:val="0"/>
          <w:spacing w:val="15"/>
          <w:sz w:val="28"/>
          <w:szCs w:val="28"/>
        </w:rPr>
      </w:pPr>
    </w:p>
    <w:p w14:paraId="54572B46"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截至目前，</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已围绕合作伙伴及三条高度协同的业务线建立一个自我强化的生态系统。</w:t>
      </w:r>
    </w:p>
    <w:p w14:paraId="2F23FFB6" w14:textId="77777777" w:rsidR="003F5F97" w:rsidRDefault="00000000">
      <w:pPr>
        <w:jc w:val="left"/>
        <w:rPr>
          <w:rStyle w:val="ad"/>
          <w:rFonts w:ascii="微软雅黑" w:eastAsia="微软雅黑" w:hAnsi="微软雅黑" w:cs="微软雅黑"/>
          <w:color w:val="CD0202"/>
          <w:spacing w:val="8"/>
          <w:sz w:val="60"/>
          <w:szCs w:val="60"/>
        </w:rPr>
      </w:pPr>
      <w:r>
        <w:rPr>
          <w:rStyle w:val="ad"/>
          <w:rFonts w:ascii="微软雅黑" w:eastAsia="微软雅黑" w:hAnsi="微软雅黑" w:cs="微软雅黑"/>
          <w:color w:val="CD0202"/>
          <w:spacing w:val="8"/>
          <w:sz w:val="60"/>
          <w:szCs w:val="60"/>
        </w:rPr>
        <w:t>02 </w:t>
      </w:r>
    </w:p>
    <w:p w14:paraId="1315B672" w14:textId="77777777" w:rsidR="003F5F97" w:rsidRDefault="00000000">
      <w:pPr>
        <w:pStyle w:val="ab"/>
        <w:shd w:val="clear" w:color="auto" w:fill="FFFFFF"/>
        <w:spacing w:before="0" w:beforeAutospacing="0" w:after="0" w:afterAutospacing="0" w:line="368" w:lineRule="atLeast"/>
        <w:ind w:left="120" w:right="120"/>
        <w:jc w:val="both"/>
        <w:rPr>
          <w:rStyle w:val="ad"/>
          <w:rFonts w:ascii="微软雅黑" w:eastAsia="微软雅黑" w:hAnsi="微软雅黑" w:cs="微软雅黑"/>
          <w:color w:val="222222"/>
          <w:spacing w:val="30"/>
          <w:shd w:val="clear" w:color="auto" w:fill="FFFFFF"/>
        </w:rPr>
      </w:pPr>
      <w:r>
        <w:rPr>
          <w:rStyle w:val="ad"/>
          <w:rFonts w:ascii="微软雅黑" w:eastAsia="微软雅黑" w:hAnsi="微软雅黑" w:cs="微软雅黑" w:hint="eastAsia"/>
          <w:color w:val="222222"/>
          <w:spacing w:val="30"/>
          <w:shd w:val="clear" w:color="auto" w:fill="FFFFFF"/>
        </w:rPr>
        <w:t>2022上半年营</w:t>
      </w:r>
      <w:proofErr w:type="gramStart"/>
      <w:r>
        <w:rPr>
          <w:rStyle w:val="ad"/>
          <w:rFonts w:ascii="微软雅黑" w:eastAsia="微软雅黑" w:hAnsi="微软雅黑" w:cs="微软雅黑" w:hint="eastAsia"/>
          <w:color w:val="222222"/>
          <w:spacing w:val="30"/>
          <w:shd w:val="clear" w:color="auto" w:fill="FFFFFF"/>
        </w:rPr>
        <w:t>收增长</w:t>
      </w:r>
      <w:proofErr w:type="gramEnd"/>
      <w:r>
        <w:rPr>
          <w:rStyle w:val="ad"/>
          <w:rFonts w:ascii="微软雅黑" w:eastAsia="微软雅黑" w:hAnsi="微软雅黑" w:cs="微软雅黑" w:hint="eastAsia"/>
          <w:color w:val="222222"/>
          <w:spacing w:val="30"/>
          <w:shd w:val="clear" w:color="auto" w:fill="FFFFFF"/>
        </w:rPr>
        <w:t>21.8%</w:t>
      </w:r>
    </w:p>
    <w:p w14:paraId="4304F846" w14:textId="77777777" w:rsidR="003F5F97" w:rsidRDefault="00000000">
      <w:pPr>
        <w:ind w:firstLineChars="200" w:firstLine="620"/>
        <w:jc w:val="left"/>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表示，在三大业务板块持续发力的背景下，尽管身处国内疫情反复的大环境，</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科技仍实现稳健经营，营收毛利双增，各业务线均实现了强劲的有机增长。</w:t>
      </w:r>
    </w:p>
    <w:p w14:paraId="30B56C7F"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根据</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招股书，2019-2021年的最近三年，</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收入增长迅猛，分别为10.4亿元、27.0亿元和34.7亿元。截至2022年6月30日</w:t>
      </w:r>
      <w:proofErr w:type="gramStart"/>
      <w:r>
        <w:rPr>
          <w:rStyle w:val="ad"/>
          <w:rFonts w:asciiTheme="minorEastAsia" w:hAnsiTheme="minorEastAsia" w:cs="Helvetica" w:hint="eastAsia"/>
          <w:b w:val="0"/>
          <w:spacing w:val="15"/>
          <w:sz w:val="28"/>
          <w:szCs w:val="28"/>
        </w:rPr>
        <w:t>止</w:t>
      </w:r>
      <w:proofErr w:type="gramEnd"/>
      <w:r>
        <w:rPr>
          <w:rStyle w:val="ad"/>
          <w:rFonts w:asciiTheme="minorEastAsia" w:hAnsiTheme="minorEastAsia" w:cs="Helvetica" w:hint="eastAsia"/>
          <w:b w:val="0"/>
          <w:spacing w:val="15"/>
          <w:sz w:val="28"/>
          <w:szCs w:val="28"/>
        </w:rPr>
        <w:t>六个月，</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产生收入18.88亿元，同比上升21.8%。</w:t>
      </w:r>
    </w:p>
    <w:p w14:paraId="3B102086"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lastRenderedPageBreak/>
        <w:t>净利润方面，2019-2021年，</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的净亏损额度分别为5.96亿元、10.42亿元和37.49亿元。值得一提的是，2022年上半年，</w:t>
      </w:r>
      <w:proofErr w:type="gramStart"/>
      <w:r>
        <w:rPr>
          <w:rStyle w:val="ad"/>
          <w:rFonts w:asciiTheme="minorEastAsia" w:hAnsiTheme="minorEastAsia" w:cs="Helvetica" w:hint="eastAsia"/>
          <w:b w:val="0"/>
          <w:spacing w:val="15"/>
          <w:sz w:val="28"/>
          <w:szCs w:val="28"/>
        </w:rPr>
        <w:t>思派健康期内亏损</w:t>
      </w:r>
      <w:proofErr w:type="gramEnd"/>
      <w:r>
        <w:rPr>
          <w:rStyle w:val="ad"/>
          <w:rFonts w:asciiTheme="minorEastAsia" w:hAnsiTheme="minorEastAsia" w:cs="Helvetica" w:hint="eastAsia"/>
          <w:b w:val="0"/>
          <w:spacing w:val="15"/>
          <w:sz w:val="28"/>
          <w:szCs w:val="28"/>
        </w:rPr>
        <w:t>3.46亿元，亏损幅度收窄。</w:t>
      </w:r>
    </w:p>
    <w:p w14:paraId="74BC8D18" w14:textId="77777777" w:rsidR="003F5F97" w:rsidRDefault="00000000">
      <w:pPr>
        <w:jc w:val="left"/>
        <w:rPr>
          <w:rStyle w:val="ad"/>
          <w:rFonts w:asciiTheme="minorEastAsia" w:eastAsiaTheme="minorEastAsia" w:hAnsiTheme="minorEastAsia" w:cs="Helvetica"/>
          <w:b w:val="0"/>
          <w:spacing w:val="15"/>
          <w:sz w:val="28"/>
          <w:szCs w:val="28"/>
        </w:rPr>
      </w:pPr>
      <w:r>
        <w:rPr>
          <w:rStyle w:val="ad"/>
          <w:rFonts w:asciiTheme="minorEastAsia" w:eastAsiaTheme="minorEastAsia" w:hAnsiTheme="minorEastAsia" w:cs="Helvetica" w:hint="eastAsia"/>
          <w:b w:val="0"/>
          <w:noProof/>
          <w:spacing w:val="15"/>
          <w:sz w:val="28"/>
          <w:szCs w:val="28"/>
        </w:rPr>
        <w:drawing>
          <wp:inline distT="0" distB="0" distL="114300" distR="114300" wp14:anchorId="4DFB063B" wp14:editId="322AE02C">
            <wp:extent cx="5266055" cy="1338580"/>
            <wp:effectExtent l="0" t="0" r="10795" b="13970"/>
            <wp:docPr id="2" name="图片 2" descr="01102fb543ec12e0bf8523fd53e3b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102fb543ec12e0bf8523fd53e3b845"/>
                    <pic:cNvPicPr>
                      <a:picLocks noChangeAspect="1"/>
                    </pic:cNvPicPr>
                  </pic:nvPicPr>
                  <pic:blipFill>
                    <a:blip r:embed="rId26"/>
                    <a:stretch>
                      <a:fillRect/>
                    </a:stretch>
                  </pic:blipFill>
                  <pic:spPr>
                    <a:xfrm>
                      <a:off x="0" y="0"/>
                      <a:ext cx="5266055" cy="1338580"/>
                    </a:xfrm>
                    <a:prstGeom prst="rect">
                      <a:avLst/>
                    </a:prstGeom>
                  </pic:spPr>
                </pic:pic>
              </a:graphicData>
            </a:graphic>
          </wp:inline>
        </w:drawing>
      </w:r>
    </w:p>
    <w:p w14:paraId="007DB873" w14:textId="77777777" w:rsidR="003F5F97" w:rsidRDefault="00000000">
      <w:pPr>
        <w:ind w:firstLineChars="200" w:firstLine="620"/>
        <w:jc w:val="left"/>
        <w:rPr>
          <w:rStyle w:val="ad"/>
          <w:rFonts w:asciiTheme="minorEastAsia" w:hAnsiTheme="minorEastAsia" w:cs="Helvetica"/>
          <w:b w:val="0"/>
          <w:spacing w:val="15"/>
          <w:sz w:val="28"/>
          <w:szCs w:val="28"/>
        </w:rPr>
      </w:pPr>
      <w:r>
        <w:rPr>
          <w:rStyle w:val="ad"/>
          <w:rFonts w:asciiTheme="minorEastAsia" w:hAnsiTheme="minorEastAsia" w:cs="Helvetica" w:hint="eastAsia"/>
          <w:b w:val="0"/>
          <w:spacing w:val="15"/>
          <w:sz w:val="28"/>
          <w:szCs w:val="28"/>
        </w:rPr>
        <w:t>一直以来，特药药房业务是</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的主要营收业务，2022年上半年，特药药房业务收入占比高达88.17%。</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于2017年8月开设首家特药药房，并通过内</w:t>
      </w:r>
      <w:proofErr w:type="gramStart"/>
      <w:r>
        <w:rPr>
          <w:rStyle w:val="ad"/>
          <w:rFonts w:asciiTheme="minorEastAsia" w:hAnsiTheme="minorEastAsia" w:cs="Helvetica" w:hint="eastAsia"/>
          <w:b w:val="0"/>
          <w:spacing w:val="15"/>
          <w:sz w:val="28"/>
          <w:szCs w:val="28"/>
        </w:rPr>
        <w:t>生增长</w:t>
      </w:r>
      <w:proofErr w:type="gramEnd"/>
      <w:r>
        <w:rPr>
          <w:rStyle w:val="ad"/>
          <w:rFonts w:asciiTheme="minorEastAsia" w:hAnsiTheme="minorEastAsia" w:cs="Helvetica" w:hint="eastAsia"/>
          <w:b w:val="0"/>
          <w:spacing w:val="15"/>
          <w:sz w:val="28"/>
          <w:szCs w:val="28"/>
        </w:rPr>
        <w:t>及战略收购稳步扩张全国各地布局，特药药房数目由2019年底的70家，增加截至2022年6月30日的103家，特药药房数目稳步增长。</w:t>
      </w:r>
    </w:p>
    <w:p w14:paraId="7219C873" w14:textId="77777777" w:rsidR="003F5F97" w:rsidRDefault="00000000">
      <w:pPr>
        <w:jc w:val="center"/>
        <w:rPr>
          <w:rStyle w:val="ad"/>
          <w:rFonts w:asciiTheme="minorEastAsia" w:eastAsiaTheme="minorEastAsia" w:hAnsiTheme="minorEastAsia" w:cs="Helvetica"/>
          <w:b w:val="0"/>
          <w:spacing w:val="15"/>
          <w:sz w:val="28"/>
          <w:szCs w:val="28"/>
        </w:rPr>
      </w:pPr>
      <w:proofErr w:type="gramStart"/>
      <w:r>
        <w:rPr>
          <w:rStyle w:val="ad"/>
          <w:rFonts w:ascii="微软雅黑" w:eastAsia="微软雅黑" w:hAnsi="微软雅黑" w:cs="微软雅黑"/>
          <w:color w:val="222222"/>
          <w:spacing w:val="30"/>
          <w:sz w:val="18"/>
          <w:szCs w:val="18"/>
          <w:shd w:val="clear" w:color="auto" w:fill="FFFFFF"/>
        </w:rPr>
        <w:t>思派健康</w:t>
      </w:r>
      <w:proofErr w:type="gramEnd"/>
      <w:r>
        <w:rPr>
          <w:rStyle w:val="ad"/>
          <w:rFonts w:ascii="微软雅黑" w:eastAsia="微软雅黑" w:hAnsi="微软雅黑" w:cs="微软雅黑"/>
          <w:color w:val="222222"/>
          <w:spacing w:val="30"/>
          <w:sz w:val="18"/>
          <w:szCs w:val="18"/>
          <w:shd w:val="clear" w:color="auto" w:fill="FFFFFF"/>
        </w:rPr>
        <w:t>特药药房区域分布</w:t>
      </w:r>
      <w:r>
        <w:rPr>
          <w:rStyle w:val="ad"/>
          <w:rFonts w:asciiTheme="minorEastAsia" w:eastAsiaTheme="minorEastAsia" w:hAnsiTheme="minorEastAsia" w:cs="Helvetica" w:hint="eastAsia"/>
          <w:b w:val="0"/>
          <w:noProof/>
          <w:spacing w:val="15"/>
          <w:sz w:val="28"/>
          <w:szCs w:val="28"/>
        </w:rPr>
        <w:drawing>
          <wp:inline distT="0" distB="0" distL="114300" distR="114300" wp14:anchorId="31E6D08D" wp14:editId="7EDB7F85">
            <wp:extent cx="5269230" cy="1763395"/>
            <wp:effectExtent l="0" t="0" r="7620" b="8255"/>
            <wp:docPr id="9" name="图片 9" descr="b506fcb67b494ddc9268cc2b304f1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506fcb67b494ddc9268cc2b304f1c0c"/>
                    <pic:cNvPicPr>
                      <a:picLocks noChangeAspect="1"/>
                    </pic:cNvPicPr>
                  </pic:nvPicPr>
                  <pic:blipFill>
                    <a:blip r:embed="rId27"/>
                    <a:stretch>
                      <a:fillRect/>
                    </a:stretch>
                  </pic:blipFill>
                  <pic:spPr>
                    <a:xfrm>
                      <a:off x="0" y="0"/>
                      <a:ext cx="5269230" cy="1763395"/>
                    </a:xfrm>
                    <a:prstGeom prst="rect">
                      <a:avLst/>
                    </a:prstGeom>
                  </pic:spPr>
                </pic:pic>
              </a:graphicData>
            </a:graphic>
          </wp:inline>
        </w:drawing>
      </w:r>
    </w:p>
    <w:p w14:paraId="622BD837" w14:textId="77777777" w:rsidR="003F5F97" w:rsidRDefault="00000000">
      <w:pPr>
        <w:ind w:firstLineChars="200" w:firstLine="620"/>
        <w:jc w:val="left"/>
        <w:rPr>
          <w:rStyle w:val="ad"/>
          <w:rFonts w:asciiTheme="minorEastAsia" w:hAnsiTheme="minorEastAsia" w:cs="Helvetica"/>
          <w:b w:val="0"/>
          <w:spacing w:val="15"/>
          <w:sz w:val="28"/>
          <w:szCs w:val="28"/>
        </w:rPr>
      </w:pP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介绍，患者可以从特药药房取得创新药物，并获得药剂师服务，例如用药指导、AE 咨询及药品配送。同时，</w:t>
      </w:r>
      <w:proofErr w:type="gramStart"/>
      <w:r>
        <w:rPr>
          <w:rStyle w:val="ad"/>
          <w:rFonts w:asciiTheme="minorEastAsia" w:hAnsiTheme="minorEastAsia" w:cs="Helvetica" w:hint="eastAsia"/>
          <w:b w:val="0"/>
          <w:spacing w:val="15"/>
          <w:sz w:val="28"/>
          <w:szCs w:val="28"/>
        </w:rPr>
        <w:t>思派健康</w:t>
      </w:r>
      <w:proofErr w:type="gramEnd"/>
      <w:r>
        <w:rPr>
          <w:rStyle w:val="ad"/>
          <w:rFonts w:asciiTheme="minorEastAsia" w:hAnsiTheme="minorEastAsia" w:cs="Helvetica" w:hint="eastAsia"/>
          <w:b w:val="0"/>
          <w:spacing w:val="15"/>
          <w:sz w:val="28"/>
          <w:szCs w:val="28"/>
        </w:rPr>
        <w:t>还建立了全国性的特药管理平台，在统一的系统内提供随访评估服务。此外，其特药药房亦与主要保险公司</w:t>
      </w:r>
      <w:proofErr w:type="gramStart"/>
      <w:r>
        <w:rPr>
          <w:rStyle w:val="ad"/>
          <w:rFonts w:asciiTheme="minorEastAsia" w:hAnsiTheme="minorEastAsia" w:cs="Helvetica" w:hint="eastAsia"/>
          <w:b w:val="0"/>
          <w:spacing w:val="15"/>
          <w:sz w:val="28"/>
          <w:szCs w:val="28"/>
        </w:rPr>
        <w:t>建立直付机制</w:t>
      </w:r>
      <w:proofErr w:type="gramEnd"/>
      <w:r>
        <w:rPr>
          <w:rStyle w:val="ad"/>
          <w:rFonts w:asciiTheme="minorEastAsia" w:hAnsiTheme="minorEastAsia" w:cs="Helvetica" w:hint="eastAsia"/>
          <w:b w:val="0"/>
          <w:spacing w:val="15"/>
          <w:sz w:val="28"/>
          <w:szCs w:val="28"/>
        </w:rPr>
        <w:t>，为患者提供额外的支付解决方案。</w:t>
      </w:r>
    </w:p>
    <w:sectPr w:rsidR="003F5F97">
      <w:footerReference w:type="default" r:id="rId28"/>
      <w:pgSz w:w="11906" w:h="16838"/>
      <w:pgMar w:top="1440" w:right="1797" w:bottom="1134"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34FC1" w14:textId="77777777" w:rsidR="003F3A64" w:rsidRDefault="003F3A64">
      <w:r>
        <w:separator/>
      </w:r>
    </w:p>
  </w:endnote>
  <w:endnote w:type="continuationSeparator" w:id="0">
    <w:p w14:paraId="6DD99AF5" w14:textId="77777777" w:rsidR="003F3A64" w:rsidRDefault="003F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iti SC Light">
    <w:altName w:val="Calibri"/>
    <w:charset w:val="50"/>
    <w:family w:val="auto"/>
    <w:pitch w:val="default"/>
    <w:sig w:usb0="00000000" w:usb1="00000000" w:usb2="00000010" w:usb3="00000000" w:csb0="00040000" w:csb1="00000000"/>
  </w:font>
  <w:font w:name="Helvetica">
    <w:panose1 w:val="020B0504020202020204"/>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4036"/>
    </w:sdtPr>
    <w:sdtContent>
      <w:p w14:paraId="3D59BA5A" w14:textId="77777777" w:rsidR="003F5F97" w:rsidRDefault="00000000">
        <w:pPr>
          <w:pStyle w:val="a7"/>
          <w:jc w:val="center"/>
        </w:pPr>
        <w:r>
          <w:fldChar w:fldCharType="begin"/>
        </w:r>
        <w:r>
          <w:instrText xml:space="preserve"> PAGE   \* MERGEFORMAT </w:instrText>
        </w:r>
        <w:r>
          <w:fldChar w:fldCharType="separate"/>
        </w:r>
        <w:r>
          <w:rPr>
            <w:lang w:val="zh-CN"/>
          </w:rPr>
          <w:t>86</w:t>
        </w:r>
        <w:r>
          <w:rPr>
            <w:lang w:val="zh-CN"/>
          </w:rPr>
          <w:fldChar w:fldCharType="end"/>
        </w:r>
      </w:p>
    </w:sdtContent>
  </w:sdt>
  <w:p w14:paraId="364ED953" w14:textId="77777777" w:rsidR="003F5F97" w:rsidRDefault="003F5F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AB56" w14:textId="77777777" w:rsidR="003F3A64" w:rsidRDefault="003F3A64">
      <w:r>
        <w:separator/>
      </w:r>
    </w:p>
  </w:footnote>
  <w:footnote w:type="continuationSeparator" w:id="0">
    <w:p w14:paraId="73267AB1" w14:textId="77777777" w:rsidR="003F3A64" w:rsidRDefault="003F3A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2A9E8D"/>
    <w:multiLevelType w:val="singleLevel"/>
    <w:tmpl w:val="9A2A9E8D"/>
    <w:lvl w:ilvl="0">
      <w:start w:val="1"/>
      <w:numFmt w:val="decimal"/>
      <w:suff w:val="nothing"/>
      <w:lvlText w:val="%1、"/>
      <w:lvlJc w:val="left"/>
    </w:lvl>
  </w:abstractNum>
  <w:abstractNum w:abstractNumId="1" w15:restartNumberingAfterBreak="0">
    <w:nsid w:val="B7C4072A"/>
    <w:multiLevelType w:val="singleLevel"/>
    <w:tmpl w:val="B7C4072A"/>
    <w:lvl w:ilvl="0">
      <w:start w:val="1"/>
      <w:numFmt w:val="decimal"/>
      <w:suff w:val="nothing"/>
      <w:lvlText w:val="%1、"/>
      <w:lvlJc w:val="left"/>
    </w:lvl>
  </w:abstractNum>
  <w:abstractNum w:abstractNumId="2" w15:restartNumberingAfterBreak="0">
    <w:nsid w:val="C91338F0"/>
    <w:multiLevelType w:val="singleLevel"/>
    <w:tmpl w:val="C91338F0"/>
    <w:lvl w:ilvl="0">
      <w:start w:val="1"/>
      <w:numFmt w:val="decimal"/>
      <w:suff w:val="nothing"/>
      <w:lvlText w:val="%1、"/>
      <w:lvlJc w:val="left"/>
    </w:lvl>
  </w:abstractNum>
  <w:abstractNum w:abstractNumId="3" w15:restartNumberingAfterBreak="0">
    <w:nsid w:val="DDAFF24A"/>
    <w:multiLevelType w:val="singleLevel"/>
    <w:tmpl w:val="DDAFF24A"/>
    <w:lvl w:ilvl="0">
      <w:start w:val="1"/>
      <w:numFmt w:val="decimal"/>
      <w:lvlText w:val="%1."/>
      <w:lvlJc w:val="left"/>
      <w:pPr>
        <w:tabs>
          <w:tab w:val="left" w:pos="312"/>
        </w:tabs>
      </w:pPr>
    </w:lvl>
  </w:abstractNum>
  <w:abstractNum w:abstractNumId="4" w15:restartNumberingAfterBreak="0">
    <w:nsid w:val="364857C6"/>
    <w:multiLevelType w:val="singleLevel"/>
    <w:tmpl w:val="364857C6"/>
    <w:lvl w:ilvl="0">
      <w:start w:val="4"/>
      <w:numFmt w:val="decimal"/>
      <w:lvlText w:val="%1."/>
      <w:lvlJc w:val="left"/>
      <w:pPr>
        <w:tabs>
          <w:tab w:val="left" w:pos="312"/>
        </w:tabs>
      </w:pPr>
    </w:lvl>
  </w:abstractNum>
  <w:num w:numId="1" w16cid:durableId="1521967799">
    <w:abstractNumId w:val="4"/>
  </w:num>
  <w:num w:numId="2" w16cid:durableId="1069498009">
    <w:abstractNumId w:val="1"/>
  </w:num>
  <w:num w:numId="3" w16cid:durableId="1410493883">
    <w:abstractNumId w:val="2"/>
  </w:num>
  <w:num w:numId="4" w16cid:durableId="1512378191">
    <w:abstractNumId w:val="0"/>
  </w:num>
  <w:num w:numId="5" w16cid:durableId="733621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g5N2JlZDE0MDE4OWZkOWY5NWY1MDNlNGE2ZWY0ZTUifQ=="/>
  </w:docVars>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75C9"/>
    <w:rsid w:val="00017C59"/>
    <w:rsid w:val="00017FF3"/>
    <w:rsid w:val="000208A4"/>
    <w:rsid w:val="0002159E"/>
    <w:rsid w:val="00022B29"/>
    <w:rsid w:val="00022D08"/>
    <w:rsid w:val="0002356D"/>
    <w:rsid w:val="0002364C"/>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5B1"/>
    <w:rsid w:val="0007594B"/>
    <w:rsid w:val="00076278"/>
    <w:rsid w:val="00076422"/>
    <w:rsid w:val="00076AA0"/>
    <w:rsid w:val="00077AA6"/>
    <w:rsid w:val="0008101C"/>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4"/>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8F7"/>
    <w:rsid w:val="000D37FA"/>
    <w:rsid w:val="000D44E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47"/>
    <w:rsid w:val="001016A6"/>
    <w:rsid w:val="00101B15"/>
    <w:rsid w:val="001031E5"/>
    <w:rsid w:val="001032B8"/>
    <w:rsid w:val="00103BC3"/>
    <w:rsid w:val="00103DAD"/>
    <w:rsid w:val="00104ACF"/>
    <w:rsid w:val="00105135"/>
    <w:rsid w:val="001056A9"/>
    <w:rsid w:val="00105CE5"/>
    <w:rsid w:val="001069F4"/>
    <w:rsid w:val="00106AD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28E1"/>
    <w:rsid w:val="00123126"/>
    <w:rsid w:val="00123D5A"/>
    <w:rsid w:val="00123FCE"/>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7D8"/>
    <w:rsid w:val="0014087D"/>
    <w:rsid w:val="001424A8"/>
    <w:rsid w:val="0014298A"/>
    <w:rsid w:val="00142E3F"/>
    <w:rsid w:val="0014384A"/>
    <w:rsid w:val="001440EE"/>
    <w:rsid w:val="00144ECC"/>
    <w:rsid w:val="001455A2"/>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452F"/>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965"/>
    <w:rsid w:val="001B7DF4"/>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F04"/>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91C"/>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C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1C2"/>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623"/>
    <w:rsid w:val="002B1BAE"/>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72F3"/>
    <w:rsid w:val="002C7A72"/>
    <w:rsid w:val="002C7DC1"/>
    <w:rsid w:val="002D1189"/>
    <w:rsid w:val="002D1EA0"/>
    <w:rsid w:val="002D2553"/>
    <w:rsid w:val="002D2D9C"/>
    <w:rsid w:val="002D3CB8"/>
    <w:rsid w:val="002D4680"/>
    <w:rsid w:val="002D4FF8"/>
    <w:rsid w:val="002D50D6"/>
    <w:rsid w:val="002D580B"/>
    <w:rsid w:val="002D5B47"/>
    <w:rsid w:val="002D68A2"/>
    <w:rsid w:val="002D7855"/>
    <w:rsid w:val="002D7BEE"/>
    <w:rsid w:val="002E096F"/>
    <w:rsid w:val="002E1EA0"/>
    <w:rsid w:val="002E2D86"/>
    <w:rsid w:val="002E36AC"/>
    <w:rsid w:val="002E3F25"/>
    <w:rsid w:val="002E4FD9"/>
    <w:rsid w:val="002E5E7D"/>
    <w:rsid w:val="002E6ABE"/>
    <w:rsid w:val="002F0685"/>
    <w:rsid w:val="002F06C9"/>
    <w:rsid w:val="002F1160"/>
    <w:rsid w:val="002F13BC"/>
    <w:rsid w:val="002F1F90"/>
    <w:rsid w:val="002F3403"/>
    <w:rsid w:val="002F3F94"/>
    <w:rsid w:val="002F40B3"/>
    <w:rsid w:val="002F526F"/>
    <w:rsid w:val="002F55CA"/>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4C54"/>
    <w:rsid w:val="00316472"/>
    <w:rsid w:val="00317276"/>
    <w:rsid w:val="0031748B"/>
    <w:rsid w:val="003179E4"/>
    <w:rsid w:val="00317BF9"/>
    <w:rsid w:val="00320350"/>
    <w:rsid w:val="00320FE0"/>
    <w:rsid w:val="003210F3"/>
    <w:rsid w:val="00321602"/>
    <w:rsid w:val="0032169F"/>
    <w:rsid w:val="00322C5C"/>
    <w:rsid w:val="00323170"/>
    <w:rsid w:val="00323392"/>
    <w:rsid w:val="0032363C"/>
    <w:rsid w:val="00323C2E"/>
    <w:rsid w:val="00323DE1"/>
    <w:rsid w:val="00324197"/>
    <w:rsid w:val="003245D3"/>
    <w:rsid w:val="00325071"/>
    <w:rsid w:val="003268D7"/>
    <w:rsid w:val="00327CAF"/>
    <w:rsid w:val="00327FE5"/>
    <w:rsid w:val="0033263D"/>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5B8"/>
    <w:rsid w:val="00364EDB"/>
    <w:rsid w:val="00365092"/>
    <w:rsid w:val="003656A7"/>
    <w:rsid w:val="00365C24"/>
    <w:rsid w:val="003662F1"/>
    <w:rsid w:val="00366589"/>
    <w:rsid w:val="00366A50"/>
    <w:rsid w:val="00366F4D"/>
    <w:rsid w:val="0036711D"/>
    <w:rsid w:val="00367305"/>
    <w:rsid w:val="0036751A"/>
    <w:rsid w:val="003679CE"/>
    <w:rsid w:val="00370103"/>
    <w:rsid w:val="003712D6"/>
    <w:rsid w:val="00371710"/>
    <w:rsid w:val="003724C8"/>
    <w:rsid w:val="003730BD"/>
    <w:rsid w:val="00373967"/>
    <w:rsid w:val="00373A5F"/>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6661"/>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9D8"/>
    <w:rsid w:val="003F11DF"/>
    <w:rsid w:val="003F12FB"/>
    <w:rsid w:val="003F1864"/>
    <w:rsid w:val="003F1C89"/>
    <w:rsid w:val="003F1D3F"/>
    <w:rsid w:val="003F1F98"/>
    <w:rsid w:val="003F3312"/>
    <w:rsid w:val="003F3A64"/>
    <w:rsid w:val="003F4D08"/>
    <w:rsid w:val="003F5392"/>
    <w:rsid w:val="003F5C06"/>
    <w:rsid w:val="003F5D26"/>
    <w:rsid w:val="003F5E53"/>
    <w:rsid w:val="003F5F97"/>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01C2"/>
    <w:rsid w:val="0041038A"/>
    <w:rsid w:val="00412203"/>
    <w:rsid w:val="00412CF6"/>
    <w:rsid w:val="00413FA9"/>
    <w:rsid w:val="004142CB"/>
    <w:rsid w:val="004145E0"/>
    <w:rsid w:val="0041468C"/>
    <w:rsid w:val="00414706"/>
    <w:rsid w:val="00415BFA"/>
    <w:rsid w:val="00415F69"/>
    <w:rsid w:val="00416421"/>
    <w:rsid w:val="00416EF8"/>
    <w:rsid w:val="00417AE2"/>
    <w:rsid w:val="00421A67"/>
    <w:rsid w:val="00421F7A"/>
    <w:rsid w:val="004220BE"/>
    <w:rsid w:val="00423DB5"/>
    <w:rsid w:val="00425249"/>
    <w:rsid w:val="0042555B"/>
    <w:rsid w:val="00425DDE"/>
    <w:rsid w:val="00430063"/>
    <w:rsid w:val="00431042"/>
    <w:rsid w:val="00431504"/>
    <w:rsid w:val="00432908"/>
    <w:rsid w:val="00432E09"/>
    <w:rsid w:val="00433299"/>
    <w:rsid w:val="0043362D"/>
    <w:rsid w:val="00433A99"/>
    <w:rsid w:val="00434263"/>
    <w:rsid w:val="0043430C"/>
    <w:rsid w:val="004348D6"/>
    <w:rsid w:val="00434C44"/>
    <w:rsid w:val="00436B3A"/>
    <w:rsid w:val="00440712"/>
    <w:rsid w:val="004407B0"/>
    <w:rsid w:val="00441126"/>
    <w:rsid w:val="00442243"/>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251"/>
    <w:rsid w:val="0048680C"/>
    <w:rsid w:val="0048796A"/>
    <w:rsid w:val="00487EF9"/>
    <w:rsid w:val="00490155"/>
    <w:rsid w:val="00490629"/>
    <w:rsid w:val="00490B34"/>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C0247"/>
    <w:rsid w:val="004C171A"/>
    <w:rsid w:val="004C3CBE"/>
    <w:rsid w:val="004C3CE4"/>
    <w:rsid w:val="004C4274"/>
    <w:rsid w:val="004C7281"/>
    <w:rsid w:val="004C7C97"/>
    <w:rsid w:val="004D0092"/>
    <w:rsid w:val="004D0111"/>
    <w:rsid w:val="004D084D"/>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0913"/>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B7"/>
    <w:rsid w:val="005373E7"/>
    <w:rsid w:val="00537403"/>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0EC8"/>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576"/>
    <w:rsid w:val="005B08EE"/>
    <w:rsid w:val="005B0B4C"/>
    <w:rsid w:val="005B0E29"/>
    <w:rsid w:val="005B1D49"/>
    <w:rsid w:val="005B25AE"/>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8A0"/>
    <w:rsid w:val="005E4B49"/>
    <w:rsid w:val="005E5241"/>
    <w:rsid w:val="005E5B1D"/>
    <w:rsid w:val="005E6377"/>
    <w:rsid w:val="005E750B"/>
    <w:rsid w:val="005E7CEA"/>
    <w:rsid w:val="005F023A"/>
    <w:rsid w:val="005F02AF"/>
    <w:rsid w:val="005F1719"/>
    <w:rsid w:val="005F2817"/>
    <w:rsid w:val="005F3812"/>
    <w:rsid w:val="005F4451"/>
    <w:rsid w:val="005F4590"/>
    <w:rsid w:val="005F52CE"/>
    <w:rsid w:val="005F6C87"/>
    <w:rsid w:val="005F73C2"/>
    <w:rsid w:val="005F7AE0"/>
    <w:rsid w:val="0060019F"/>
    <w:rsid w:val="006002B9"/>
    <w:rsid w:val="00600D7E"/>
    <w:rsid w:val="00603094"/>
    <w:rsid w:val="00603466"/>
    <w:rsid w:val="006036D2"/>
    <w:rsid w:val="0060464E"/>
    <w:rsid w:val="006053CD"/>
    <w:rsid w:val="00605FC0"/>
    <w:rsid w:val="0060648C"/>
    <w:rsid w:val="00606E1F"/>
    <w:rsid w:val="00606F85"/>
    <w:rsid w:val="0060747B"/>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37E77"/>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A24"/>
    <w:rsid w:val="00660B52"/>
    <w:rsid w:val="006614A1"/>
    <w:rsid w:val="0066206F"/>
    <w:rsid w:val="00662406"/>
    <w:rsid w:val="00662DE2"/>
    <w:rsid w:val="006633BC"/>
    <w:rsid w:val="006640EE"/>
    <w:rsid w:val="006646B8"/>
    <w:rsid w:val="006651AD"/>
    <w:rsid w:val="00666B51"/>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2065"/>
    <w:rsid w:val="006B304B"/>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4BAB"/>
    <w:rsid w:val="006D6384"/>
    <w:rsid w:val="006D71BF"/>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0F83"/>
    <w:rsid w:val="006F1CEC"/>
    <w:rsid w:val="006F201F"/>
    <w:rsid w:val="006F25F5"/>
    <w:rsid w:val="006F371F"/>
    <w:rsid w:val="006F4B62"/>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3EC"/>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5990"/>
    <w:rsid w:val="00737585"/>
    <w:rsid w:val="0073787C"/>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5CD"/>
    <w:rsid w:val="00757837"/>
    <w:rsid w:val="00757842"/>
    <w:rsid w:val="00760E20"/>
    <w:rsid w:val="00761093"/>
    <w:rsid w:val="007623D4"/>
    <w:rsid w:val="0076594F"/>
    <w:rsid w:val="0076649E"/>
    <w:rsid w:val="00767C54"/>
    <w:rsid w:val="00770794"/>
    <w:rsid w:val="007709D9"/>
    <w:rsid w:val="007723B4"/>
    <w:rsid w:val="007731B4"/>
    <w:rsid w:val="007736E3"/>
    <w:rsid w:val="00773C00"/>
    <w:rsid w:val="00773F73"/>
    <w:rsid w:val="007740F8"/>
    <w:rsid w:val="00774901"/>
    <w:rsid w:val="00774B6B"/>
    <w:rsid w:val="00775274"/>
    <w:rsid w:val="00776326"/>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755"/>
    <w:rsid w:val="00785C8E"/>
    <w:rsid w:val="00786991"/>
    <w:rsid w:val="00786ABF"/>
    <w:rsid w:val="0079015C"/>
    <w:rsid w:val="00790F8E"/>
    <w:rsid w:val="007918EF"/>
    <w:rsid w:val="007927AC"/>
    <w:rsid w:val="007945BD"/>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2C83"/>
    <w:rsid w:val="007B366E"/>
    <w:rsid w:val="007B3F98"/>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173"/>
    <w:rsid w:val="007C7ECB"/>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675B"/>
    <w:rsid w:val="007E67DF"/>
    <w:rsid w:val="007E7290"/>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62A"/>
    <w:rsid w:val="00840E43"/>
    <w:rsid w:val="00841401"/>
    <w:rsid w:val="00843605"/>
    <w:rsid w:val="00843CBC"/>
    <w:rsid w:val="00843DCB"/>
    <w:rsid w:val="00843F22"/>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5DF"/>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7288"/>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969"/>
    <w:rsid w:val="008B6C1E"/>
    <w:rsid w:val="008B7C77"/>
    <w:rsid w:val="008B7DF6"/>
    <w:rsid w:val="008C1535"/>
    <w:rsid w:val="008C18C7"/>
    <w:rsid w:val="008C1B3D"/>
    <w:rsid w:val="008C4DCF"/>
    <w:rsid w:val="008C5DDB"/>
    <w:rsid w:val="008C6853"/>
    <w:rsid w:val="008C73C2"/>
    <w:rsid w:val="008C7A23"/>
    <w:rsid w:val="008D0520"/>
    <w:rsid w:val="008D0CFE"/>
    <w:rsid w:val="008D0F76"/>
    <w:rsid w:val="008D11C0"/>
    <w:rsid w:val="008D194F"/>
    <w:rsid w:val="008D2FE8"/>
    <w:rsid w:val="008D35ED"/>
    <w:rsid w:val="008D4328"/>
    <w:rsid w:val="008D4801"/>
    <w:rsid w:val="008D60D0"/>
    <w:rsid w:val="008D7C67"/>
    <w:rsid w:val="008E0F93"/>
    <w:rsid w:val="008E11A3"/>
    <w:rsid w:val="008E284F"/>
    <w:rsid w:val="008E2B11"/>
    <w:rsid w:val="008E2C35"/>
    <w:rsid w:val="008E332B"/>
    <w:rsid w:val="008E33D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000F"/>
    <w:rsid w:val="00911372"/>
    <w:rsid w:val="009113F4"/>
    <w:rsid w:val="00911E31"/>
    <w:rsid w:val="00911F96"/>
    <w:rsid w:val="00912091"/>
    <w:rsid w:val="009121AE"/>
    <w:rsid w:val="009126F0"/>
    <w:rsid w:val="0091338F"/>
    <w:rsid w:val="009134C8"/>
    <w:rsid w:val="00914D4E"/>
    <w:rsid w:val="00915499"/>
    <w:rsid w:val="009171AD"/>
    <w:rsid w:val="00917213"/>
    <w:rsid w:val="009175A9"/>
    <w:rsid w:val="00920C58"/>
    <w:rsid w:val="00921525"/>
    <w:rsid w:val="0092155F"/>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AAA"/>
    <w:rsid w:val="00960DE2"/>
    <w:rsid w:val="00961E9C"/>
    <w:rsid w:val="009624A1"/>
    <w:rsid w:val="009632C5"/>
    <w:rsid w:val="009635A6"/>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2C4E"/>
    <w:rsid w:val="009A316A"/>
    <w:rsid w:val="009A3900"/>
    <w:rsid w:val="009A3AEF"/>
    <w:rsid w:val="009A410B"/>
    <w:rsid w:val="009A426B"/>
    <w:rsid w:val="009A5C27"/>
    <w:rsid w:val="009A5F5C"/>
    <w:rsid w:val="009A63AB"/>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A47"/>
    <w:rsid w:val="009C4922"/>
    <w:rsid w:val="009C58CA"/>
    <w:rsid w:val="009C5E0F"/>
    <w:rsid w:val="009C6689"/>
    <w:rsid w:val="009C6DED"/>
    <w:rsid w:val="009C718C"/>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308D"/>
    <w:rsid w:val="009F449D"/>
    <w:rsid w:val="009F5C8D"/>
    <w:rsid w:val="009F6736"/>
    <w:rsid w:val="009F73B9"/>
    <w:rsid w:val="009F78CA"/>
    <w:rsid w:val="00A005FE"/>
    <w:rsid w:val="00A0084A"/>
    <w:rsid w:val="00A008B6"/>
    <w:rsid w:val="00A012B3"/>
    <w:rsid w:val="00A01F48"/>
    <w:rsid w:val="00A0272F"/>
    <w:rsid w:val="00A03209"/>
    <w:rsid w:val="00A04B49"/>
    <w:rsid w:val="00A05A59"/>
    <w:rsid w:val="00A06161"/>
    <w:rsid w:val="00A064E7"/>
    <w:rsid w:val="00A065C7"/>
    <w:rsid w:val="00A07942"/>
    <w:rsid w:val="00A103DD"/>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23B5"/>
    <w:rsid w:val="00A2274F"/>
    <w:rsid w:val="00A234CB"/>
    <w:rsid w:val="00A235CA"/>
    <w:rsid w:val="00A235D3"/>
    <w:rsid w:val="00A2485F"/>
    <w:rsid w:val="00A257FC"/>
    <w:rsid w:val="00A26FA0"/>
    <w:rsid w:val="00A301AA"/>
    <w:rsid w:val="00A30480"/>
    <w:rsid w:val="00A3049D"/>
    <w:rsid w:val="00A30E9C"/>
    <w:rsid w:val="00A321CD"/>
    <w:rsid w:val="00A32C7B"/>
    <w:rsid w:val="00A33128"/>
    <w:rsid w:val="00A3429B"/>
    <w:rsid w:val="00A35A71"/>
    <w:rsid w:val="00A35C38"/>
    <w:rsid w:val="00A36446"/>
    <w:rsid w:val="00A36D74"/>
    <w:rsid w:val="00A36EC6"/>
    <w:rsid w:val="00A37B99"/>
    <w:rsid w:val="00A4034A"/>
    <w:rsid w:val="00A4089B"/>
    <w:rsid w:val="00A41593"/>
    <w:rsid w:val="00A42118"/>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1594"/>
    <w:rsid w:val="00A62ED0"/>
    <w:rsid w:val="00A63C89"/>
    <w:rsid w:val="00A65750"/>
    <w:rsid w:val="00A658BB"/>
    <w:rsid w:val="00A66A3A"/>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2F8"/>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517"/>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1AEA"/>
    <w:rsid w:val="00AE2237"/>
    <w:rsid w:val="00AE289B"/>
    <w:rsid w:val="00AE2B82"/>
    <w:rsid w:val="00AE326C"/>
    <w:rsid w:val="00AE3954"/>
    <w:rsid w:val="00AE3E63"/>
    <w:rsid w:val="00AE3EE7"/>
    <w:rsid w:val="00AE4AE7"/>
    <w:rsid w:val="00AE4CB8"/>
    <w:rsid w:val="00AE5602"/>
    <w:rsid w:val="00AE58D3"/>
    <w:rsid w:val="00AE5F1F"/>
    <w:rsid w:val="00AE61B5"/>
    <w:rsid w:val="00AE6E0E"/>
    <w:rsid w:val="00AE72D1"/>
    <w:rsid w:val="00AE7332"/>
    <w:rsid w:val="00AF0B6E"/>
    <w:rsid w:val="00AF1CCD"/>
    <w:rsid w:val="00AF25EE"/>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5F1"/>
    <w:rsid w:val="00B502AD"/>
    <w:rsid w:val="00B5037A"/>
    <w:rsid w:val="00B5037E"/>
    <w:rsid w:val="00B50DDE"/>
    <w:rsid w:val="00B52941"/>
    <w:rsid w:val="00B5304E"/>
    <w:rsid w:val="00B539FA"/>
    <w:rsid w:val="00B543F6"/>
    <w:rsid w:val="00B54525"/>
    <w:rsid w:val="00B54B78"/>
    <w:rsid w:val="00B550D2"/>
    <w:rsid w:val="00B5579D"/>
    <w:rsid w:val="00B56100"/>
    <w:rsid w:val="00B6063F"/>
    <w:rsid w:val="00B60BDF"/>
    <w:rsid w:val="00B60E75"/>
    <w:rsid w:val="00B60EED"/>
    <w:rsid w:val="00B61236"/>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5BFD"/>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6E6A"/>
    <w:rsid w:val="00BA7A8B"/>
    <w:rsid w:val="00BA7E8A"/>
    <w:rsid w:val="00BB0826"/>
    <w:rsid w:val="00BB0FDB"/>
    <w:rsid w:val="00BB1700"/>
    <w:rsid w:val="00BB2A6D"/>
    <w:rsid w:val="00BB3376"/>
    <w:rsid w:val="00BB34F9"/>
    <w:rsid w:val="00BB38D1"/>
    <w:rsid w:val="00BB3EB4"/>
    <w:rsid w:val="00BB4C13"/>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6F41"/>
    <w:rsid w:val="00BD70AC"/>
    <w:rsid w:val="00BE0105"/>
    <w:rsid w:val="00BE01E9"/>
    <w:rsid w:val="00BE02B8"/>
    <w:rsid w:val="00BE0AAC"/>
    <w:rsid w:val="00BE373C"/>
    <w:rsid w:val="00BE39DB"/>
    <w:rsid w:val="00BE41B7"/>
    <w:rsid w:val="00BE5441"/>
    <w:rsid w:val="00BE5D8D"/>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F9E"/>
    <w:rsid w:val="00C001F1"/>
    <w:rsid w:val="00C004C1"/>
    <w:rsid w:val="00C00B5D"/>
    <w:rsid w:val="00C00C20"/>
    <w:rsid w:val="00C00DFC"/>
    <w:rsid w:val="00C01736"/>
    <w:rsid w:val="00C01911"/>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196F"/>
    <w:rsid w:val="00C21EE0"/>
    <w:rsid w:val="00C22F82"/>
    <w:rsid w:val="00C2428B"/>
    <w:rsid w:val="00C25866"/>
    <w:rsid w:val="00C258B1"/>
    <w:rsid w:val="00C26B69"/>
    <w:rsid w:val="00C27046"/>
    <w:rsid w:val="00C277A8"/>
    <w:rsid w:val="00C27A54"/>
    <w:rsid w:val="00C32822"/>
    <w:rsid w:val="00C337A0"/>
    <w:rsid w:val="00C341A0"/>
    <w:rsid w:val="00C35900"/>
    <w:rsid w:val="00C3722B"/>
    <w:rsid w:val="00C4065D"/>
    <w:rsid w:val="00C4143B"/>
    <w:rsid w:val="00C43DFF"/>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C85"/>
    <w:rsid w:val="00C54BDB"/>
    <w:rsid w:val="00C55F17"/>
    <w:rsid w:val="00C56532"/>
    <w:rsid w:val="00C56ACF"/>
    <w:rsid w:val="00C571BC"/>
    <w:rsid w:val="00C57B8D"/>
    <w:rsid w:val="00C60807"/>
    <w:rsid w:val="00C60A1C"/>
    <w:rsid w:val="00C615DA"/>
    <w:rsid w:val="00C621A0"/>
    <w:rsid w:val="00C62AB8"/>
    <w:rsid w:val="00C62CF3"/>
    <w:rsid w:val="00C64576"/>
    <w:rsid w:val="00C6491C"/>
    <w:rsid w:val="00C64D1E"/>
    <w:rsid w:val="00C650F0"/>
    <w:rsid w:val="00C65542"/>
    <w:rsid w:val="00C65FF2"/>
    <w:rsid w:val="00C667F6"/>
    <w:rsid w:val="00C670F1"/>
    <w:rsid w:val="00C67FAC"/>
    <w:rsid w:val="00C70A22"/>
    <w:rsid w:val="00C70E62"/>
    <w:rsid w:val="00C71581"/>
    <w:rsid w:val="00C717C1"/>
    <w:rsid w:val="00C722BD"/>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642"/>
    <w:rsid w:val="00C75737"/>
    <w:rsid w:val="00C75EF7"/>
    <w:rsid w:val="00C76181"/>
    <w:rsid w:val="00C764F3"/>
    <w:rsid w:val="00C767F0"/>
    <w:rsid w:val="00C76DAB"/>
    <w:rsid w:val="00C803CF"/>
    <w:rsid w:val="00C808F9"/>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0AA3"/>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696D"/>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3731"/>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762F"/>
    <w:rsid w:val="00D80DA5"/>
    <w:rsid w:val="00D81003"/>
    <w:rsid w:val="00D81447"/>
    <w:rsid w:val="00D8181D"/>
    <w:rsid w:val="00D82813"/>
    <w:rsid w:val="00D82AC6"/>
    <w:rsid w:val="00D840CB"/>
    <w:rsid w:val="00D84F08"/>
    <w:rsid w:val="00D84F38"/>
    <w:rsid w:val="00D85699"/>
    <w:rsid w:val="00D85B2F"/>
    <w:rsid w:val="00D861A2"/>
    <w:rsid w:val="00D86B7C"/>
    <w:rsid w:val="00D86C94"/>
    <w:rsid w:val="00D90FDA"/>
    <w:rsid w:val="00D917F9"/>
    <w:rsid w:val="00D92564"/>
    <w:rsid w:val="00D926FA"/>
    <w:rsid w:val="00D93556"/>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35EA"/>
    <w:rsid w:val="00DD3686"/>
    <w:rsid w:val="00DD378C"/>
    <w:rsid w:val="00DD3E88"/>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507"/>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163CE"/>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1F5F"/>
    <w:rsid w:val="00E3284A"/>
    <w:rsid w:val="00E32B86"/>
    <w:rsid w:val="00E32F8A"/>
    <w:rsid w:val="00E3450F"/>
    <w:rsid w:val="00E35150"/>
    <w:rsid w:val="00E35603"/>
    <w:rsid w:val="00E36441"/>
    <w:rsid w:val="00E40A55"/>
    <w:rsid w:val="00E40BD9"/>
    <w:rsid w:val="00E41A3C"/>
    <w:rsid w:val="00E427EA"/>
    <w:rsid w:val="00E42915"/>
    <w:rsid w:val="00E43501"/>
    <w:rsid w:val="00E436CF"/>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6096"/>
    <w:rsid w:val="00E77ABA"/>
    <w:rsid w:val="00E77E24"/>
    <w:rsid w:val="00E81029"/>
    <w:rsid w:val="00E814A1"/>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439F"/>
    <w:rsid w:val="00ED526A"/>
    <w:rsid w:val="00ED543B"/>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F00420"/>
    <w:rsid w:val="00F00E39"/>
    <w:rsid w:val="00F0127B"/>
    <w:rsid w:val="00F014C9"/>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6F"/>
    <w:rsid w:val="00F122B5"/>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5983"/>
    <w:rsid w:val="00F55991"/>
    <w:rsid w:val="00F55E2C"/>
    <w:rsid w:val="00F56579"/>
    <w:rsid w:val="00F56887"/>
    <w:rsid w:val="00F61F49"/>
    <w:rsid w:val="00F620DD"/>
    <w:rsid w:val="00F6277C"/>
    <w:rsid w:val="00F63440"/>
    <w:rsid w:val="00F647F9"/>
    <w:rsid w:val="00F64B62"/>
    <w:rsid w:val="00F64F4B"/>
    <w:rsid w:val="00F661C7"/>
    <w:rsid w:val="00F66588"/>
    <w:rsid w:val="00F67F56"/>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621"/>
    <w:rsid w:val="00F968A3"/>
    <w:rsid w:val="00F96A2B"/>
    <w:rsid w:val="00FA0219"/>
    <w:rsid w:val="00FA1A82"/>
    <w:rsid w:val="00FA30A2"/>
    <w:rsid w:val="00FA337C"/>
    <w:rsid w:val="00FA389D"/>
    <w:rsid w:val="00FA3CCE"/>
    <w:rsid w:val="00FA460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6D76"/>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01"/>
    <w:rsid w:val="00FF3335"/>
    <w:rsid w:val="00FF3C71"/>
    <w:rsid w:val="00FF3DEC"/>
    <w:rsid w:val="00FF47F6"/>
    <w:rsid w:val="00FF4A83"/>
    <w:rsid w:val="00FF52CF"/>
    <w:rsid w:val="00FF5CC9"/>
    <w:rsid w:val="00FF6D43"/>
    <w:rsid w:val="00FF73E8"/>
    <w:rsid w:val="00FF796E"/>
    <w:rsid w:val="09D05DEC"/>
    <w:rsid w:val="09F63639"/>
    <w:rsid w:val="0D095A58"/>
    <w:rsid w:val="19F71C34"/>
    <w:rsid w:val="1BFA1A53"/>
    <w:rsid w:val="1C2B0EAC"/>
    <w:rsid w:val="1FE91A8A"/>
    <w:rsid w:val="2277389B"/>
    <w:rsid w:val="259439FC"/>
    <w:rsid w:val="26A356EF"/>
    <w:rsid w:val="270D6402"/>
    <w:rsid w:val="2DB163AB"/>
    <w:rsid w:val="30075F2D"/>
    <w:rsid w:val="349E3B22"/>
    <w:rsid w:val="353C4DCD"/>
    <w:rsid w:val="3CCA65A0"/>
    <w:rsid w:val="3D9E769D"/>
    <w:rsid w:val="3FA61DD6"/>
    <w:rsid w:val="43025857"/>
    <w:rsid w:val="44734FC4"/>
    <w:rsid w:val="476D6BB3"/>
    <w:rsid w:val="53CE29C2"/>
    <w:rsid w:val="5C2C297C"/>
    <w:rsid w:val="5CFE08AF"/>
    <w:rsid w:val="5FE572A1"/>
    <w:rsid w:val="60723523"/>
    <w:rsid w:val="633A50B8"/>
    <w:rsid w:val="64662CCF"/>
    <w:rsid w:val="650A7614"/>
    <w:rsid w:val="669242F5"/>
    <w:rsid w:val="694A177F"/>
    <w:rsid w:val="6BC244D0"/>
    <w:rsid w:val="6CFB0A04"/>
    <w:rsid w:val="6D341690"/>
    <w:rsid w:val="6DC87FAF"/>
    <w:rsid w:val="724C158B"/>
    <w:rsid w:val="72D4487B"/>
    <w:rsid w:val="74B7525B"/>
    <w:rsid w:val="750E6C6B"/>
    <w:rsid w:val="79814931"/>
    <w:rsid w:val="7B70048C"/>
    <w:rsid w:val="7C4B484E"/>
    <w:rsid w:val="7E38645A"/>
    <w:rsid w:val="7F32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color="#739cc3">
      <v:fill color="white"/>
      <v:stroke color="#739cc3" weight="1.25pt"/>
    </o:shapedefaults>
    <o:shapelayout v:ext="edit">
      <o:idmap v:ext="edit" data="1"/>
    </o:shapelayout>
  </w:shapeDefaults>
  <w:decimalSymbol w:val="."/>
  <w:listSeparator w:val=","/>
  <w14:docId w14:val="5FDB0EAF"/>
  <w15:docId w15:val="{1B91179F-AD60-4101-BDB4-00B29FEE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0"/>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emiHidden/>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c">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Strong"/>
    <w:basedOn w:val="a0"/>
    <w:uiPriority w:val="22"/>
    <w:qFormat/>
    <w:rPr>
      <w:b/>
      <w:bCs/>
    </w:rPr>
  </w:style>
  <w:style w:type="character" w:styleId="ae">
    <w:name w:val="Emphasis"/>
    <w:basedOn w:val="a0"/>
    <w:uiPriority w:val="20"/>
    <w:qFormat/>
    <w:rPr>
      <w:i/>
      <w:iCs/>
    </w:rPr>
  </w:style>
  <w:style w:type="character" w:styleId="af">
    <w:name w:val="Hyperlink"/>
    <w:basedOn w:val="a0"/>
    <w:uiPriority w:val="99"/>
    <w:unhideWhenUsed/>
    <w:qFormat/>
    <w:rPr>
      <w:color w:val="0000FF"/>
      <w:u w:val="single"/>
    </w:rPr>
  </w:style>
  <w:style w:type="character" w:customStyle="1" w:styleId="a6">
    <w:name w:val="批注框文本 字符"/>
    <w:basedOn w:val="a0"/>
    <w:link w:val="a5"/>
    <w:uiPriority w:val="99"/>
    <w:semiHidden/>
    <w:qFormat/>
    <w:rPr>
      <w:sz w:val="18"/>
      <w:szCs w:val="18"/>
    </w:r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qFormat/>
    <w:rPr>
      <w:sz w:val="18"/>
      <w:szCs w:val="18"/>
    </w:rPr>
  </w:style>
  <w:style w:type="paragraph" w:styleId="af0">
    <w:name w:val="No Spacing"/>
    <w:link w:val="af1"/>
    <w:uiPriority w:val="1"/>
    <w:qFormat/>
    <w:rPr>
      <w:rFonts w:asciiTheme="minorHAnsi" w:eastAsiaTheme="minorEastAsia" w:hAnsiTheme="minorHAnsi" w:cstheme="minorBidi"/>
      <w:sz w:val="22"/>
      <w:szCs w:val="22"/>
    </w:rPr>
  </w:style>
  <w:style w:type="character" w:customStyle="1" w:styleId="af1">
    <w:name w:val="无间隔 字符"/>
    <w:basedOn w:val="a0"/>
    <w:link w:val="af0"/>
    <w:uiPriority w:val="1"/>
    <w:qFormat/>
    <w:rPr>
      <w:rFonts w:asciiTheme="minorHAnsi" w:eastAsiaTheme="minorEastAsia" w:hAnsiTheme="minorHAnsi" w:cstheme="minorBidi"/>
      <w:sz w:val="22"/>
      <w:szCs w:val="22"/>
    </w:rPr>
  </w:style>
  <w:style w:type="paragraph" w:styleId="af2">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uiPriority w:val="9"/>
    <w:qFormat/>
    <w:rPr>
      <w:rFonts w:ascii="宋体" w:hAnsi="宋体" w:cs="宋体"/>
      <w:sz w:val="36"/>
      <w:szCs w:val="36"/>
    </w:rPr>
  </w:style>
  <w:style w:type="character" w:customStyle="1" w:styleId="40">
    <w:name w:val="标题 4 字符"/>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a4">
    <w:name w:val="日期 字符"/>
    <w:basedOn w:val="a0"/>
    <w:link w:val="a3"/>
    <w:semiHidden/>
    <w:qFormat/>
    <w:rPr>
      <w:rFonts w:ascii="Calibri" w:hAnsi="Calibri"/>
      <w:kern w:val="2"/>
      <w:sz w:val="21"/>
      <w:szCs w:val="22"/>
    </w:rPr>
  </w:style>
  <w:style w:type="character" w:customStyle="1" w:styleId="10">
    <w:name w:val="标题 1 字符"/>
    <w:basedOn w:val="a0"/>
    <w:link w:val="1"/>
    <w:uiPriority w:val="9"/>
    <w:qFormat/>
    <w:rPr>
      <w:rFonts w:asciiTheme="minorHAnsi" w:eastAsiaTheme="minorEastAsia" w:hAnsiTheme="minorHAnsi" w:cstheme="minorBid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C0BD3-E960-44AD-9FB3-9120E326D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4797</Words>
  <Characters>27343</Characters>
  <Application>Microsoft Office Word</Application>
  <DocSecurity>0</DocSecurity>
  <Lines>227</Lines>
  <Paragraphs>64</Paragraphs>
  <ScaleCrop>false</ScaleCrop>
  <Company>Lenovo</Company>
  <LinksUpToDate>false</LinksUpToDate>
  <CharactersWithSpaces>32076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2015年第一期</dc:title>
  <dc:subject>2015年7月29日</dc:subject>
  <dc:creator>FtpDown</dc:creator>
  <cp:lastModifiedBy>songyy@hayao.com</cp:lastModifiedBy>
  <cp:revision>2</cp:revision>
  <cp:lastPrinted>2018-09-29T05:55:00Z</cp:lastPrinted>
  <dcterms:created xsi:type="dcterms:W3CDTF">2023-01-10T07:57:00Z</dcterms:created>
  <dcterms:modified xsi:type="dcterms:W3CDTF">2023-01-10T07:57:00Z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DF5037EDC2C7415DBA1FF4609A99298F</vt:lpwstr>
  </property>
</Properties>
</file>