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id w:val="11921172"/>
        <w:docPartObj>
          <w:docPartGallery w:val="autotext"/>
        </w:docPartObj>
      </w:sdtPr>
      <w:sdtContent>
        <w:p>
          <w:r>
            <w:drawing>
              <wp:anchor distT="0" distB="0" distL="114300" distR="114300" simplePos="0" relativeHeight="251663360" behindDoc="1" locked="0" layoutInCell="1" allowOverlap="1">
                <wp:simplePos x="0" y="0"/>
                <wp:positionH relativeFrom="column">
                  <wp:posOffset>-1188720</wp:posOffset>
                </wp:positionH>
                <wp:positionV relativeFrom="paragraph">
                  <wp:posOffset>-914400</wp:posOffset>
                </wp:positionV>
                <wp:extent cx="7686675" cy="10873105"/>
                <wp:effectExtent l="0" t="0" r="0" b="0"/>
                <wp:wrapNone/>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86674" cy="10872925"/>
                        </a:xfrm>
                        <a:prstGeom prst="rect">
                          <a:avLst/>
                        </a:prstGeom>
                        <a:noFill/>
                        <a:ln w="9525">
                          <a:noFill/>
                          <a:miter lim="800000"/>
                          <a:headEnd/>
                          <a:tailEnd/>
                        </a:ln>
                      </pic:spPr>
                    </pic:pic>
                  </a:graphicData>
                </a:graphic>
              </wp:anchor>
            </w:drawing>
          </w:r>
        </w:p>
        <w:p/>
        <w:tbl>
          <w:tblPr>
            <w:tblStyle w:val="11"/>
            <w:tblpPr w:leftFromText="187" w:rightFromText="187" w:horzAnchor="margin" w:tblpXSpec="center" w:tblpYSpec="bottom"/>
            <w:tblW w:w="6834" w:type="dxa"/>
            <w:tblInd w:w="0" w:type="dxa"/>
            <w:tblLayout w:type="fixed"/>
            <w:tblCellMar>
              <w:top w:w="0" w:type="dxa"/>
              <w:left w:w="108" w:type="dxa"/>
              <w:bottom w:w="0" w:type="dxa"/>
              <w:right w:w="108" w:type="dxa"/>
            </w:tblCellMar>
          </w:tblPr>
          <w:tblGrid>
            <w:gridCol w:w="6834"/>
          </w:tblGrid>
          <w:tr>
            <w:tblPrEx>
              <w:tblCellMar>
                <w:top w:w="0" w:type="dxa"/>
                <w:left w:w="108" w:type="dxa"/>
                <w:bottom w:w="0" w:type="dxa"/>
                <w:right w:w="108" w:type="dxa"/>
              </w:tblCellMar>
            </w:tblPrEx>
            <w:tc>
              <w:tcPr>
                <w:tcW w:w="6834" w:type="dxa"/>
                <w:tcMar>
                  <w:top w:w="216" w:type="dxa"/>
                  <w:left w:w="115" w:type="dxa"/>
                  <w:bottom w:w="216" w:type="dxa"/>
                  <w:right w:w="115" w:type="dxa"/>
                </w:tcMar>
              </w:tcPr>
              <w:p>
                <w:pPr>
                  <w:pStyle w:val="20"/>
                  <w:rPr>
                    <w:color w:val="4F81BD" w:themeColor="accent1"/>
                  </w:rPr>
                </w:pPr>
              </w:p>
              <w:p>
                <w:pPr>
                  <w:pStyle w:val="20"/>
                  <w:rPr>
                    <w:color w:val="4F81BD" w:themeColor="accent1"/>
                  </w:rPr>
                </w:pPr>
              </w:p>
              <w:p>
                <w:pPr>
                  <w:pStyle w:val="20"/>
                  <w:rPr>
                    <w:color w:val="4F81BD" w:themeColor="accent1"/>
                  </w:rPr>
                </w:pPr>
              </w:p>
              <w:p>
                <w:pPr>
                  <w:pStyle w:val="20"/>
                  <w:rPr>
                    <w:color w:val="4F81BD" w:themeColor="accent1"/>
                  </w:rPr>
                </w:pPr>
              </w:p>
            </w:tc>
          </w:tr>
        </w:tbl>
        <w:p/>
        <w:p/>
        <w:p/>
        <w:p/>
        <w:p>
          <w:r>
            <w:rPr>
              <w:rFonts w:hint="eastAsia"/>
            </w:rPr>
            <w:t xml:space="preserve">   </w:t>
          </w:r>
        </w:p>
        <w:p/>
        <w:p/>
        <w:p/>
        <w:p/>
        <w:p/>
        <w:p/>
        <w:p/>
        <w:p/>
        <w:p>
          <w:pPr>
            <w:tabs>
              <w:tab w:val="left" w:pos="7050"/>
            </w:tabs>
          </w:pPr>
          <w:r>
            <w:tab/>
          </w:r>
        </w:p>
        <w:p/>
        <w:p/>
        <w:p/>
        <w:p/>
        <w:p>
          <w:pPr>
            <w:jc w:val="center"/>
            <w:rPr>
              <w:rFonts w:ascii="Heiti SC Light" w:eastAsia="Heiti SC Light"/>
              <w:color w:val="FFFFFF"/>
              <w:sz w:val="32"/>
              <w:szCs w:val="32"/>
            </w:rPr>
          </w:pPr>
          <w:r>
            <w:rPr>
              <w:rFonts w:hint="eastAsia" w:ascii="Heiti SC Light" w:eastAsia="Heiti SC Light"/>
              <w:color w:val="FFFFFF"/>
              <w:sz w:val="32"/>
              <w:szCs w:val="32"/>
            </w:rPr>
            <w:t>（202</w:t>
          </w:r>
          <w:r>
            <w:rPr>
              <w:rFonts w:hint="eastAsia" w:ascii="Heiti SC Light" w:eastAsia="Heiti SC Light"/>
              <w:color w:val="FFFFFF"/>
              <w:sz w:val="32"/>
              <w:szCs w:val="32"/>
              <w:lang w:val="en-US" w:eastAsia="zh-CN"/>
            </w:rPr>
            <w:t>3</w:t>
          </w:r>
          <w:r>
            <w:rPr>
              <w:rFonts w:hint="eastAsia" w:ascii="Heiti SC Light" w:eastAsia="Heiti SC Light"/>
              <w:color w:val="FFFFFF"/>
              <w:sz w:val="32"/>
              <w:szCs w:val="32"/>
            </w:rPr>
            <w:t>年第</w:t>
          </w:r>
          <w:r>
            <w:rPr>
              <w:rFonts w:hint="eastAsia" w:ascii="Heiti SC Light" w:eastAsia="Heiti SC Light"/>
              <w:color w:val="FFFFFF"/>
              <w:sz w:val="32"/>
              <w:szCs w:val="32"/>
              <w:lang w:val="en-US" w:eastAsia="zh-CN"/>
            </w:rPr>
            <w:t>1</w:t>
          </w:r>
          <w:r>
            <w:rPr>
              <w:rFonts w:hint="eastAsia" w:ascii="Heiti SC Light" w:eastAsia="Heiti SC Light"/>
              <w:color w:val="FFFFFF"/>
              <w:sz w:val="32"/>
              <w:szCs w:val="32"/>
            </w:rPr>
            <w:t>期） 202</w:t>
          </w:r>
          <w:r>
            <w:rPr>
              <w:rFonts w:hint="eastAsia" w:ascii="Heiti SC Light" w:eastAsia="Heiti SC Light"/>
              <w:color w:val="FFFFFF"/>
              <w:sz w:val="32"/>
              <w:szCs w:val="32"/>
              <w:lang w:val="en-US" w:eastAsia="zh-CN"/>
            </w:rPr>
            <w:t>3</w:t>
          </w:r>
          <w:r>
            <w:rPr>
              <w:rFonts w:hint="eastAsia" w:ascii="Heiti SC Light" w:eastAsia="Heiti SC Light"/>
              <w:color w:val="FFFFFF"/>
              <w:sz w:val="32"/>
              <w:szCs w:val="32"/>
            </w:rPr>
            <w:t>年</w:t>
          </w:r>
          <w:r>
            <w:rPr>
              <w:rFonts w:hint="eastAsia" w:ascii="Heiti SC Light" w:eastAsia="Heiti SC Light"/>
              <w:color w:val="FFFFFF"/>
              <w:sz w:val="32"/>
              <w:szCs w:val="32"/>
              <w:lang w:val="en-US" w:eastAsia="zh-CN"/>
            </w:rPr>
            <w:t>1</w:t>
          </w:r>
          <w:r>
            <w:rPr>
              <w:rFonts w:hint="eastAsia" w:ascii="Heiti SC Light" w:eastAsia="Heiti SC Light"/>
              <w:color w:val="FFFFFF"/>
              <w:sz w:val="32"/>
              <w:szCs w:val="32"/>
            </w:rPr>
            <w:t>月2</w:t>
          </w:r>
          <w:r>
            <w:rPr>
              <w:rFonts w:hint="eastAsia" w:ascii="Heiti SC Light" w:eastAsia="Heiti SC Light"/>
              <w:color w:val="FFFFFF"/>
              <w:sz w:val="32"/>
              <w:szCs w:val="32"/>
              <w:lang w:val="en-US" w:eastAsia="zh-CN"/>
            </w:rPr>
            <w:t>9</w:t>
          </w:r>
          <w:r>
            <w:rPr>
              <w:rFonts w:hint="eastAsia" w:ascii="Heiti SC Light" w:eastAsia="Heiti SC Light"/>
              <w:color w:val="FFFFFF"/>
              <w:sz w:val="32"/>
              <w:szCs w:val="32"/>
            </w:rPr>
            <w:t>日</w:t>
          </w:r>
        </w:p>
        <w:p/>
        <w:p/>
        <w:p/>
        <w:p/>
        <w:p/>
        <w:p>
          <w:r>
            <w:rPr>
              <w:rFonts w:hint="eastAsia"/>
            </w:rPr>
            <w:t xml:space="preserve"> </w:t>
          </w:r>
        </w:p>
        <w:p/>
        <w:p/>
        <w:p/>
        <w:p/>
        <w:p/>
        <w:p/>
        <w:p/>
        <w:p/>
        <w:p/>
        <w:p/>
        <w:p/>
        <w:p/>
        <w:p>
          <w:pPr>
            <w:tabs>
              <w:tab w:val="left" w:pos="5245"/>
            </w:tabs>
          </w:pPr>
        </w:p>
        <w:p>
          <w:pPr>
            <w:tabs>
              <w:tab w:val="left" w:pos="5245"/>
            </w:tabs>
          </w:pPr>
        </w:p>
        <w:p>
          <w:pPr>
            <w:widowControl/>
            <w:tabs>
              <w:tab w:val="left" w:pos="5245"/>
            </w:tabs>
            <w:jc w:val="left"/>
          </w:pPr>
        </w:p>
        <w:p>
          <w:pPr>
            <w:widowControl/>
            <w:tabs>
              <w:tab w:val="left" w:pos="5245"/>
            </w:tabs>
            <w:jc w:val="left"/>
          </w:pPr>
        </w:p>
        <w:p>
          <w:pPr>
            <w:widowControl/>
            <w:tabs>
              <w:tab w:val="left" w:pos="5245"/>
            </w:tabs>
            <w:jc w:val="left"/>
          </w:pPr>
        </w:p>
        <w:p>
          <w:pPr>
            <w:widowControl/>
            <w:tabs>
              <w:tab w:val="left" w:pos="5245"/>
            </w:tabs>
            <w:jc w:val="left"/>
          </w:pPr>
        </w:p>
        <w:p>
          <w:pPr>
            <w:widowControl/>
            <w:tabs>
              <w:tab w:val="left" w:pos="5245"/>
            </w:tabs>
            <w:jc w:val="left"/>
          </w:pPr>
        </w:p>
        <w:p>
          <w:pPr>
            <w:widowControl/>
            <w:tabs>
              <w:tab w:val="left" w:pos="5245"/>
            </w:tabs>
            <w:jc w:val="left"/>
          </w:pPr>
        </w:p>
        <w:p>
          <w:pPr>
            <w:widowControl/>
            <w:tabs>
              <w:tab w:val="left" w:pos="5245"/>
            </w:tabs>
            <w:jc w:val="left"/>
          </w:pPr>
        </w:p>
      </w:sdtContent>
    </w:sdt>
    <w:p>
      <w:pPr>
        <w:tabs>
          <w:tab w:val="left" w:pos="5245"/>
        </w:tabs>
      </w:pPr>
      <w:r>
        <w:pict>
          <v:shape id="Straight Connector 3" o:spid="_x0000_s1033" o:spt="32" type="#_x0000_t32" style="position:absolute;left:0pt;margin-left:102pt;margin-top:0.8pt;height:629.65pt;width:1.75pt;z-index:251660288;mso-width-relative:page;mso-height-relative:page;" filled="f" stroked="t" coordsize="21600,21600">
            <v:path arrowok="t"/>
            <v:fill on="f" focussize="0,0"/>
            <v:stroke weight="2.5pt" color="#548DD4"/>
            <v:imagedata o:title=""/>
            <o:lock v:ext="edit" aspectratio="f"/>
          </v:shape>
        </w:pict>
      </w:r>
      <w:r>
        <w:pict>
          <v:shape id="Straight Connector 2" o:spid="_x0000_s1026" o:spt="32" type="#_x0000_t32" style="position:absolute;left:0pt;margin-left:-67.5pt;margin-top:0.75pt;height:0.05pt;width:539.25pt;z-index:251659264;mso-width-relative:page;mso-height-relative:page;" filled="f" stroked="t" coordsize="21600,21600" o:gfxdata="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m8Y+ltYAAAAIAQAADwAAAAAAAAABACAAAAAiAAAAZHJzL2Rv&#10;d25yZXYueG1sUEsBAhQAFAAAAAgAh07iQAI+bt7KAQAAngMAAA4AAAAAAAAAAQAgAAAAJQEAAGRy&#10;cy9lMm9Eb2MueG1sUEsFBgAAAAAGAAYAWQEAAGEFAAAAAA==&#10;">
            <v:path arrowok="t"/>
            <v:fill on="f" focussize="0,0"/>
            <v:stroke weight="3pt" color="#548DD4"/>
            <v:imagedata o:title=""/>
            <o:lock v:ext="edit"/>
          </v:shape>
        </w:pict>
      </w:r>
      <w:r>
        <w:rPr>
          <w:rFonts w:hint="eastAsia"/>
        </w:rPr>
        <w:t xml:space="preserve"> </w:t>
      </w:r>
    </w:p>
    <w:p>
      <w:pPr>
        <w:tabs>
          <w:tab w:val="center" w:pos="4156"/>
        </w:tabs>
      </w:pPr>
      <w:r>
        <w:pict>
          <v:shape id="文本框 14" o:spid="_x0000_s1032" o:spt="202" type="#_x0000_t202" style="position:absolute;left:0pt;margin-left:122.4pt;margin-top:8.4pt;height:620pt;width:331.5pt;z-index:25166745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">
            <v:path/>
            <v:fill on="f" focussize="0,0"/>
            <v:stroke on="f" weight="1.25pt"/>
            <v:imagedata o:title=""/>
            <o:lock v:ext="edit" aspectratio="f"/>
            <v:textbox>
              <w:txbxContent>
                <w:p>
                  <w:pPr>
                    <w:widowControl w:val="0"/>
                    <w:numPr>
                      <w:ilvl w:val="0"/>
                      <w:numId w:val="0"/>
                    </w:numPr>
                    <w:jc w:val="both"/>
                    <w:rPr>
                      <w:rFonts w:hint="eastAsia" w:ascii="宋体" w:hAnsi="宋体" w:eastAsia="宋体" w:cs="宋体"/>
                      <w:b/>
                      <w:bCs/>
                      <w:kern w:val="0"/>
                      <w:sz w:val="33"/>
                      <w:szCs w:val="33"/>
                      <w:lang w:val="en-US" w:eastAsia="zh-CN" w:bidi="ar-SA"/>
                    </w:rPr>
                  </w:pPr>
                  <w:r>
                    <w:rPr>
                      <w:rFonts w:hint="eastAsia" w:ascii="宋体" w:hAnsi="宋体" w:cs="宋体"/>
                      <w:b/>
                      <w:bCs/>
                      <w:kern w:val="0"/>
                      <w:sz w:val="33"/>
                      <w:szCs w:val="33"/>
                      <w:lang w:val="en-US" w:eastAsia="zh-CN" w:bidi="ar-SA"/>
                    </w:rPr>
                    <w:t>1.国家卫健委官网发布《第二批国家重点监控合理用药药品目录》</w:t>
                  </w:r>
                </w:p>
                <w:p>
                  <w:pPr>
                    <w:widowControl w:val="0"/>
                    <w:numPr>
                      <w:ilvl w:val="0"/>
                      <w:numId w:val="0"/>
                    </w:numPr>
                    <w:jc w:val="both"/>
                    <w:rPr>
                      <w:rFonts w:hint="eastAsia" w:ascii="宋体" w:hAnsi="宋体" w:eastAsia="宋体" w:cs="宋体"/>
                      <w:b/>
                      <w:bCs/>
                      <w:kern w:val="0"/>
                      <w:sz w:val="33"/>
                      <w:szCs w:val="33"/>
                      <w:lang w:val="en-US" w:eastAsia="zh-CN" w:bidi="ar-SA"/>
                    </w:rPr>
                  </w:pPr>
                </w:p>
                <w:p>
                  <w:pPr>
                    <w:widowControl w:val="0"/>
                    <w:numPr>
                      <w:ilvl w:val="0"/>
                      <w:numId w:val="0"/>
                    </w:numPr>
                    <w:jc w:val="both"/>
                    <w:rPr>
                      <w:rFonts w:hint="eastAsia" w:ascii="宋体" w:hAnsi="宋体" w:eastAsia="宋体" w:cs="宋体"/>
                      <w:b/>
                      <w:bCs/>
                      <w:kern w:val="0"/>
                      <w:sz w:val="33"/>
                      <w:szCs w:val="33"/>
                      <w:lang w:val="en-US" w:eastAsia="zh-CN" w:bidi="ar-SA"/>
                    </w:rPr>
                  </w:pPr>
                </w:p>
                <w:p>
                  <w:pPr>
                    <w:numPr>
                      <w:ilvl w:val="0"/>
                      <w:numId w:val="0"/>
                    </w:numPr>
                    <w:rPr>
                      <w:rFonts w:hint="eastAsia" w:ascii="宋体" w:hAnsi="宋体" w:cs="宋体"/>
                      <w:b/>
                      <w:bCs/>
                      <w:kern w:val="0"/>
                      <w:sz w:val="33"/>
                      <w:szCs w:val="33"/>
                      <w:lang w:val="en-US" w:eastAsia="zh-CN" w:bidi="ar-SA"/>
                    </w:rPr>
                  </w:pPr>
                  <w:r>
                    <w:rPr>
                      <w:rFonts w:hint="eastAsia" w:ascii="宋体" w:hAnsi="宋体" w:cs="宋体"/>
                      <w:b/>
                      <w:bCs/>
                      <w:kern w:val="0"/>
                      <w:sz w:val="33"/>
                      <w:szCs w:val="33"/>
                      <w:lang w:val="en-US" w:eastAsia="zh-CN" w:bidi="ar-SA"/>
                    </w:rPr>
                    <w:t>2.全国医疗保障工作会议明确重点工作</w:t>
                  </w:r>
                </w:p>
                <w:p>
                  <w:pPr>
                    <w:numPr>
                      <w:ilvl w:val="0"/>
                      <w:numId w:val="0"/>
                    </w:numPr>
                    <w:rPr>
                      <w:rFonts w:hint="eastAsia" w:ascii="宋体" w:hAnsi="宋体" w:eastAsia="宋体" w:cs="宋体"/>
                      <w:b/>
                      <w:bCs/>
                      <w:kern w:val="0"/>
                      <w:sz w:val="33"/>
                      <w:szCs w:val="33"/>
                      <w:lang w:val="en-US" w:eastAsia="zh-CN" w:bidi="ar-SA"/>
                    </w:rPr>
                  </w:pPr>
                </w:p>
                <w:p>
                  <w:pPr>
                    <w:numPr>
                      <w:ilvl w:val="0"/>
                      <w:numId w:val="0"/>
                    </w:numPr>
                    <w:rPr>
                      <w:rFonts w:hint="eastAsia" w:ascii="宋体" w:hAnsi="宋体" w:eastAsia="宋体" w:cs="宋体"/>
                      <w:b/>
                      <w:bCs/>
                      <w:kern w:val="0"/>
                      <w:sz w:val="33"/>
                      <w:szCs w:val="33"/>
                      <w:lang w:val="en-US" w:eastAsia="zh-CN" w:bidi="ar-SA"/>
                    </w:rPr>
                  </w:pPr>
                </w:p>
                <w:p>
                  <w:pPr>
                    <w:numPr>
                      <w:ilvl w:val="0"/>
                      <w:numId w:val="0"/>
                    </w:numPr>
                    <w:rPr>
                      <w:rFonts w:hint="eastAsia" w:ascii="宋体" w:hAnsi="宋体" w:cs="宋体"/>
                      <w:b/>
                      <w:bCs/>
                      <w:kern w:val="0"/>
                      <w:sz w:val="33"/>
                      <w:szCs w:val="33"/>
                      <w:lang w:val="en-US" w:eastAsia="zh-CN" w:bidi="ar-SA"/>
                    </w:rPr>
                  </w:pPr>
                  <w:r>
                    <w:rPr>
                      <w:rFonts w:hint="eastAsia" w:ascii="宋体" w:hAnsi="宋体" w:cs="宋体"/>
                      <w:b/>
                      <w:bCs/>
                      <w:kern w:val="0"/>
                      <w:sz w:val="33"/>
                      <w:szCs w:val="33"/>
                      <w:lang w:val="en-US" w:eastAsia="zh-CN" w:bidi="ar-SA"/>
                    </w:rPr>
                    <w:t>3.新版国家医保目录发布，3月1日起正式实施</w:t>
                  </w:r>
                </w:p>
                <w:p>
                  <w:pPr>
                    <w:numPr>
                      <w:ilvl w:val="0"/>
                      <w:numId w:val="0"/>
                    </w:numPr>
                    <w:rPr>
                      <w:rFonts w:hint="eastAsia" w:ascii="宋体" w:hAnsi="宋体" w:cs="宋体"/>
                      <w:b/>
                      <w:bCs/>
                      <w:kern w:val="0"/>
                      <w:sz w:val="33"/>
                      <w:szCs w:val="33"/>
                      <w:lang w:val="en-US" w:eastAsia="zh-CN" w:bidi="ar-SA"/>
                    </w:rPr>
                  </w:pPr>
                </w:p>
                <w:p>
                  <w:pPr>
                    <w:numPr>
                      <w:ilvl w:val="0"/>
                      <w:numId w:val="0"/>
                    </w:numPr>
                    <w:rPr>
                      <w:rFonts w:hint="eastAsia" w:ascii="宋体" w:hAnsi="宋体" w:cs="宋体"/>
                      <w:b/>
                      <w:bCs/>
                      <w:kern w:val="0"/>
                      <w:sz w:val="33"/>
                      <w:szCs w:val="33"/>
                      <w:lang w:val="en-US" w:eastAsia="zh-CN" w:bidi="ar-SA"/>
                    </w:rPr>
                  </w:pPr>
                </w:p>
                <w:p>
                  <w:pPr>
                    <w:numPr>
                      <w:ilvl w:val="0"/>
                      <w:numId w:val="1"/>
                    </w:numPr>
                    <w:rPr>
                      <w:rFonts w:hint="eastAsia" w:ascii="宋体" w:hAnsi="宋体" w:cs="宋体"/>
                      <w:b/>
                      <w:bCs/>
                      <w:kern w:val="0"/>
                      <w:sz w:val="33"/>
                      <w:szCs w:val="33"/>
                      <w:lang w:val="en-US" w:eastAsia="zh-CN" w:bidi="ar-SA"/>
                    </w:rPr>
                  </w:pPr>
                  <w:r>
                    <w:rPr>
                      <w:rFonts w:hint="eastAsia" w:ascii="宋体" w:hAnsi="宋体" w:cs="宋体"/>
                      <w:b/>
                      <w:bCs/>
                      <w:kern w:val="0"/>
                      <w:sz w:val="33"/>
                      <w:szCs w:val="33"/>
                      <w:lang w:val="en-US" w:eastAsia="zh-CN" w:bidi="ar-SA"/>
                    </w:rPr>
                    <w:t xml:space="preserve"> 2022年Q4中国零售药店市场数据上线</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ascii="Microsoft YaHei UI" w:hAnsi="Microsoft YaHei UI" w:eastAsia="Microsoft YaHei UI" w:cs="Microsoft YaHei UI"/>
                      <w:i w:val="0"/>
                      <w:iCs w:val="0"/>
                      <w:caps w:val="0"/>
                      <w:color w:val="222222"/>
                      <w:spacing w:val="8"/>
                      <w:sz w:val="33"/>
                      <w:szCs w:val="33"/>
                    </w:rPr>
                  </w:pPr>
                </w:p>
                <w:p/>
                <w:p/>
                <w:p>
                  <w:pPr>
                    <w:numPr>
                      <w:ilvl w:val="0"/>
                      <w:numId w:val="1"/>
                    </w:numPr>
                    <w:rPr>
                      <w:rFonts w:hint="eastAsia" w:ascii="宋体" w:hAnsi="宋体" w:cs="宋体"/>
                      <w:b/>
                      <w:bCs/>
                      <w:kern w:val="0"/>
                      <w:sz w:val="33"/>
                      <w:szCs w:val="33"/>
                      <w:lang w:val="en-US" w:eastAsia="zh-CN" w:bidi="ar-SA"/>
                    </w:rPr>
                  </w:pPr>
                  <w:r>
                    <w:rPr>
                      <w:rFonts w:hint="eastAsia" w:ascii="宋体" w:hAnsi="宋体" w:cs="宋体"/>
                      <w:b/>
                      <w:bCs/>
                      <w:kern w:val="0"/>
                      <w:sz w:val="33"/>
                      <w:szCs w:val="33"/>
                      <w:lang w:val="en-US" w:eastAsia="zh-CN" w:bidi="ar-SA"/>
                    </w:rPr>
                    <w:t>2023年老百姓扩张规划</w:t>
                  </w:r>
                </w:p>
                <w:p>
                  <w:pPr>
                    <w:numPr>
                      <w:ilvl w:val="0"/>
                      <w:numId w:val="0"/>
                    </w:numPr>
                    <w:rPr>
                      <w:rFonts w:hint="eastAsia" w:ascii="宋体" w:hAnsi="宋体" w:cs="宋体"/>
                      <w:b/>
                      <w:bCs/>
                      <w:kern w:val="0"/>
                      <w:sz w:val="33"/>
                      <w:szCs w:val="33"/>
                      <w:lang w:val="en-US" w:eastAsia="zh-CN" w:bidi="ar-SA"/>
                    </w:rPr>
                  </w:pPr>
                </w:p>
                <w:p>
                  <w:pPr>
                    <w:numPr>
                      <w:ilvl w:val="0"/>
                      <w:numId w:val="0"/>
                    </w:numPr>
                    <w:rPr>
                      <w:rFonts w:hint="eastAsia" w:ascii="宋体" w:hAnsi="宋体" w:cs="宋体"/>
                      <w:b/>
                      <w:bCs/>
                      <w:kern w:val="0"/>
                      <w:sz w:val="33"/>
                      <w:szCs w:val="33"/>
                      <w:lang w:val="en-US" w:eastAsia="zh-CN" w:bidi="ar-SA"/>
                    </w:rPr>
                  </w:pPr>
                </w:p>
                <w:p>
                  <w:pPr>
                    <w:numPr>
                      <w:ilvl w:val="0"/>
                      <w:numId w:val="0"/>
                    </w:numPr>
                    <w:rPr>
                      <w:rFonts w:hint="eastAsia" w:ascii="宋体" w:hAnsi="宋体" w:cs="宋体"/>
                      <w:b/>
                      <w:bCs/>
                      <w:kern w:val="0"/>
                      <w:sz w:val="33"/>
                      <w:szCs w:val="33"/>
                      <w:lang w:val="en-US" w:eastAsia="zh-CN" w:bidi="ar-SA"/>
                    </w:rPr>
                  </w:pPr>
                </w:p>
                <w:p>
                  <w:pPr>
                    <w:rPr>
                      <w:b/>
                      <w:sz w:val="36"/>
                      <w:szCs w:val="36"/>
                    </w:rPr>
                  </w:pPr>
                </w:p>
                <w:p>
                  <w:pPr>
                    <w:widowControl/>
                    <w:numPr>
                      <w:ilvl w:val="0"/>
                      <w:numId w:val="0"/>
                    </w:numPr>
                    <w:spacing w:after="210"/>
                    <w:jc w:val="left"/>
                    <w:outlineLvl w:val="1"/>
                    <w:rPr>
                      <w:rFonts w:hint="eastAsia" w:ascii="宋体" w:hAnsi="宋体" w:cs="宋体"/>
                      <w:b/>
                      <w:bCs/>
                      <w:kern w:val="0"/>
                      <w:sz w:val="33"/>
                      <w:szCs w:val="33"/>
                      <w:lang w:val="en-US" w:eastAsia="zh-CN" w:bidi="ar-SA"/>
                    </w:rPr>
                  </w:pPr>
                </w:p>
                <w:p>
                  <w:pPr>
                    <w:widowControl/>
                    <w:numPr>
                      <w:ilvl w:val="0"/>
                      <w:numId w:val="0"/>
                    </w:numPr>
                    <w:spacing w:after="210"/>
                    <w:jc w:val="left"/>
                    <w:outlineLvl w:val="1"/>
                    <w:rPr>
                      <w:rFonts w:hint="eastAsia" w:ascii="宋体" w:hAnsi="宋体" w:cs="宋体"/>
                      <w:b/>
                      <w:bCs/>
                      <w:kern w:val="0"/>
                      <w:sz w:val="33"/>
                      <w:szCs w:val="33"/>
                      <w:lang w:val="en-US" w:eastAsia="zh-CN" w:bidi="ar-SA"/>
                    </w:rPr>
                  </w:pPr>
                </w:p>
                <w:p>
                  <w:pPr>
                    <w:widowControl/>
                    <w:numPr>
                      <w:ilvl w:val="0"/>
                      <w:numId w:val="0"/>
                    </w:numPr>
                    <w:spacing w:after="210"/>
                    <w:jc w:val="left"/>
                    <w:outlineLvl w:val="1"/>
                    <w:rPr>
                      <w:rFonts w:hint="eastAsia" w:ascii="宋体" w:hAnsi="宋体" w:eastAsia="宋体" w:cs="宋体"/>
                      <w:b/>
                      <w:bCs/>
                      <w:kern w:val="0"/>
                      <w:sz w:val="33"/>
                      <w:szCs w:val="33"/>
                      <w:lang w:val="en-US" w:eastAsia="zh-CN" w:bidi="ar-SA"/>
                    </w:rPr>
                  </w:pPr>
                </w:p>
                <w:p>
                  <w:pPr>
                    <w:rPr>
                      <w:b/>
                      <w:sz w:val="44"/>
                      <w:szCs w:val="44"/>
                    </w:rPr>
                  </w:pPr>
                </w:p>
                <w:p>
                  <w:pPr>
                    <w:rPr>
                      <w:b/>
                      <w:sz w:val="44"/>
                      <w:szCs w:val="44"/>
                    </w:rPr>
                  </w:pPr>
                </w:p>
                <w:p>
                  <w:pPr>
                    <w:rPr>
                      <w:b/>
                      <w:sz w:val="44"/>
                      <w:szCs w:val="44"/>
                    </w:rPr>
                  </w:pPr>
                </w:p>
                <w:p>
                  <w:pPr>
                    <w:rPr>
                      <w:b/>
                      <w:sz w:val="44"/>
                      <w:szCs w:val="44"/>
                    </w:rPr>
                  </w:pPr>
                </w:p>
                <w:p>
                  <w:pPr>
                    <w:rPr>
                      <w:b/>
                      <w:sz w:val="44"/>
                      <w:szCs w:val="44"/>
                    </w:rPr>
                  </w:pPr>
                </w:p>
                <w:p>
                  <w:pPr>
                    <w:rPr>
                      <w:b/>
                      <w:sz w:val="44"/>
                      <w:szCs w:val="44"/>
                    </w:rPr>
                  </w:pPr>
                </w:p>
                <w:p>
                  <w:pPr>
                    <w:rPr>
                      <w:b/>
                      <w:sz w:val="44"/>
                      <w:szCs w:val="44"/>
                    </w:rPr>
                  </w:pPr>
                </w:p>
                <w:p>
                  <w:pPr>
                    <w:rPr>
                      <w:b/>
                      <w:sz w:val="44"/>
                      <w:szCs w:val="44"/>
                    </w:rPr>
                  </w:pPr>
                </w:p>
                <w:p>
                  <w:pPr>
                    <w:widowControl/>
                    <w:numPr>
                      <w:ilvl w:val="0"/>
                      <w:numId w:val="0"/>
                    </w:numPr>
                    <w:spacing w:after="210"/>
                    <w:jc w:val="left"/>
                    <w:outlineLvl w:val="1"/>
                    <w:rPr>
                      <w:rFonts w:hint="eastAsia" w:ascii="宋体" w:hAnsi="宋体" w:eastAsia="宋体" w:cs="宋体"/>
                      <w:b/>
                      <w:bCs/>
                      <w:kern w:val="0"/>
                      <w:sz w:val="33"/>
                      <w:szCs w:val="33"/>
                      <w:lang w:val="en-US" w:eastAsia="zh-CN" w:bidi="ar-SA"/>
                    </w:rPr>
                  </w:pPr>
                </w:p>
                <w:p>
                  <w:pPr>
                    <w:widowControl/>
                    <w:numPr>
                      <w:ilvl w:val="0"/>
                      <w:numId w:val="0"/>
                    </w:numPr>
                    <w:spacing w:after="210"/>
                    <w:jc w:val="left"/>
                    <w:outlineLvl w:val="1"/>
                    <w:rPr>
                      <w:rFonts w:hint="eastAsia" w:ascii="宋体" w:hAnsi="宋体" w:eastAsia="宋体" w:cs="宋体"/>
                      <w:b/>
                      <w:bCs/>
                      <w:kern w:val="0"/>
                      <w:sz w:val="33"/>
                      <w:szCs w:val="33"/>
                      <w:lang w:val="en-US" w:eastAsia="zh-CN" w:bidi="ar-SA"/>
                    </w:rPr>
                  </w:pPr>
                </w:p>
                <w:p>
                  <w:pPr>
                    <w:widowControl/>
                    <w:numPr>
                      <w:ilvl w:val="0"/>
                      <w:numId w:val="0"/>
                    </w:numPr>
                    <w:spacing w:after="210"/>
                    <w:jc w:val="left"/>
                    <w:outlineLvl w:val="1"/>
                    <w:rPr>
                      <w:rFonts w:hint="eastAsia" w:ascii="宋体" w:hAnsi="宋体" w:eastAsia="宋体" w:cs="宋体"/>
                      <w:b/>
                      <w:bCs/>
                      <w:kern w:val="0"/>
                      <w:sz w:val="33"/>
                      <w:szCs w:val="33"/>
                      <w:lang w:val="en-US" w:eastAsia="zh-CN" w:bidi="ar-SA"/>
                    </w:rPr>
                  </w:pPr>
                </w:p>
              </w:txbxContent>
            </v:textbox>
          </v:shape>
        </w:pict>
      </w:r>
      <w:r>
        <w:pict>
          <v:shape id="文本框 11" o:spid="_x0000_s1027" o:spt="202" type="#_x0000_t202" style="position:absolute;left:0pt;margin-left:-62.1pt;margin-top:3.15pt;height:251.25pt;width:156.1pt;z-index:25166438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">
            <v:path/>
            <v:fill on="f" focussize="0,0"/>
            <v:stroke on="f" weight="1.25pt" joinstyle="miter"/>
            <v:imagedata o:title=""/>
            <o:lock v:ext="edit"/>
            <v:textbox>
              <w:txbxContent>
                <w:p/>
                <w:p/>
                <w:p/>
                <w:p>
                  <w:pPr>
                    <w:jc w:val="center"/>
                    <w:rPr>
                      <w:b/>
                      <w:sz w:val="44"/>
                      <w:szCs w:val="44"/>
                    </w:rPr>
                  </w:pPr>
                  <w:r>
                    <w:rPr>
                      <w:rFonts w:hint="eastAsia"/>
                      <w:b/>
                      <w:sz w:val="44"/>
                      <w:szCs w:val="44"/>
                    </w:rPr>
                    <w:t>目录</w:t>
                  </w:r>
                </w:p>
                <w:p>
                  <w:pPr>
                    <w:jc w:val="center"/>
                    <w:rPr>
                      <w:b/>
                      <w:sz w:val="44"/>
                      <w:szCs w:val="44"/>
                    </w:rPr>
                  </w:pPr>
                </w:p>
                <w:p>
                  <w:pPr>
                    <w:jc w:val="center"/>
                    <w:rPr>
                      <w:b/>
                      <w:sz w:val="44"/>
                      <w:szCs w:val="44"/>
                    </w:rPr>
                  </w:pPr>
                </w:p>
                <w:p>
                  <w:pPr>
                    <w:jc w:val="center"/>
                    <w:rPr>
                      <w:b/>
                      <w:sz w:val="44"/>
                      <w:szCs w:val="44"/>
                    </w:rPr>
                  </w:pPr>
                </w:p>
                <w:p>
                  <w:pPr>
                    <w:jc w:val="center"/>
                    <w:rPr>
                      <w:b/>
                      <w:sz w:val="36"/>
                      <w:szCs w:val="36"/>
                    </w:rPr>
                  </w:pPr>
                  <w:r>
                    <w:rPr>
                      <w:rFonts w:hint="eastAsia"/>
                      <w:b/>
                      <w:sz w:val="36"/>
                      <w:szCs w:val="36"/>
                    </w:rPr>
                    <w:t>（</w:t>
                  </w:r>
                  <w:r>
                    <w:rPr>
                      <w:rFonts w:hint="eastAsia"/>
                      <w:b/>
                      <w:sz w:val="36"/>
                      <w:szCs w:val="36"/>
                      <w:lang w:val="en-US" w:eastAsia="zh-CN"/>
                    </w:rPr>
                    <w:t>1</w:t>
                  </w:r>
                  <w:r>
                    <w:rPr>
                      <w:rFonts w:hint="eastAsia"/>
                      <w:b/>
                      <w:sz w:val="36"/>
                      <w:szCs w:val="36"/>
                    </w:rPr>
                    <w:t>月第</w:t>
                  </w:r>
                  <w:r>
                    <w:rPr>
                      <w:rFonts w:hint="eastAsia"/>
                      <w:b/>
                      <w:sz w:val="36"/>
                      <w:szCs w:val="36"/>
                      <w:lang w:val="en-US" w:eastAsia="zh-CN"/>
                    </w:rPr>
                    <w:t>1</w:t>
                  </w:r>
                  <w:r>
                    <w:rPr>
                      <w:rFonts w:hint="eastAsia"/>
                      <w:b/>
                      <w:sz w:val="36"/>
                      <w:szCs w:val="36"/>
                    </w:rPr>
                    <w:t>期）</w:t>
                  </w:r>
                </w:p>
              </w:txbxContent>
            </v:textbox>
          </v:shape>
        </w:pict>
      </w:r>
    </w:p>
    <w:p>
      <w:pPr>
        <w:tabs>
          <w:tab w:val="left" w:pos="5245"/>
        </w:tabs>
      </w:pPr>
      <w:r>
        <w:rPr>
          <w:rFonts w:hint="eastAsia"/>
        </w:rPr>
        <w:t xml:space="preserve">    </w:t>
      </w:r>
    </w:p>
    <w:p>
      <w:pPr>
        <w:tabs>
          <w:tab w:val="left" w:pos="5245"/>
        </w:tabs>
      </w:pPr>
      <w:r>
        <w:rPr>
          <w:rFonts w:hint="eastAsia"/>
        </w:rPr>
        <w:t xml:space="preserve"> </w:t>
      </w: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r>
        <w:pict>
          <v:shape id="Straight Connector 5" o:spid="_x0000_s1031" o:spt="32" type="#_x0000_t32" style="position:absolute;left:0pt;margin-left:-67.5pt;margin-top:9.45pt;height:0.05pt;width:168.75pt;z-index:251662336;mso-width-relative:page;mso-height-relative:page;" filled="f" stroked="t" coordsize="21600,21600" o:gfxdata="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iHt0tgAAAAKAQAADwAAAAAAAAABACAAAAAiAAAAZHJz&#10;L2Rvd25yZXYueG1sUEsBAhQAFAAAAAgAh07iQLyefE7LAQAAngMAAA4AAAAAAAAAAQAgAAAAJwEA&#10;AGRycy9lMm9Eb2MueG1sUEsFBgAAAAAGAAYAWQEAAGQFAAAAAA==&#10;">
            <v:path arrowok="t"/>
            <v:fill on="f" focussize="0,0"/>
            <v:stroke weight="2.75pt" color="#548DD4"/>
            <v:imagedata o:title=""/>
            <o:lock v:ext="edit"/>
          </v:shape>
        </w:pict>
      </w:r>
    </w:p>
    <w:p>
      <w:pPr>
        <w:tabs>
          <w:tab w:val="left" w:pos="5245"/>
        </w:tabs>
      </w:pPr>
    </w:p>
    <w:p>
      <w:pPr>
        <w:tabs>
          <w:tab w:val="left" w:pos="5245"/>
        </w:tabs>
      </w:pPr>
    </w:p>
    <w:p>
      <w:pPr>
        <w:tabs>
          <w:tab w:val="left" w:pos="5245"/>
        </w:tabs>
      </w:pPr>
    </w:p>
    <w:p>
      <w:pPr>
        <w:tabs>
          <w:tab w:val="left" w:pos="5245"/>
        </w:tabs>
      </w:pPr>
      <w:r>
        <w:pict>
          <v:shape id="文本框 12" o:spid="_x0000_s1028" o:spt="202" type="#_x0000_t202" style="position:absolute;left:0pt;margin-left:-53.1pt;margin-top:10.65pt;height:60pt;width:140.25pt;z-index:25166540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">
            <v:path/>
            <v:fill on="f" focussize="0,0"/>
            <v:stroke on="f" weight="1.25pt" joinstyle="miter"/>
            <v:imagedata o:title=""/>
            <o:lock v:ext="edit"/>
            <v:textbox>
              <w:txbxContent>
                <w:p>
                  <w:pPr>
                    <w:jc w:val="center"/>
                    <w:rPr>
                      <w:rFonts w:hint="eastAsia" w:eastAsia="宋体"/>
                      <w:sz w:val="44"/>
                      <w:szCs w:val="44"/>
                      <w:lang w:eastAsia="zh-CN"/>
                    </w:rPr>
                  </w:pPr>
                  <w:r>
                    <w:rPr>
                      <w:rFonts w:hint="eastAsia"/>
                      <w:sz w:val="44"/>
                      <w:szCs w:val="44"/>
                    </w:rPr>
                    <w:t>202</w:t>
                  </w:r>
                  <w:r>
                    <w:rPr>
                      <w:rFonts w:hint="eastAsia"/>
                      <w:sz w:val="44"/>
                      <w:szCs w:val="44"/>
                      <w:lang w:val="en-US" w:eastAsia="zh-CN"/>
                    </w:rPr>
                    <w:t>3</w:t>
                  </w:r>
                  <w:r>
                    <w:rPr>
                      <w:rFonts w:hint="eastAsia"/>
                      <w:sz w:val="44"/>
                      <w:szCs w:val="44"/>
                    </w:rPr>
                    <w:t>.</w:t>
                  </w:r>
                  <w:r>
                    <w:rPr>
                      <w:rFonts w:hint="eastAsia"/>
                      <w:sz w:val="44"/>
                      <w:szCs w:val="44"/>
                      <w:lang w:val="en-US" w:eastAsia="zh-CN"/>
                    </w:rPr>
                    <w:t xml:space="preserve">1                                                                                                                                                                                                                                                                                                                                                                                                                                                                                                                                                                                                                                                                                                                                                                                                                                                                                                                                                                                                                                                                                                                                   </w:t>
                  </w:r>
                  <w:r>
                    <w:rPr>
                      <w:rFonts w:hint="eastAsia"/>
                      <w:sz w:val="44"/>
                      <w:szCs w:val="44"/>
                    </w:rPr>
                    <w:t>.2</w:t>
                  </w:r>
                  <w:r>
                    <w:rPr>
                      <w:rFonts w:hint="eastAsia"/>
                      <w:sz w:val="44"/>
                      <w:szCs w:val="44"/>
                      <w:lang w:val="en-US" w:eastAsia="zh-CN"/>
                    </w:rPr>
                    <w:t>5</w:t>
                  </w:r>
                </w:p>
              </w:txbxContent>
            </v:textbox>
          </v:shape>
        </w:pict>
      </w: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r>
        <w:pict>
          <v:shape id="文本框 13" o:spid="_x0000_s1029" o:spt="202" type="#_x0000_t202" style="position:absolute;left:0pt;margin-left:-43.7pt;margin-top:3.85pt;height:201.75pt;width:133.5pt;z-index:25166643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">
            <v:path/>
            <v:fill on="f" focussize="0,0"/>
            <v:stroke on="f" weight="1.25pt" joinstyle="miter"/>
            <v:imagedata o:title=""/>
            <o:lock v:ext="edit"/>
            <v:textbox>
              <w:txbxContent>
                <w:p/>
                <w:p/>
                <w:p/>
                <w:p>
                  <w:pPr>
                    <w:rPr>
                      <w:b/>
                      <w:sz w:val="32"/>
                      <w:szCs w:val="32"/>
                    </w:rPr>
                  </w:pPr>
                  <w:r>
                    <w:rPr>
                      <w:rFonts w:hint="eastAsia"/>
                      <w:b/>
                      <w:sz w:val="32"/>
                      <w:szCs w:val="32"/>
                    </w:rPr>
                    <w:t xml:space="preserve">总  编  朱卫东副总编  </w:t>
                  </w:r>
                  <w:r>
                    <w:rPr>
                      <w:rFonts w:hint="eastAsia"/>
                      <w:b/>
                      <w:sz w:val="32"/>
                      <w:szCs w:val="32"/>
                      <w:lang w:eastAsia="zh-CN"/>
                    </w:rPr>
                    <w:t>杨亚南</w:t>
                  </w:r>
                  <w:r>
                    <w:rPr>
                      <w:rFonts w:hint="eastAsia"/>
                      <w:b/>
                      <w:sz w:val="32"/>
                      <w:szCs w:val="32"/>
                    </w:rPr>
                    <w:t xml:space="preserve">  责任编辑车成刚</w:t>
                  </w:r>
                </w:p>
              </w:txbxContent>
            </v:textbox>
          </v:shape>
        </w:pict>
      </w: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r>
        <w:pict>
          <v:shape id="Straight Connector 4" o:spid="_x0000_s1030" o:spt="32" type="#_x0000_t32" style="position:absolute;left:0pt;margin-left:-79.4pt;margin-top:68.05pt;height:0.05pt;width:534pt;z-index:251661312;mso-width-relative:page;mso-height-relative:page;" filled="f" stroked="t" coordsize="21600,21600" o:gfxdata="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hstRc2AAAAAoBAAAPAAAAAAAAAAEAIAAAACIAAABkcnMv&#10;ZG93bnJldi54bWxQSwECFAAUAAAACACHTuJAVWy6vcoBAACeAwAADgAAAAAAAAABACAAAAAnAQAA&#10;ZHJzL2Uyb0RvYy54bWxQSwUGAAAAAAYABgBZAQAAYwUAAAAA&#10;">
            <v:path arrowok="t"/>
            <v:fill on="f" focussize="0,0"/>
            <v:stroke weight="3pt" color="#548DD4"/>
            <v:imagedata o:title=""/>
            <o:lock v:ext="edit"/>
          </v:shape>
        </w:pict>
      </w:r>
    </w:p>
    <w:p>
      <w:pPr>
        <w:tabs>
          <w:tab w:val="left" w:pos="5245"/>
        </w:tabs>
      </w:pPr>
    </w:p>
    <w:p>
      <w:pPr>
        <w:tabs>
          <w:tab w:val="left" w:pos="5245"/>
        </w:tabs>
        <w:rPr>
          <w:rFonts w:hint="default" w:eastAsia="宋体"/>
          <w:lang w:val="en-US" w:eastAsia="zh-CN"/>
        </w:rPr>
      </w:pPr>
      <w:r>
        <w:rPr>
          <w:rFonts w:hint="eastAsia"/>
        </w:rPr>
        <w:t xml:space="preserve">           </w:t>
      </w:r>
      <w:r>
        <w:rPr>
          <w:rFonts w:hint="eastAsia"/>
          <w:lang w:val="en-US" w:eastAsia="zh-CN"/>
        </w:rPr>
        <w:t xml:space="preserve">                                                                               </w:t>
      </w:r>
    </w:p>
    <w:tbl>
      <w:tblPr>
        <w:tblStyle w:val="12"/>
        <w:tblW w:w="9073" w:type="dxa"/>
        <w:tblInd w:w="-1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96"/>
        <w:gridCol w:w="2341"/>
        <w:gridCol w:w="2049"/>
        <w:gridCol w:w="24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7" w:hRule="atLeast"/>
        </w:trPr>
        <w:tc>
          <w:tcPr>
            <w:tcW w:w="2196" w:type="dxa"/>
            <w:vAlign w:val="center"/>
          </w:tcPr>
          <w:p>
            <w:pPr>
              <w:tabs>
                <w:tab w:val="left" w:pos="7088"/>
              </w:tabs>
              <w:jc w:val="center"/>
              <w:rPr>
                <w:b/>
                <w:sz w:val="30"/>
                <w:szCs w:val="30"/>
              </w:rPr>
            </w:pPr>
            <w:r>
              <w:rPr>
                <w:rFonts w:hint="eastAsia"/>
                <w:b/>
                <w:sz w:val="30"/>
                <w:szCs w:val="30"/>
              </w:rPr>
              <w:t>信息01</w:t>
            </w:r>
          </w:p>
        </w:tc>
        <w:tc>
          <w:tcPr>
            <w:tcW w:w="6877" w:type="dxa"/>
            <w:gridSpan w:val="3"/>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rFonts w:cs="宋体" w:asciiTheme="minorEastAsia" w:hAnsiTheme="minorEastAsia" w:eastAsiaTheme="minorEastAsia"/>
                <w:b/>
                <w:color w:val="000000"/>
                <w:kern w:val="0"/>
                <w:sz w:val="32"/>
                <w:szCs w:val="32"/>
              </w:rPr>
            </w:pPr>
            <w:r>
              <w:rPr>
                <w:rFonts w:hint="eastAsia" w:cs="宋体" w:asciiTheme="minorEastAsia" w:hAnsiTheme="minorEastAsia" w:eastAsiaTheme="minorEastAsia"/>
                <w:b/>
                <w:color w:val="000000"/>
                <w:kern w:val="0"/>
                <w:sz w:val="32"/>
                <w:szCs w:val="32"/>
                <w:lang w:val="en-US" w:eastAsia="zh-CN"/>
              </w:rPr>
              <w:t>国家卫健委官网发布《第二批国家重点监控合理用药药品目录》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7" w:hRule="atLeast"/>
        </w:trPr>
        <w:tc>
          <w:tcPr>
            <w:tcW w:w="2196" w:type="dxa"/>
            <w:vAlign w:val="center"/>
          </w:tcPr>
          <w:p>
            <w:pPr>
              <w:tabs>
                <w:tab w:val="left" w:pos="7088"/>
              </w:tabs>
              <w:jc w:val="center"/>
            </w:pPr>
            <w:r>
              <w:rPr>
                <w:rFonts w:hint="eastAsia"/>
                <w:b/>
                <w:sz w:val="30"/>
                <w:szCs w:val="30"/>
              </w:rPr>
              <w:t>发布</w:t>
            </w:r>
            <w:r>
              <w:rPr>
                <w:b/>
                <w:sz w:val="30"/>
                <w:szCs w:val="30"/>
              </w:rPr>
              <w:t>时间</w:t>
            </w:r>
          </w:p>
        </w:tc>
        <w:tc>
          <w:tcPr>
            <w:tcW w:w="2341" w:type="dxa"/>
            <w:vAlign w:val="center"/>
          </w:tcPr>
          <w:p>
            <w:pPr>
              <w:tabs>
                <w:tab w:val="left" w:pos="7088"/>
              </w:tabs>
              <w:ind w:firstLine="280" w:firstLineChars="100"/>
              <w:rPr>
                <w:rFonts w:hint="default" w:asciiTheme="minorEastAsia" w:hAnsiTheme="minorEastAsia" w:eastAsiaTheme="minorEastAsia"/>
                <w:sz w:val="28"/>
                <w:szCs w:val="28"/>
                <w:lang w:val="en-US" w:eastAsia="zh-CN"/>
              </w:rPr>
            </w:pPr>
            <w:r>
              <w:rPr>
                <w:rFonts w:hint="eastAsia" w:asciiTheme="minorEastAsia" w:hAnsiTheme="minorEastAsia" w:eastAsiaTheme="minorEastAsia"/>
                <w:sz w:val="28"/>
                <w:szCs w:val="28"/>
              </w:rPr>
              <w:t>202</w:t>
            </w:r>
            <w:r>
              <w:rPr>
                <w:rFonts w:hint="eastAsia" w:asciiTheme="minorEastAsia" w:hAnsiTheme="minorEastAsia" w:eastAsiaTheme="minorEastAsia"/>
                <w:sz w:val="28"/>
                <w:szCs w:val="28"/>
                <w:lang w:val="en-US" w:eastAsia="zh-CN"/>
              </w:rPr>
              <w:t>3</w:t>
            </w:r>
            <w:r>
              <w:rPr>
                <w:rFonts w:hint="eastAsia" w:asciiTheme="minorEastAsia" w:hAnsiTheme="minorEastAsia" w:eastAsiaTheme="minorEastAsia"/>
                <w:sz w:val="28"/>
                <w:szCs w:val="28"/>
              </w:rPr>
              <w:t>-</w:t>
            </w:r>
            <w:r>
              <w:rPr>
                <w:rFonts w:hint="eastAsia" w:asciiTheme="minorEastAsia" w:hAnsiTheme="minorEastAsia" w:eastAsiaTheme="minorEastAsia"/>
                <w:sz w:val="28"/>
                <w:szCs w:val="28"/>
                <w:lang w:val="en-US" w:eastAsia="zh-CN"/>
              </w:rPr>
              <w:t>1</w:t>
            </w:r>
            <w:r>
              <w:rPr>
                <w:rFonts w:hint="eastAsia" w:asciiTheme="minorEastAsia" w:hAnsiTheme="minorEastAsia" w:eastAsiaTheme="minorEastAsia"/>
                <w:sz w:val="28"/>
                <w:szCs w:val="28"/>
              </w:rPr>
              <w:t>-</w:t>
            </w:r>
            <w:r>
              <w:rPr>
                <w:rFonts w:hint="eastAsia" w:asciiTheme="minorEastAsia" w:hAnsiTheme="minorEastAsia" w:eastAsiaTheme="minorEastAsia"/>
                <w:sz w:val="28"/>
                <w:szCs w:val="28"/>
                <w:lang w:val="en-US" w:eastAsia="zh-CN"/>
              </w:rPr>
              <w:t>14</w:t>
            </w:r>
          </w:p>
        </w:tc>
        <w:tc>
          <w:tcPr>
            <w:tcW w:w="2049" w:type="dxa"/>
            <w:vAlign w:val="center"/>
          </w:tcPr>
          <w:p>
            <w:pPr>
              <w:tabs>
                <w:tab w:val="left" w:pos="7088"/>
              </w:tabs>
              <w:jc w:val="center"/>
              <w:rPr>
                <w:b/>
                <w:sz w:val="28"/>
                <w:szCs w:val="28"/>
              </w:rPr>
            </w:pPr>
            <w:r>
              <w:rPr>
                <w:rFonts w:hint="eastAsia"/>
                <w:b/>
                <w:sz w:val="30"/>
                <w:szCs w:val="30"/>
              </w:rPr>
              <w:t>信息来源</w:t>
            </w:r>
          </w:p>
        </w:tc>
        <w:tc>
          <w:tcPr>
            <w:tcW w:w="2487" w:type="dxa"/>
            <w:vAlign w:val="center"/>
          </w:tcPr>
          <w:p>
            <w:pPr>
              <w:tabs>
                <w:tab w:val="left" w:pos="7088"/>
              </w:tabs>
              <w:jc w:val="center"/>
              <w:rPr>
                <w:rFonts w:hint="default" w:asciiTheme="minorEastAsia" w:hAnsiTheme="minorEastAsia" w:eastAsiaTheme="minorEastAsia"/>
                <w:sz w:val="28"/>
                <w:szCs w:val="28"/>
                <w:lang w:val="en-US" w:eastAsia="zh-CN"/>
              </w:rPr>
            </w:pPr>
            <w:r>
              <w:rPr>
                <w:rFonts w:hint="eastAsia" w:eastAsiaTheme="minorEastAsia"/>
                <w:sz w:val="28"/>
                <w:szCs w:val="28"/>
                <w:lang w:val="en-US" w:eastAsia="zh-CN"/>
              </w:rPr>
              <w:t>医药云端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0" w:hRule="atLeast"/>
        </w:trPr>
        <w:tc>
          <w:tcPr>
            <w:tcW w:w="2196" w:type="dxa"/>
          </w:tcPr>
          <w:p>
            <w:pPr>
              <w:tabs>
                <w:tab w:val="left" w:pos="7088"/>
              </w:tabs>
              <w:jc w:val="center"/>
              <w:rPr>
                <w:b/>
                <w:sz w:val="30"/>
                <w:szCs w:val="30"/>
              </w:rPr>
            </w:pPr>
            <w:r>
              <w:rPr>
                <w:rFonts w:hint="eastAsia"/>
                <w:b/>
                <w:sz w:val="30"/>
                <w:szCs w:val="30"/>
              </w:rPr>
              <w:t>信息</w:t>
            </w:r>
            <w:r>
              <w:rPr>
                <w:b/>
                <w:sz w:val="30"/>
                <w:szCs w:val="30"/>
              </w:rPr>
              <w:t>提供</w:t>
            </w:r>
          </w:p>
        </w:tc>
        <w:tc>
          <w:tcPr>
            <w:tcW w:w="2341" w:type="dxa"/>
            <w:vAlign w:val="center"/>
          </w:tcPr>
          <w:p>
            <w:pPr>
              <w:tabs>
                <w:tab w:val="left" w:pos="7088"/>
              </w:tabs>
              <w:jc w:val="center"/>
              <w:rPr>
                <w:sz w:val="28"/>
                <w:szCs w:val="28"/>
              </w:rPr>
            </w:pPr>
            <w:r>
              <w:rPr>
                <w:rFonts w:hint="eastAsia"/>
                <w:sz w:val="28"/>
                <w:szCs w:val="28"/>
              </w:rPr>
              <w:t>运营管理部</w:t>
            </w:r>
          </w:p>
        </w:tc>
        <w:tc>
          <w:tcPr>
            <w:tcW w:w="2049" w:type="dxa"/>
          </w:tcPr>
          <w:p>
            <w:pPr>
              <w:tabs>
                <w:tab w:val="left" w:pos="7088"/>
              </w:tabs>
              <w:jc w:val="center"/>
              <w:rPr>
                <w:b/>
                <w:sz w:val="28"/>
                <w:szCs w:val="28"/>
              </w:rPr>
            </w:pPr>
            <w:r>
              <w:rPr>
                <w:rFonts w:hint="eastAsia"/>
                <w:b/>
                <w:sz w:val="30"/>
                <w:szCs w:val="30"/>
              </w:rPr>
              <w:t>信息确认</w:t>
            </w:r>
          </w:p>
        </w:tc>
        <w:tc>
          <w:tcPr>
            <w:tcW w:w="2487" w:type="dxa"/>
          </w:tcPr>
          <w:p>
            <w:pPr>
              <w:tabs>
                <w:tab w:val="left" w:pos="7088"/>
              </w:tabs>
              <w:jc w:val="center"/>
              <w:rPr>
                <w:sz w:val="28"/>
                <w:szCs w:val="28"/>
              </w:rPr>
            </w:pPr>
            <w:r>
              <w:rPr>
                <w:rFonts w:hint="eastAsia"/>
                <w:sz w:val="28"/>
                <w:szCs w:val="28"/>
              </w:rPr>
              <w:t>车成刚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0" w:hRule="atLeast"/>
        </w:trPr>
        <w:tc>
          <w:tcPr>
            <w:tcW w:w="2196" w:type="dxa"/>
            <w:tcBorders>
              <w:bottom w:val="single" w:color="auto" w:sz="4" w:space="0"/>
            </w:tcBorders>
            <w:vAlign w:val="center"/>
          </w:tcPr>
          <w:p>
            <w:pPr>
              <w:tabs>
                <w:tab w:val="left" w:pos="7088"/>
              </w:tabs>
              <w:ind w:firstLine="301" w:firstLineChars="100"/>
              <w:rPr>
                <w:b/>
                <w:sz w:val="30"/>
                <w:szCs w:val="30"/>
              </w:rPr>
            </w:pPr>
            <w:r>
              <w:rPr>
                <w:rFonts w:hint="eastAsia"/>
                <w:b/>
                <w:sz w:val="30"/>
                <w:szCs w:val="30"/>
              </w:rPr>
              <w:t>确认</w:t>
            </w:r>
            <w:r>
              <w:rPr>
                <w:b/>
                <w:sz w:val="30"/>
                <w:szCs w:val="30"/>
              </w:rPr>
              <w:t>结果</w:t>
            </w:r>
          </w:p>
        </w:tc>
        <w:tc>
          <w:tcPr>
            <w:tcW w:w="6877" w:type="dxa"/>
            <w:gridSpan w:val="3"/>
            <w:tcBorders>
              <w:bottom w:val="single" w:color="auto" w:sz="4" w:space="0"/>
            </w:tcBorders>
            <w:vAlign w:val="center"/>
          </w:tcPr>
          <w:p>
            <w:pPr>
              <w:tabs>
                <w:tab w:val="left" w:pos="7088"/>
              </w:tabs>
              <w:jc w:val="left"/>
              <w:rPr>
                <w:sz w:val="28"/>
                <w:szCs w:val="28"/>
              </w:rPr>
            </w:pPr>
            <w:r>
              <w:rPr>
                <w:rFonts w:hint="eastAsia" w:asciiTheme="minorEastAsia" w:hAnsiTheme="minorEastAsia" w:eastAsiaTheme="minorEastAsia"/>
                <w:sz w:val="28"/>
                <w:szCs w:val="28"/>
              </w:rPr>
              <w:t>来源：</w:t>
            </w:r>
            <w:r>
              <w:rPr>
                <w:rFonts w:hint="eastAsia" w:eastAsiaTheme="minorEastAsia"/>
                <w:sz w:val="28"/>
                <w:szCs w:val="28"/>
                <w:lang w:val="en-US" w:eastAsia="zh-CN"/>
              </w:rPr>
              <w:t>医药云端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27" w:hRule="atLeast"/>
        </w:trPr>
        <w:tc>
          <w:tcPr>
            <w:tcW w:w="2196" w:type="dxa"/>
            <w:tcBorders>
              <w:top w:val="single" w:color="auto" w:sz="4" w:space="0"/>
            </w:tcBorders>
            <w:vAlign w:val="center"/>
          </w:tcPr>
          <w:p>
            <w:pPr>
              <w:tabs>
                <w:tab w:val="left" w:pos="7088"/>
              </w:tabs>
              <w:jc w:val="center"/>
              <w:rPr>
                <w:b/>
                <w:sz w:val="30"/>
                <w:szCs w:val="30"/>
              </w:rPr>
            </w:pPr>
            <w:r>
              <w:rPr>
                <w:rFonts w:hint="eastAsia"/>
                <w:b/>
                <w:sz w:val="30"/>
                <w:szCs w:val="30"/>
              </w:rPr>
              <w:t>关键词</w:t>
            </w:r>
          </w:p>
        </w:tc>
        <w:tc>
          <w:tcPr>
            <w:tcW w:w="6877" w:type="dxa"/>
            <w:gridSpan w:val="3"/>
            <w:tcBorders>
              <w:top w:val="single" w:color="auto" w:sz="4" w:space="0"/>
            </w:tcBorders>
            <w:vAlign w:val="center"/>
          </w:tcPr>
          <w:p>
            <w:pPr>
              <w:tabs>
                <w:tab w:val="left" w:pos="7088"/>
              </w:tabs>
              <w:jc w:val="left"/>
              <w:rPr>
                <w:rFonts w:cs="宋体" w:asciiTheme="minorEastAsia" w:hAnsiTheme="minorEastAsia" w:eastAsiaTheme="minorEastAsia"/>
                <w:kern w:val="0"/>
                <w:sz w:val="28"/>
                <w:szCs w:val="28"/>
              </w:rPr>
            </w:pPr>
            <w:r>
              <w:rPr>
                <w:rFonts w:hint="eastAsia" w:asciiTheme="minorEastAsia" w:hAnsiTheme="minorEastAsia" w:eastAsiaTheme="minorEastAsia"/>
                <w:sz w:val="28"/>
                <w:szCs w:val="28"/>
                <w:lang w:val="en-US" w:eastAsia="zh-CN"/>
              </w:rPr>
              <w:t>药品目录，重点监控</w:t>
            </w:r>
            <w:r>
              <w:rPr>
                <w:rFonts w:hint="eastAsia" w:asciiTheme="minorEastAsia" w:hAnsiTheme="minorEastAsia" w:eastAsiaTheme="minorEastAsia"/>
                <w:sz w:val="28"/>
                <w:szCs w:val="28"/>
                <w:lang w:eastAsia="zh-CN"/>
              </w:rPr>
              <w:t>，影响、替代</w:t>
            </w:r>
            <w:r>
              <w:rPr>
                <w:rFonts w:hint="eastAsia" w:asciiTheme="minorEastAsia" w:hAnsiTheme="minorEastAsia" w:eastAsiaTheme="minorEastAsia"/>
                <w:sz w:val="28"/>
                <w:szCs w:val="2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76" w:hRule="atLeast"/>
        </w:trPr>
        <w:tc>
          <w:tcPr>
            <w:tcW w:w="2196" w:type="dxa"/>
            <w:vAlign w:val="center"/>
          </w:tcPr>
          <w:p>
            <w:pPr>
              <w:tabs>
                <w:tab w:val="left" w:pos="7088"/>
              </w:tabs>
              <w:jc w:val="center"/>
              <w:rPr>
                <w:b/>
                <w:sz w:val="30"/>
                <w:szCs w:val="30"/>
              </w:rPr>
            </w:pPr>
            <w:r>
              <w:rPr>
                <w:b/>
                <w:sz w:val="30"/>
                <w:szCs w:val="30"/>
              </w:rPr>
              <w:t>内容概要</w:t>
            </w:r>
          </w:p>
        </w:tc>
        <w:tc>
          <w:tcPr>
            <w:tcW w:w="6877" w:type="dxa"/>
            <w:gridSpan w:val="3"/>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120" w:right="12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1月13日晚间，国家卫健委官网发布《第二批国家重点监控合理用药药品目录》</w:t>
            </w:r>
            <w:r>
              <w:rPr>
                <w:rFonts w:hint="eastAsia" w:cs="Times New Roman" w:asciiTheme="minorEastAsia" w:hAnsiTheme="minorEastAsia"/>
                <w:color w:val="auto"/>
                <w:kern w:val="2"/>
                <w:sz w:val="28"/>
                <w:szCs w:val="28"/>
                <w:lang w:val="en-US" w:eastAsia="zh-CN" w:bidi="ar-SA"/>
              </w:rPr>
              <w:t>。</w:t>
            </w:r>
          </w:p>
          <w:p>
            <w:pPr>
              <w:numPr>
                <w:ilvl w:val="0"/>
                <w:numId w:val="2"/>
              </w:numPr>
              <w:ind w:left="420" w:leftChars="0" w:firstLineChars="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第二批目录数量上超过第一批，并且其中多个超级大品种，30个品种的整体存量大约为600亿元，与第一批基本持平；</w:t>
            </w:r>
            <w:r>
              <w:rPr>
                <w:rFonts w:hint="eastAsia" w:ascii="宋体" w:hAnsi="宋体" w:eastAsia="宋体" w:cs="宋体"/>
                <w:kern w:val="2"/>
                <w:sz w:val="28"/>
                <w:szCs w:val="28"/>
                <w:lang w:val="en-US" w:eastAsia="zh-CN" w:bidi="ar-SA"/>
              </w:rPr>
              <w:br w:type="textWrapping"/>
            </w:r>
            <w:r>
              <w:rPr>
                <w:rFonts w:hint="eastAsia" w:ascii="宋体" w:hAnsi="宋体" w:eastAsia="宋体" w:cs="宋体"/>
                <w:kern w:val="2"/>
                <w:sz w:val="28"/>
                <w:szCs w:val="28"/>
                <w:lang w:val="en-US" w:eastAsia="zh-CN" w:bidi="ar-SA"/>
              </w:rPr>
              <w:t>2、很多抗生素及PPI已经或正在进入集采，对冲了重点监控带来的影响；</w:t>
            </w:r>
          </w:p>
          <w:p>
            <w:pPr>
              <w:numPr>
                <w:ilvl w:val="0"/>
                <w:numId w:val="0"/>
              </w:numPr>
              <w:ind w:left="420" w:leftChars="0"/>
              <w:rPr>
                <w:rFonts w:hint="eastAsia" w:ascii="宋体" w:hAnsi="宋体" w:eastAsia="宋体" w:cs="宋体"/>
                <w:kern w:val="2"/>
                <w:sz w:val="28"/>
                <w:szCs w:val="28"/>
                <w:lang w:val="en-US" w:eastAsia="zh-CN" w:bidi="ar-SA"/>
              </w:rPr>
            </w:pPr>
            <w:r>
              <w:rPr>
                <w:rFonts w:hint="eastAsia" w:ascii="宋体" w:hAnsi="宋体" w:cs="宋体"/>
                <w:kern w:val="2"/>
                <w:sz w:val="28"/>
                <w:szCs w:val="28"/>
                <w:lang w:val="en-US" w:eastAsia="zh-CN" w:bidi="ar-SA"/>
              </w:rPr>
              <w:t>3</w:t>
            </w:r>
            <w:r>
              <w:rPr>
                <w:rFonts w:hint="eastAsia" w:ascii="宋体" w:hAnsi="宋体" w:eastAsia="宋体" w:cs="宋体"/>
                <w:kern w:val="2"/>
                <w:sz w:val="28"/>
                <w:szCs w:val="28"/>
                <w:lang w:val="en-US" w:eastAsia="zh-CN" w:bidi="ar-SA"/>
              </w:rPr>
              <w:t>、对目录内的品种重点监控，必然或带来目录外另一批品种的替代、崛起，PPI的替代效应值得关注。</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line="383" w:lineRule="atLeast"/>
              <w:ind w:right="0"/>
              <w:jc w:val="both"/>
              <w:rPr>
                <w:rFonts w:hint="default" w:cs="Times New Roman" w:asciiTheme="minorEastAsia" w:hAnsiTheme="minorEastAsia"/>
                <w:kern w:val="2"/>
                <w:sz w:val="28"/>
                <w:szCs w:val="28"/>
                <w:lang w:val="en-US" w:eastAsia="zh-CN" w:bidi="ar-SA"/>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line="383" w:lineRule="atLeast"/>
              <w:ind w:right="0"/>
              <w:jc w:val="both"/>
              <w:rPr>
                <w:rFonts w:hint="eastAsia" w:cs="Times New Roman" w:asciiTheme="minorEastAsia" w:hAnsiTheme="minorEastAsia"/>
                <w:kern w:val="2"/>
                <w:sz w:val="28"/>
                <w:szCs w:val="28"/>
                <w:lang w:val="en-US" w:eastAsia="zh-CN" w:bidi="ar-SA"/>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line="383" w:lineRule="atLeast"/>
              <w:ind w:right="0"/>
              <w:jc w:val="both"/>
              <w:rPr>
                <w:rFonts w:hint="eastAsia" w:cs="Times New Roman" w:asciiTheme="minorEastAsia" w:hAnsiTheme="minorEastAsia"/>
                <w:kern w:val="2"/>
                <w:sz w:val="28"/>
                <w:szCs w:val="28"/>
                <w:lang w:val="en-US" w:eastAsia="zh-CN" w:bidi="ar-SA"/>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line="383" w:lineRule="atLeast"/>
              <w:ind w:right="0"/>
              <w:jc w:val="both"/>
              <w:rPr>
                <w:rFonts w:hint="eastAsia" w:cs="Times New Roman" w:asciiTheme="minorEastAsia" w:hAnsiTheme="minorEastAsia"/>
                <w:kern w:val="2"/>
                <w:sz w:val="28"/>
                <w:szCs w:val="28"/>
                <w:lang w:val="en-US" w:eastAsia="zh-CN" w:bidi="ar-SA"/>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rFonts w:asciiTheme="minorEastAsia" w:hAnsiTheme="minorEastAsia" w:eastAsiaTheme="minorEastAsia"/>
                <w:sz w:val="28"/>
                <w:szCs w:val="28"/>
              </w:rPr>
            </w:pPr>
            <w:r>
              <w:rPr>
                <w:rFonts w:hint="eastAsia" w:ascii="Calibri" w:hAnsi="Calibri" w:eastAsia="宋体" w:cs="Times New Roman"/>
                <w:kern w:val="2"/>
                <w:sz w:val="21"/>
                <w:szCs w:val="22"/>
                <w:lang w:val="en-US" w:eastAsia="zh-CN" w:bidi="ar-SA"/>
              </w:rPr>
              <w:t>附件1: 国家卫健委官网发布《第二批国家重点监控合理用药药品目录》</w:t>
            </w:r>
          </w:p>
        </w:tc>
      </w:tr>
    </w:tbl>
    <w:p>
      <w:pPr>
        <w:tabs>
          <w:tab w:val="left" w:pos="5245"/>
        </w:tabs>
      </w:pPr>
    </w:p>
    <w:tbl>
      <w:tblPr>
        <w:tblStyle w:val="12"/>
        <w:tblW w:w="9073" w:type="dxa"/>
        <w:tblInd w:w="-1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27"/>
        <w:gridCol w:w="2268"/>
        <w:gridCol w:w="142"/>
        <w:gridCol w:w="1843"/>
        <w:gridCol w:w="2409"/>
        <w:gridCol w:w="2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8" w:hRule="atLeast"/>
        </w:trPr>
        <w:tc>
          <w:tcPr>
            <w:tcW w:w="2127" w:type="dxa"/>
            <w:vAlign w:val="center"/>
          </w:tcPr>
          <w:p>
            <w:pPr>
              <w:tabs>
                <w:tab w:val="left" w:pos="5245"/>
              </w:tabs>
              <w:jc w:val="center"/>
              <w:rPr>
                <w:b/>
                <w:sz w:val="30"/>
                <w:szCs w:val="30"/>
              </w:rPr>
            </w:pPr>
            <w:r>
              <w:rPr>
                <w:rFonts w:hint="eastAsia"/>
                <w:b/>
                <w:sz w:val="30"/>
                <w:szCs w:val="30"/>
              </w:rPr>
              <w:t>信息02</w:t>
            </w:r>
          </w:p>
        </w:tc>
        <w:tc>
          <w:tcPr>
            <w:tcW w:w="6946" w:type="dxa"/>
            <w:gridSpan w:val="5"/>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rFonts w:asciiTheme="minorEastAsia" w:hAnsiTheme="minorEastAsia" w:eastAsiaTheme="minorEastAsia"/>
                <w:b/>
                <w:sz w:val="32"/>
                <w:szCs w:val="32"/>
              </w:rPr>
            </w:pPr>
            <w:r>
              <w:rPr>
                <w:rFonts w:hint="eastAsia" w:asciiTheme="minorEastAsia" w:hAnsiTheme="minorEastAsia" w:eastAsiaTheme="minorEastAsia"/>
                <w:b/>
                <w:sz w:val="32"/>
                <w:szCs w:val="32"/>
              </w:rPr>
              <w:t>全国医疗保障工作会议明确重点工作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8" w:hRule="atLeast"/>
        </w:trPr>
        <w:tc>
          <w:tcPr>
            <w:tcW w:w="2127" w:type="dxa"/>
            <w:vAlign w:val="center"/>
          </w:tcPr>
          <w:p>
            <w:pPr>
              <w:tabs>
                <w:tab w:val="left" w:pos="5245"/>
              </w:tabs>
              <w:jc w:val="center"/>
            </w:pPr>
            <w:r>
              <w:rPr>
                <w:rFonts w:hint="eastAsia"/>
                <w:b/>
                <w:sz w:val="30"/>
                <w:szCs w:val="30"/>
              </w:rPr>
              <w:t>发布</w:t>
            </w:r>
            <w:r>
              <w:rPr>
                <w:b/>
                <w:sz w:val="30"/>
                <w:szCs w:val="30"/>
              </w:rPr>
              <w:t>时间</w:t>
            </w:r>
          </w:p>
        </w:tc>
        <w:tc>
          <w:tcPr>
            <w:tcW w:w="2410" w:type="dxa"/>
            <w:gridSpan w:val="2"/>
            <w:vAlign w:val="center"/>
          </w:tcPr>
          <w:p>
            <w:pPr>
              <w:widowControl/>
              <w:spacing w:line="300" w:lineRule="atLeast"/>
              <w:ind w:firstLine="280" w:firstLineChars="100"/>
              <w:jc w:val="left"/>
              <w:rPr>
                <w:rFonts w:hint="default" w:asciiTheme="minorEastAsia" w:hAnsiTheme="minorEastAsia" w:eastAsiaTheme="minorEastAsia"/>
                <w:sz w:val="28"/>
                <w:szCs w:val="28"/>
                <w:lang w:val="en-US"/>
              </w:rPr>
            </w:pPr>
            <w:r>
              <w:rPr>
                <w:rFonts w:hint="eastAsia" w:cs="Helvetica" w:asciiTheme="minorEastAsia" w:hAnsiTheme="minorEastAsia" w:eastAsiaTheme="minorEastAsia"/>
                <w:kern w:val="0"/>
                <w:sz w:val="28"/>
                <w:szCs w:val="28"/>
              </w:rPr>
              <w:t>202</w:t>
            </w:r>
            <w:r>
              <w:rPr>
                <w:rFonts w:hint="eastAsia" w:cs="Helvetica" w:asciiTheme="minorEastAsia" w:hAnsiTheme="minorEastAsia" w:eastAsiaTheme="minorEastAsia"/>
                <w:kern w:val="0"/>
                <w:sz w:val="28"/>
                <w:szCs w:val="28"/>
                <w:lang w:val="en-US" w:eastAsia="zh-CN"/>
              </w:rPr>
              <w:t>3</w:t>
            </w:r>
            <w:r>
              <w:rPr>
                <w:rFonts w:hint="eastAsia" w:cs="Helvetica" w:asciiTheme="minorEastAsia" w:hAnsiTheme="minorEastAsia" w:eastAsiaTheme="minorEastAsia"/>
                <w:kern w:val="0"/>
                <w:sz w:val="28"/>
                <w:szCs w:val="28"/>
              </w:rPr>
              <w:t>-</w:t>
            </w:r>
            <w:r>
              <w:rPr>
                <w:rFonts w:hint="eastAsia" w:cs="Helvetica" w:asciiTheme="minorEastAsia" w:hAnsiTheme="minorEastAsia" w:eastAsiaTheme="minorEastAsia"/>
                <w:kern w:val="0"/>
                <w:sz w:val="28"/>
                <w:szCs w:val="28"/>
                <w:lang w:val="en-US" w:eastAsia="zh-CN"/>
              </w:rPr>
              <w:t>1</w:t>
            </w:r>
            <w:r>
              <w:rPr>
                <w:rFonts w:hint="eastAsia" w:cs="Helvetica" w:asciiTheme="minorEastAsia" w:hAnsiTheme="minorEastAsia" w:eastAsiaTheme="minorEastAsia"/>
                <w:kern w:val="0"/>
                <w:sz w:val="28"/>
                <w:szCs w:val="28"/>
              </w:rPr>
              <w:t>-</w:t>
            </w:r>
            <w:r>
              <w:rPr>
                <w:rFonts w:hint="eastAsia" w:cs="Helvetica" w:asciiTheme="minorEastAsia" w:hAnsiTheme="minorEastAsia" w:eastAsiaTheme="minorEastAsia"/>
                <w:kern w:val="0"/>
                <w:sz w:val="28"/>
                <w:szCs w:val="28"/>
                <w:lang w:val="en-US" w:eastAsia="zh-CN"/>
              </w:rPr>
              <w:t>28</w:t>
            </w:r>
          </w:p>
        </w:tc>
        <w:tc>
          <w:tcPr>
            <w:tcW w:w="1843" w:type="dxa"/>
            <w:vAlign w:val="center"/>
          </w:tcPr>
          <w:p>
            <w:pPr>
              <w:jc w:val="center"/>
              <w:rPr>
                <w:b/>
                <w:sz w:val="30"/>
                <w:szCs w:val="30"/>
              </w:rPr>
            </w:pPr>
            <w:r>
              <w:rPr>
                <w:rFonts w:hint="eastAsia"/>
                <w:b/>
                <w:sz w:val="30"/>
                <w:szCs w:val="30"/>
              </w:rPr>
              <w:t>信息来源</w:t>
            </w:r>
          </w:p>
        </w:tc>
        <w:tc>
          <w:tcPr>
            <w:tcW w:w="2693" w:type="dxa"/>
            <w:gridSpan w:val="2"/>
            <w:vAlign w:val="center"/>
          </w:tcPr>
          <w:p>
            <w:pPr>
              <w:jc w:val="center"/>
              <w:rPr>
                <w:rFonts w:hint="eastAsia" w:eastAsia="宋体"/>
                <w:sz w:val="28"/>
                <w:szCs w:val="28"/>
                <w:lang w:eastAsia="zh-CN"/>
              </w:rPr>
            </w:pPr>
            <w:r>
              <w:rPr>
                <w:rFonts w:hint="eastAsia" w:eastAsiaTheme="minorEastAsia"/>
                <w:sz w:val="28"/>
                <w:szCs w:val="28"/>
                <w:lang w:val="en-US" w:eastAsia="zh-CN"/>
              </w:rPr>
              <w:t>赛柏蓝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trPr>
        <w:tc>
          <w:tcPr>
            <w:tcW w:w="2127" w:type="dxa"/>
            <w:vAlign w:val="center"/>
          </w:tcPr>
          <w:p>
            <w:pPr>
              <w:tabs>
                <w:tab w:val="left" w:pos="5245"/>
              </w:tabs>
              <w:jc w:val="center"/>
              <w:rPr>
                <w:b/>
                <w:sz w:val="30"/>
                <w:szCs w:val="30"/>
              </w:rPr>
            </w:pPr>
            <w:r>
              <w:rPr>
                <w:rFonts w:hint="eastAsia"/>
                <w:b/>
                <w:sz w:val="30"/>
                <w:szCs w:val="30"/>
              </w:rPr>
              <w:t>信息</w:t>
            </w:r>
            <w:r>
              <w:rPr>
                <w:b/>
                <w:sz w:val="30"/>
                <w:szCs w:val="30"/>
              </w:rPr>
              <w:t>提供</w:t>
            </w:r>
          </w:p>
        </w:tc>
        <w:tc>
          <w:tcPr>
            <w:tcW w:w="2410" w:type="dxa"/>
            <w:gridSpan w:val="2"/>
            <w:vAlign w:val="center"/>
          </w:tcPr>
          <w:p>
            <w:pPr>
              <w:jc w:val="left"/>
              <w:rPr>
                <w:sz w:val="28"/>
                <w:szCs w:val="28"/>
              </w:rPr>
            </w:pPr>
            <w:r>
              <w:rPr>
                <w:rFonts w:hint="eastAsia"/>
                <w:sz w:val="28"/>
                <w:szCs w:val="28"/>
              </w:rPr>
              <w:t>运营管理部</w:t>
            </w:r>
          </w:p>
        </w:tc>
        <w:tc>
          <w:tcPr>
            <w:tcW w:w="1843" w:type="dxa"/>
            <w:vAlign w:val="center"/>
          </w:tcPr>
          <w:p>
            <w:pPr>
              <w:jc w:val="center"/>
              <w:rPr>
                <w:b/>
                <w:sz w:val="28"/>
                <w:szCs w:val="28"/>
              </w:rPr>
            </w:pPr>
            <w:r>
              <w:rPr>
                <w:rFonts w:hint="eastAsia"/>
                <w:b/>
                <w:sz w:val="30"/>
                <w:szCs w:val="30"/>
              </w:rPr>
              <w:t>信息确认</w:t>
            </w:r>
          </w:p>
        </w:tc>
        <w:tc>
          <w:tcPr>
            <w:tcW w:w="2693" w:type="dxa"/>
            <w:gridSpan w:val="2"/>
            <w:vAlign w:val="center"/>
          </w:tcPr>
          <w:p>
            <w:pPr>
              <w:jc w:val="center"/>
              <w:rPr>
                <w:sz w:val="28"/>
                <w:szCs w:val="28"/>
              </w:rPr>
            </w:pPr>
            <w:r>
              <w:rPr>
                <w:rFonts w:hint="eastAsia"/>
                <w:sz w:val="28"/>
                <w:szCs w:val="28"/>
              </w:rPr>
              <w:t>车成刚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9" w:hRule="atLeast"/>
        </w:trPr>
        <w:tc>
          <w:tcPr>
            <w:tcW w:w="2127" w:type="dxa"/>
            <w:vAlign w:val="center"/>
          </w:tcPr>
          <w:p>
            <w:pPr>
              <w:tabs>
                <w:tab w:val="left" w:pos="5245"/>
              </w:tabs>
              <w:jc w:val="center"/>
              <w:rPr>
                <w:b/>
                <w:sz w:val="30"/>
                <w:szCs w:val="30"/>
              </w:rPr>
            </w:pPr>
            <w:r>
              <w:rPr>
                <w:rFonts w:hint="eastAsia"/>
                <w:b/>
                <w:sz w:val="30"/>
                <w:szCs w:val="30"/>
              </w:rPr>
              <w:t>确认</w:t>
            </w:r>
            <w:r>
              <w:rPr>
                <w:b/>
                <w:sz w:val="30"/>
                <w:szCs w:val="30"/>
              </w:rPr>
              <w:t>结果</w:t>
            </w:r>
          </w:p>
        </w:tc>
        <w:tc>
          <w:tcPr>
            <w:tcW w:w="6946" w:type="dxa"/>
            <w:gridSpan w:val="5"/>
            <w:vAlign w:val="center"/>
          </w:tcPr>
          <w:p>
            <w:pPr>
              <w:rPr>
                <w:rFonts w:cs="Helvetica" w:asciiTheme="minorEastAsia" w:hAnsiTheme="minorEastAsia" w:eastAsiaTheme="minorEastAsia"/>
                <w:kern w:val="0"/>
                <w:sz w:val="32"/>
                <w:szCs w:val="32"/>
              </w:rPr>
            </w:pPr>
            <w:r>
              <w:rPr>
                <w:rFonts w:asciiTheme="minorEastAsia" w:hAnsiTheme="minorEastAsia" w:eastAsiaTheme="minorEastAsia"/>
                <w:sz w:val="28"/>
                <w:szCs w:val="28"/>
              </w:rPr>
              <w:t>来源：</w:t>
            </w:r>
            <w:r>
              <w:rPr>
                <w:rFonts w:hint="eastAsia" w:eastAsiaTheme="minorEastAsia"/>
                <w:sz w:val="28"/>
                <w:szCs w:val="28"/>
                <w:lang w:val="en-US" w:eastAsia="zh-CN"/>
              </w:rPr>
              <w:t>赛柏蓝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8" w:hRule="atLeast"/>
        </w:trPr>
        <w:tc>
          <w:tcPr>
            <w:tcW w:w="2127" w:type="dxa"/>
            <w:vAlign w:val="center"/>
          </w:tcPr>
          <w:p>
            <w:pPr>
              <w:tabs>
                <w:tab w:val="left" w:pos="5245"/>
              </w:tabs>
              <w:jc w:val="center"/>
              <w:rPr>
                <w:b/>
                <w:sz w:val="30"/>
                <w:szCs w:val="30"/>
              </w:rPr>
            </w:pPr>
            <w:r>
              <w:rPr>
                <w:rFonts w:hint="eastAsia"/>
                <w:b/>
                <w:sz w:val="30"/>
                <w:szCs w:val="30"/>
              </w:rPr>
              <w:t>关键词</w:t>
            </w:r>
          </w:p>
        </w:tc>
        <w:tc>
          <w:tcPr>
            <w:tcW w:w="6946" w:type="dxa"/>
            <w:gridSpan w:val="5"/>
            <w:vAlign w:val="center"/>
          </w:tcPr>
          <w:p>
            <w:pPr>
              <w:jc w:val="left"/>
              <w:rPr>
                <w:sz w:val="28"/>
                <w:szCs w:val="28"/>
              </w:rPr>
            </w:pPr>
            <w:r>
              <w:rPr>
                <w:rFonts w:hint="eastAsia" w:asciiTheme="minorEastAsia" w:hAnsiTheme="minorEastAsia" w:eastAsiaTheme="minorEastAsia"/>
                <w:sz w:val="28"/>
                <w:szCs w:val="28"/>
                <w:lang w:val="en-US" w:eastAsia="zh-CN"/>
              </w:rPr>
              <w:t>集采药品，医保重点工作，扩围</w:t>
            </w:r>
            <w:r>
              <w:rPr>
                <w:rFonts w:hint="eastAsia"/>
                <w:sz w:val="28"/>
                <w:szCs w:val="2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37" w:hRule="atLeast"/>
        </w:trPr>
        <w:tc>
          <w:tcPr>
            <w:tcW w:w="2127" w:type="dxa"/>
            <w:vAlign w:val="center"/>
          </w:tcPr>
          <w:p>
            <w:pPr>
              <w:tabs>
                <w:tab w:val="left" w:pos="5245"/>
              </w:tabs>
              <w:jc w:val="center"/>
              <w:rPr>
                <w:b/>
                <w:sz w:val="30"/>
                <w:szCs w:val="30"/>
              </w:rPr>
            </w:pPr>
            <w:r>
              <w:rPr>
                <w:rFonts w:hint="eastAsia"/>
                <w:b/>
                <w:sz w:val="30"/>
                <w:szCs w:val="30"/>
              </w:rPr>
              <w:t>内容概要</w:t>
            </w:r>
          </w:p>
        </w:tc>
        <w:tc>
          <w:tcPr>
            <w:tcW w:w="6946" w:type="dxa"/>
            <w:gridSpan w:val="5"/>
            <w:vAlign w:val="center"/>
          </w:tcPr>
          <w:p>
            <w:pPr>
              <w:numPr>
                <w:ilvl w:val="0"/>
                <w:numId w:val="0"/>
              </w:numPr>
              <w:ind w:firstLine="560" w:firstLineChars="200"/>
              <w:rPr>
                <w:rFonts w:hint="eastAsia" w:ascii="宋体" w:hAnsi="宋体" w:cs="宋体"/>
                <w:kern w:val="2"/>
                <w:sz w:val="28"/>
                <w:szCs w:val="28"/>
                <w:lang w:val="en-US" w:eastAsia="zh-CN" w:bidi="ar-SA"/>
              </w:rPr>
            </w:pPr>
            <w:r>
              <w:rPr>
                <w:rFonts w:hint="eastAsia" w:ascii="宋体" w:hAnsi="宋体" w:cs="宋体"/>
                <w:kern w:val="2"/>
                <w:sz w:val="28"/>
                <w:szCs w:val="28"/>
                <w:lang w:val="en-US" w:eastAsia="zh-CN" w:bidi="ar-SA"/>
              </w:rPr>
              <w:t>2023年1月12日在京召开的全国医疗保障工作会议，将2023年需要实现的国采+省采药品数量定到450个，预计超过100个药品将于2023年被首次纳入集采。</w:t>
            </w:r>
          </w:p>
          <w:p>
            <w:pPr>
              <w:numPr>
                <w:ilvl w:val="0"/>
                <w:numId w:val="3"/>
              </w:numPr>
              <w:ind w:left="420" w:leftChars="0"/>
              <w:rPr>
                <w:rFonts w:hint="eastAsia" w:ascii="宋体" w:hAnsi="宋体" w:cs="宋体"/>
                <w:kern w:val="2"/>
                <w:sz w:val="28"/>
                <w:szCs w:val="28"/>
                <w:lang w:val="en-US" w:eastAsia="zh-CN" w:bidi="ar-SA"/>
              </w:rPr>
            </w:pPr>
            <w:r>
              <w:rPr>
                <w:rFonts w:hint="eastAsia" w:ascii="宋体" w:hAnsi="宋体" w:cs="宋体"/>
                <w:kern w:val="2"/>
                <w:sz w:val="28"/>
                <w:szCs w:val="28"/>
                <w:lang w:val="en-US" w:eastAsia="zh-CN" w:bidi="ar-SA"/>
              </w:rPr>
              <w:t>国采降幅超50%、国家与区域集采结合成新常态；</w:t>
            </w:r>
          </w:p>
          <w:p>
            <w:pPr>
              <w:numPr>
                <w:ilvl w:val="0"/>
                <w:numId w:val="3"/>
              </w:numPr>
              <w:ind w:left="420" w:leftChars="0"/>
              <w:rPr>
                <w:rFonts w:hint="eastAsia" w:ascii="宋体" w:hAnsi="宋体" w:cs="宋体"/>
                <w:kern w:val="2"/>
                <w:sz w:val="28"/>
                <w:szCs w:val="28"/>
                <w:lang w:val="en-US" w:eastAsia="zh-CN" w:bidi="ar-SA"/>
              </w:rPr>
            </w:pPr>
            <w:r>
              <w:rPr>
                <w:rFonts w:hint="eastAsia" w:ascii="宋体" w:hAnsi="宋体" w:cs="宋体"/>
                <w:kern w:val="2"/>
                <w:sz w:val="28"/>
                <w:szCs w:val="28"/>
                <w:lang w:val="en-US" w:eastAsia="zh-CN" w:bidi="ar-SA"/>
              </w:rPr>
              <w:t>2023年医保重点工作释放多个信号。</w:t>
            </w:r>
          </w:p>
          <w:p>
            <w:pPr>
              <w:numPr>
                <w:ilvl w:val="0"/>
                <w:numId w:val="0"/>
              </w:numPr>
              <w:ind w:left="420" w:leftChars="0"/>
              <w:rPr>
                <w:rFonts w:hint="eastAsia" w:ascii="宋体" w:hAnsi="宋体" w:eastAsia="宋体" w:cs="宋体"/>
                <w:kern w:val="2"/>
                <w:sz w:val="28"/>
                <w:szCs w:val="28"/>
                <w:lang w:val="en-US" w:eastAsia="zh-CN" w:bidi="ar-SA"/>
              </w:rPr>
            </w:pPr>
          </w:p>
          <w:p>
            <w:pPr>
              <w:widowControl/>
              <w:spacing w:line="420" w:lineRule="atLeast"/>
              <w:ind w:firstLine="420" w:firstLineChars="200"/>
              <w:jc w:val="left"/>
              <w:rPr>
                <w:rFonts w:hint="eastAsia" w:asciiTheme="minorEastAsia" w:hAnsiTheme="minorEastAsia" w:eastAsiaTheme="minorEastAsia"/>
                <w:lang w:val="en-US" w:eastAsia="zh-CN"/>
              </w:rPr>
            </w:pPr>
          </w:p>
          <w:p>
            <w:pPr>
              <w:widowControl/>
              <w:spacing w:line="420" w:lineRule="atLeast"/>
              <w:jc w:val="left"/>
              <w:rPr>
                <w:rFonts w:asciiTheme="minorEastAsia" w:hAnsiTheme="minorEastAsia" w:eastAsiaTheme="minorEastAsia"/>
              </w:rPr>
            </w:pPr>
          </w:p>
          <w:p>
            <w:pPr>
              <w:widowControl/>
              <w:spacing w:line="420" w:lineRule="atLeast"/>
              <w:jc w:val="left"/>
              <w:rPr>
                <w:rFonts w:hint="eastAsia" w:asciiTheme="minorEastAsia" w:hAnsiTheme="minorEastAsia" w:eastAsiaTheme="minorEastAsia"/>
                <w:lang w:val="en-US" w:eastAsia="zh-CN"/>
              </w:rPr>
            </w:pPr>
            <w:r>
              <w:rPr>
                <w:rFonts w:hint="eastAsia" w:asciiTheme="minorEastAsia" w:hAnsiTheme="minorEastAsia" w:eastAsiaTheme="minorEastAsia"/>
                <w:lang w:val="en-US" w:eastAsia="zh-CN"/>
              </w:rPr>
              <w:t xml:space="preserve">  </w:t>
            </w:r>
          </w:p>
          <w:p>
            <w:pPr>
              <w:widowControl/>
              <w:spacing w:line="420" w:lineRule="atLeast"/>
              <w:jc w:val="left"/>
              <w:rPr>
                <w:rFonts w:hint="eastAsia" w:asciiTheme="minorEastAsia" w:hAnsiTheme="minorEastAsia" w:eastAsiaTheme="minorEastAsia"/>
                <w:lang w:val="en-US" w:eastAsia="zh-CN"/>
              </w:rPr>
            </w:pPr>
          </w:p>
          <w:p>
            <w:pPr>
              <w:widowControl/>
              <w:spacing w:line="420" w:lineRule="atLeast"/>
              <w:jc w:val="left"/>
              <w:rPr>
                <w:rFonts w:hint="eastAsia" w:asciiTheme="minorEastAsia" w:hAnsiTheme="minorEastAsia" w:eastAsiaTheme="minorEastAsia"/>
                <w:lang w:val="en-US" w:eastAsia="zh-CN"/>
              </w:rPr>
            </w:pPr>
          </w:p>
          <w:p>
            <w:pPr>
              <w:widowControl/>
              <w:spacing w:line="420" w:lineRule="atLeast"/>
              <w:jc w:val="left"/>
              <w:rPr>
                <w:rFonts w:hint="eastAsia" w:asciiTheme="minorEastAsia" w:hAnsiTheme="minorEastAsia" w:eastAsiaTheme="minorEastAsia"/>
                <w:lang w:val="en-US" w:eastAsia="zh-CN"/>
              </w:rPr>
            </w:pPr>
          </w:p>
          <w:p>
            <w:pPr>
              <w:widowControl/>
              <w:spacing w:line="420" w:lineRule="atLeast"/>
              <w:jc w:val="left"/>
              <w:rPr>
                <w:rFonts w:hint="eastAsia" w:asciiTheme="minorEastAsia" w:hAnsiTheme="minorEastAsia" w:eastAsiaTheme="minorEastAsia"/>
                <w:lang w:val="en-US" w:eastAsia="zh-CN"/>
              </w:rPr>
            </w:pPr>
          </w:p>
          <w:p>
            <w:pPr>
              <w:widowControl/>
              <w:spacing w:line="420" w:lineRule="atLeast"/>
              <w:jc w:val="left"/>
              <w:rPr>
                <w:rFonts w:hint="default" w:asciiTheme="minorEastAsia" w:hAnsiTheme="minorEastAsia" w:eastAsiaTheme="minorEastAsia"/>
                <w:lang w:val="en-US" w:eastAsia="zh-CN"/>
              </w:rPr>
            </w:pPr>
          </w:p>
          <w:p>
            <w:pPr>
              <w:widowControl/>
              <w:spacing w:line="420" w:lineRule="atLeast"/>
              <w:jc w:val="left"/>
              <w:rPr>
                <w:rFonts w:asciiTheme="minorEastAsia" w:hAnsiTheme="minorEastAsia" w:eastAsiaTheme="minorEastAsia"/>
              </w:rPr>
            </w:pPr>
          </w:p>
          <w:p>
            <w:pPr>
              <w:widowControl/>
              <w:spacing w:line="420" w:lineRule="atLeast"/>
              <w:jc w:val="left"/>
              <w:rPr>
                <w:rFonts w:asciiTheme="minorEastAsia" w:hAnsiTheme="minorEastAsia" w:eastAsiaTheme="minorEastAsia"/>
              </w:rPr>
            </w:pPr>
          </w:p>
          <w:p>
            <w:pPr>
              <w:widowControl/>
              <w:spacing w:line="420" w:lineRule="atLeast"/>
              <w:jc w:val="left"/>
              <w:rPr>
                <w:rFonts w:asciiTheme="minorEastAsia" w:hAnsiTheme="minorEastAsia" w:eastAsiaTheme="minorEastAsia"/>
              </w:rPr>
            </w:pPr>
          </w:p>
          <w:p>
            <w:pPr>
              <w:widowControl/>
              <w:spacing w:line="420" w:lineRule="atLeast"/>
              <w:jc w:val="left"/>
              <w:rPr>
                <w:rFonts w:asciiTheme="minorEastAsia" w:hAnsiTheme="minorEastAsia" w:eastAsiaTheme="minorEastAsia"/>
              </w:rPr>
            </w:pPr>
          </w:p>
          <w:p>
            <w:pPr>
              <w:rPr>
                <w:rFonts w:hint="eastAsia"/>
                <w:lang w:val="en-US" w:eastAsia="zh-CN"/>
              </w:rPr>
            </w:pPr>
            <w:r>
              <w:rPr>
                <w:rFonts w:hint="eastAsia"/>
                <w:lang w:eastAsia="zh-CN"/>
              </w:rPr>
              <w:t>附件</w:t>
            </w:r>
            <w:r>
              <w:rPr>
                <w:rFonts w:hint="eastAsia"/>
                <w:lang w:val="en-US" w:eastAsia="zh-CN"/>
              </w:rPr>
              <w:t>2：全国医疗保障工作会议明确重点工作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1" w:hRule="atLeast"/>
        </w:trPr>
        <w:tc>
          <w:tcPr>
            <w:tcW w:w="2127" w:type="dxa"/>
            <w:vAlign w:val="center"/>
          </w:tcPr>
          <w:p>
            <w:pPr>
              <w:jc w:val="center"/>
              <w:rPr>
                <w:b/>
                <w:sz w:val="30"/>
                <w:szCs w:val="30"/>
              </w:rPr>
            </w:pPr>
            <w:r>
              <w:rPr>
                <w:rFonts w:hint="eastAsia"/>
                <w:b/>
                <w:sz w:val="30"/>
                <w:szCs w:val="30"/>
              </w:rPr>
              <w:t>信息03</w:t>
            </w:r>
          </w:p>
        </w:tc>
        <w:tc>
          <w:tcPr>
            <w:tcW w:w="6946" w:type="dxa"/>
            <w:gridSpan w:val="5"/>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rFonts w:hint="eastAsia" w:cs="Helvetica" w:asciiTheme="minorEastAsia" w:hAnsiTheme="minorEastAsia" w:eastAsiaTheme="minorEastAsia"/>
                <w:b/>
                <w:color w:val="000000"/>
                <w:kern w:val="0"/>
                <w:sz w:val="32"/>
                <w:szCs w:val="32"/>
              </w:rPr>
            </w:pPr>
            <w:r>
              <w:rPr>
                <w:rFonts w:hint="eastAsia" w:cs="Helvetica" w:asciiTheme="minorEastAsia" w:hAnsiTheme="minorEastAsia" w:eastAsiaTheme="minorEastAsia"/>
                <w:b/>
                <w:color w:val="000000"/>
                <w:kern w:val="0"/>
                <w:sz w:val="32"/>
                <w:szCs w:val="32"/>
                <w:lang w:eastAsia="zh-CN"/>
              </w:rPr>
              <w:t>新版国家医保目录发布，</w:t>
            </w:r>
            <w:r>
              <w:rPr>
                <w:rFonts w:hint="eastAsia" w:cs="Helvetica" w:asciiTheme="minorEastAsia" w:hAnsiTheme="minorEastAsia" w:eastAsiaTheme="minorEastAsia"/>
                <w:b/>
                <w:color w:val="000000"/>
                <w:kern w:val="0"/>
                <w:sz w:val="32"/>
                <w:szCs w:val="32"/>
                <w:lang w:val="en-US" w:eastAsia="zh-CN"/>
              </w:rPr>
              <w:t>3月1日起正式实施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9" w:hRule="atLeast"/>
        </w:trPr>
        <w:tc>
          <w:tcPr>
            <w:tcW w:w="2127" w:type="dxa"/>
            <w:tcBorders>
              <w:bottom w:val="single" w:color="auto" w:sz="4" w:space="0"/>
            </w:tcBorders>
            <w:vAlign w:val="center"/>
          </w:tcPr>
          <w:p>
            <w:pPr>
              <w:tabs>
                <w:tab w:val="left" w:pos="5245"/>
              </w:tabs>
              <w:jc w:val="center"/>
            </w:pPr>
            <w:r>
              <w:rPr>
                <w:rFonts w:hint="eastAsia"/>
                <w:b/>
                <w:sz w:val="30"/>
                <w:szCs w:val="30"/>
              </w:rPr>
              <w:t>发布</w:t>
            </w:r>
            <w:r>
              <w:rPr>
                <w:b/>
                <w:sz w:val="30"/>
                <w:szCs w:val="30"/>
              </w:rPr>
              <w:t>时间</w:t>
            </w:r>
          </w:p>
        </w:tc>
        <w:tc>
          <w:tcPr>
            <w:tcW w:w="2268" w:type="dxa"/>
            <w:tcBorders>
              <w:bottom w:val="single" w:color="auto" w:sz="4" w:space="0"/>
            </w:tcBorders>
            <w:vAlign w:val="center"/>
          </w:tcPr>
          <w:p>
            <w:pPr>
              <w:widowControl/>
              <w:spacing w:line="300" w:lineRule="atLeast"/>
              <w:ind w:firstLine="280" w:firstLineChars="100"/>
              <w:jc w:val="left"/>
              <w:rPr>
                <w:rFonts w:hint="default" w:asciiTheme="minorEastAsia" w:hAnsiTheme="minorEastAsia" w:eastAsiaTheme="minorEastAsia"/>
                <w:sz w:val="28"/>
                <w:szCs w:val="28"/>
                <w:lang w:val="en-US" w:eastAsia="zh-CN"/>
              </w:rPr>
            </w:pPr>
            <w:r>
              <w:rPr>
                <w:rFonts w:hint="eastAsia" w:cs="Helvetica" w:asciiTheme="minorEastAsia" w:hAnsiTheme="minorEastAsia" w:eastAsiaTheme="minorEastAsia"/>
                <w:kern w:val="0"/>
                <w:sz w:val="28"/>
                <w:szCs w:val="28"/>
              </w:rPr>
              <w:t>202</w:t>
            </w:r>
            <w:r>
              <w:rPr>
                <w:rFonts w:hint="eastAsia" w:cs="Helvetica" w:asciiTheme="minorEastAsia" w:hAnsiTheme="minorEastAsia" w:eastAsiaTheme="minorEastAsia"/>
                <w:kern w:val="0"/>
                <w:sz w:val="28"/>
                <w:szCs w:val="28"/>
                <w:lang w:val="en-US" w:eastAsia="zh-CN"/>
              </w:rPr>
              <w:t>3</w:t>
            </w:r>
            <w:r>
              <w:rPr>
                <w:rFonts w:hint="eastAsia" w:cs="Helvetica" w:asciiTheme="minorEastAsia" w:hAnsiTheme="minorEastAsia" w:eastAsiaTheme="minorEastAsia"/>
                <w:kern w:val="0"/>
                <w:sz w:val="28"/>
                <w:szCs w:val="28"/>
              </w:rPr>
              <w:t>-</w:t>
            </w:r>
            <w:r>
              <w:rPr>
                <w:rFonts w:hint="eastAsia" w:cs="Helvetica" w:asciiTheme="minorEastAsia" w:hAnsiTheme="minorEastAsia" w:eastAsiaTheme="minorEastAsia"/>
                <w:kern w:val="0"/>
                <w:sz w:val="28"/>
                <w:szCs w:val="28"/>
                <w:lang w:val="en-US" w:eastAsia="zh-CN"/>
              </w:rPr>
              <w:t>1</w:t>
            </w:r>
            <w:r>
              <w:rPr>
                <w:rFonts w:hint="eastAsia" w:cs="Helvetica" w:asciiTheme="minorEastAsia" w:hAnsiTheme="minorEastAsia" w:eastAsiaTheme="minorEastAsia"/>
                <w:kern w:val="0"/>
                <w:sz w:val="28"/>
                <w:szCs w:val="28"/>
              </w:rPr>
              <w:t>-</w:t>
            </w:r>
            <w:r>
              <w:rPr>
                <w:rFonts w:hint="eastAsia" w:cs="Helvetica" w:asciiTheme="minorEastAsia" w:hAnsiTheme="minorEastAsia" w:eastAsiaTheme="minorEastAsia"/>
                <w:kern w:val="0"/>
                <w:sz w:val="28"/>
                <w:szCs w:val="28"/>
                <w:lang w:val="en-US" w:eastAsia="zh-CN"/>
              </w:rPr>
              <w:t>19</w:t>
            </w:r>
          </w:p>
        </w:tc>
        <w:tc>
          <w:tcPr>
            <w:tcW w:w="1985" w:type="dxa"/>
            <w:gridSpan w:val="2"/>
            <w:tcBorders>
              <w:bottom w:val="single" w:color="auto" w:sz="4" w:space="0"/>
            </w:tcBorders>
            <w:vAlign w:val="center"/>
          </w:tcPr>
          <w:p>
            <w:pPr>
              <w:jc w:val="center"/>
              <w:rPr>
                <w:b/>
                <w:sz w:val="30"/>
                <w:szCs w:val="30"/>
              </w:rPr>
            </w:pPr>
            <w:r>
              <w:rPr>
                <w:rFonts w:hint="eastAsia"/>
                <w:b/>
                <w:sz w:val="30"/>
                <w:szCs w:val="30"/>
              </w:rPr>
              <w:t>信息来源</w:t>
            </w:r>
          </w:p>
        </w:tc>
        <w:tc>
          <w:tcPr>
            <w:tcW w:w="2693" w:type="dxa"/>
            <w:gridSpan w:val="2"/>
            <w:tcBorders>
              <w:bottom w:val="single" w:color="auto" w:sz="4" w:space="0"/>
            </w:tcBorders>
            <w:vAlign w:val="center"/>
          </w:tcPr>
          <w:p>
            <w:pPr>
              <w:jc w:val="center"/>
              <w:rPr>
                <w:rFonts w:hint="default" w:eastAsia="宋体"/>
                <w:sz w:val="28"/>
                <w:szCs w:val="28"/>
                <w:lang w:val="en-US" w:eastAsia="zh-CN"/>
              </w:rPr>
            </w:pPr>
            <w:r>
              <w:rPr>
                <w:rFonts w:hint="eastAsia" w:eastAsiaTheme="minorEastAsia"/>
                <w:sz w:val="28"/>
                <w:szCs w:val="28"/>
                <w:lang w:val="en-US" w:eastAsia="zh-CN"/>
              </w:rPr>
              <w:t>米内网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trPr>
        <w:tc>
          <w:tcPr>
            <w:tcW w:w="2127" w:type="dxa"/>
            <w:tcBorders>
              <w:top w:val="single" w:color="auto" w:sz="4" w:space="0"/>
            </w:tcBorders>
            <w:vAlign w:val="center"/>
          </w:tcPr>
          <w:p>
            <w:pPr>
              <w:tabs>
                <w:tab w:val="left" w:pos="5245"/>
              </w:tabs>
              <w:jc w:val="center"/>
              <w:rPr>
                <w:b/>
                <w:sz w:val="30"/>
                <w:szCs w:val="30"/>
              </w:rPr>
            </w:pPr>
            <w:r>
              <w:rPr>
                <w:rFonts w:hint="eastAsia"/>
                <w:b/>
                <w:sz w:val="30"/>
                <w:szCs w:val="30"/>
              </w:rPr>
              <w:t>信息</w:t>
            </w:r>
            <w:r>
              <w:rPr>
                <w:b/>
                <w:sz w:val="30"/>
                <w:szCs w:val="30"/>
              </w:rPr>
              <w:t>提供</w:t>
            </w:r>
          </w:p>
        </w:tc>
        <w:tc>
          <w:tcPr>
            <w:tcW w:w="2268" w:type="dxa"/>
            <w:tcBorders>
              <w:top w:val="single" w:color="auto" w:sz="4" w:space="0"/>
            </w:tcBorders>
            <w:vAlign w:val="center"/>
          </w:tcPr>
          <w:p>
            <w:pPr>
              <w:jc w:val="center"/>
              <w:rPr>
                <w:sz w:val="28"/>
                <w:szCs w:val="28"/>
              </w:rPr>
            </w:pPr>
            <w:r>
              <w:rPr>
                <w:rFonts w:hint="eastAsia"/>
                <w:sz w:val="28"/>
                <w:szCs w:val="28"/>
              </w:rPr>
              <w:t>运营管理部</w:t>
            </w:r>
          </w:p>
        </w:tc>
        <w:tc>
          <w:tcPr>
            <w:tcW w:w="1985" w:type="dxa"/>
            <w:gridSpan w:val="2"/>
            <w:tcBorders>
              <w:top w:val="single" w:color="auto" w:sz="4" w:space="0"/>
            </w:tcBorders>
            <w:vAlign w:val="center"/>
          </w:tcPr>
          <w:p>
            <w:pPr>
              <w:jc w:val="center"/>
              <w:rPr>
                <w:b/>
                <w:sz w:val="28"/>
                <w:szCs w:val="28"/>
              </w:rPr>
            </w:pPr>
            <w:r>
              <w:rPr>
                <w:rFonts w:hint="eastAsia"/>
                <w:b/>
                <w:sz w:val="30"/>
                <w:szCs w:val="30"/>
              </w:rPr>
              <w:t>信息确认</w:t>
            </w:r>
          </w:p>
        </w:tc>
        <w:tc>
          <w:tcPr>
            <w:tcW w:w="2693" w:type="dxa"/>
            <w:gridSpan w:val="2"/>
            <w:tcBorders>
              <w:top w:val="single" w:color="auto" w:sz="4" w:space="0"/>
            </w:tcBorders>
            <w:vAlign w:val="center"/>
          </w:tcPr>
          <w:p>
            <w:pPr>
              <w:jc w:val="center"/>
              <w:rPr>
                <w:sz w:val="28"/>
                <w:szCs w:val="28"/>
              </w:rPr>
            </w:pPr>
            <w:r>
              <w:rPr>
                <w:rFonts w:hint="eastAsia"/>
                <w:sz w:val="28"/>
                <w:szCs w:val="28"/>
              </w:rPr>
              <w:t>车成刚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4" w:hRule="atLeast"/>
        </w:trPr>
        <w:tc>
          <w:tcPr>
            <w:tcW w:w="2127" w:type="dxa"/>
            <w:vAlign w:val="center"/>
          </w:tcPr>
          <w:p>
            <w:pPr>
              <w:tabs>
                <w:tab w:val="left" w:pos="5245"/>
              </w:tabs>
              <w:jc w:val="center"/>
              <w:rPr>
                <w:b/>
                <w:sz w:val="30"/>
                <w:szCs w:val="30"/>
              </w:rPr>
            </w:pPr>
            <w:r>
              <w:rPr>
                <w:rFonts w:hint="eastAsia"/>
                <w:b/>
                <w:sz w:val="30"/>
                <w:szCs w:val="30"/>
              </w:rPr>
              <w:t>确认</w:t>
            </w:r>
            <w:r>
              <w:rPr>
                <w:b/>
                <w:sz w:val="30"/>
                <w:szCs w:val="30"/>
              </w:rPr>
              <w:t>结果</w:t>
            </w:r>
          </w:p>
        </w:tc>
        <w:tc>
          <w:tcPr>
            <w:tcW w:w="6946" w:type="dxa"/>
            <w:gridSpan w:val="5"/>
            <w:vAlign w:val="center"/>
          </w:tcPr>
          <w:p>
            <w:pPr>
              <w:widowControl/>
              <w:spacing w:line="300" w:lineRule="atLeast"/>
              <w:jc w:val="left"/>
              <w:rPr>
                <w:rFonts w:hint="eastAsia" w:ascii="Helvetica" w:hAnsi="Helvetica" w:cs="Helvetica" w:eastAsiaTheme="minorEastAsia"/>
                <w:color w:val="000000" w:themeColor="text1"/>
                <w:kern w:val="0"/>
                <w:sz w:val="28"/>
                <w:szCs w:val="28"/>
                <w:lang w:eastAsia="zh-CN"/>
              </w:rPr>
            </w:pPr>
            <w:r>
              <w:rPr>
                <w:rFonts w:hint="eastAsia" w:cs="Helvetica" w:asciiTheme="minorEastAsia" w:hAnsiTheme="minorEastAsia" w:eastAsiaTheme="minorEastAsia"/>
                <w:color w:val="000000" w:themeColor="text1"/>
                <w:kern w:val="0"/>
                <w:sz w:val="28"/>
                <w:szCs w:val="28"/>
              </w:rPr>
              <w:t>来源：</w:t>
            </w:r>
            <w:r>
              <w:rPr>
                <w:rFonts w:hint="eastAsia" w:eastAsiaTheme="minorEastAsia"/>
                <w:sz w:val="28"/>
                <w:szCs w:val="28"/>
                <w:lang w:val="en-US" w:eastAsia="zh-CN"/>
              </w:rPr>
              <w:t>米内网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2127" w:type="dxa"/>
            <w:vAlign w:val="center"/>
          </w:tcPr>
          <w:p>
            <w:pPr>
              <w:jc w:val="center"/>
              <w:rPr>
                <w:b/>
                <w:sz w:val="30"/>
                <w:szCs w:val="30"/>
              </w:rPr>
            </w:pPr>
            <w:r>
              <w:rPr>
                <w:rFonts w:hint="eastAsia"/>
                <w:b/>
                <w:sz w:val="30"/>
                <w:szCs w:val="30"/>
              </w:rPr>
              <w:t>关键词</w:t>
            </w:r>
          </w:p>
        </w:tc>
        <w:tc>
          <w:tcPr>
            <w:tcW w:w="6946" w:type="dxa"/>
            <w:gridSpan w:val="5"/>
            <w:vAlign w:val="center"/>
          </w:tcPr>
          <w:p>
            <w:pPr>
              <w:jc w:val="left"/>
              <w:rPr>
                <w:rFonts w:asciiTheme="minorEastAsia" w:hAnsiTheme="minorEastAsia" w:eastAsiaTheme="minorEastAsia"/>
                <w:color w:val="000000" w:themeColor="text1"/>
                <w:sz w:val="28"/>
                <w:szCs w:val="28"/>
              </w:rPr>
            </w:pPr>
            <w:r>
              <w:rPr>
                <w:rFonts w:hint="eastAsia" w:asciiTheme="minorEastAsia" w:hAnsiTheme="minorEastAsia" w:eastAsiaTheme="minorEastAsia"/>
                <w:sz w:val="28"/>
                <w:szCs w:val="28"/>
                <w:lang w:val="en-US" w:eastAsia="zh-CN"/>
              </w:rPr>
              <w:t>医保谈判，目录调整</w:t>
            </w:r>
            <w:r>
              <w:rPr>
                <w:rFonts w:hint="eastAsia" w:asciiTheme="minorEastAsia" w:hAnsiTheme="minorEastAsia" w:eastAsiaTheme="minorEastAsia"/>
                <w:sz w:val="28"/>
                <w:szCs w:val="28"/>
                <w:lang w:eastAsia="zh-CN"/>
              </w:rPr>
              <w:t>，入保</w:t>
            </w:r>
            <w:r>
              <w:rPr>
                <w:rFonts w:hint="eastAsia" w:asciiTheme="minorEastAsia" w:hAnsiTheme="minorEastAsia" w:eastAsiaTheme="minorEastAsia"/>
                <w:sz w:val="28"/>
                <w:szCs w:val="2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27" w:hRule="atLeast"/>
        </w:trPr>
        <w:tc>
          <w:tcPr>
            <w:tcW w:w="2127" w:type="dxa"/>
            <w:vAlign w:val="center"/>
          </w:tcPr>
          <w:p>
            <w:pPr>
              <w:tabs>
                <w:tab w:val="left" w:pos="7088"/>
              </w:tabs>
              <w:spacing w:line="380" w:lineRule="exact"/>
              <w:jc w:val="center"/>
              <w:rPr>
                <w:b/>
                <w:sz w:val="30"/>
                <w:szCs w:val="30"/>
              </w:rPr>
            </w:pPr>
            <w:r>
              <w:rPr>
                <w:rFonts w:hint="eastAsia"/>
                <w:b/>
                <w:sz w:val="30"/>
                <w:szCs w:val="30"/>
              </w:rPr>
              <w:t>内容概要</w:t>
            </w:r>
          </w:p>
        </w:tc>
        <w:tc>
          <w:tcPr>
            <w:tcW w:w="6946" w:type="dxa"/>
            <w:gridSpan w:val="5"/>
            <w:vAlign w:val="center"/>
          </w:tcPr>
          <w:p>
            <w:pPr>
              <w:numPr>
                <w:ilvl w:val="0"/>
                <w:numId w:val="0"/>
              </w:numPr>
              <w:ind w:firstLine="560" w:firstLineChars="200"/>
              <w:jc w:val="left"/>
              <w:rPr>
                <w:rFonts w:hint="eastAsia" w:ascii="宋体" w:hAnsi="宋体" w:cs="宋体"/>
                <w:kern w:val="2"/>
                <w:sz w:val="28"/>
                <w:szCs w:val="28"/>
                <w:lang w:val="en-US" w:eastAsia="zh-CN" w:bidi="ar-SA"/>
              </w:rPr>
            </w:pPr>
            <w:r>
              <w:rPr>
                <w:rFonts w:hint="eastAsia" w:ascii="宋体" w:hAnsi="宋体" w:cs="宋体"/>
                <w:kern w:val="2"/>
                <w:sz w:val="28"/>
                <w:szCs w:val="28"/>
                <w:lang w:val="en-US" w:eastAsia="zh-CN" w:bidi="ar-SA"/>
              </w:rPr>
              <w:t>1月18日晚，万众瞩目的2022年医保目录调整工作终于落下了帷幕，新目录正式对外发布。</w:t>
            </w:r>
          </w:p>
          <w:p>
            <w:pPr>
              <w:numPr>
                <w:ilvl w:val="0"/>
                <w:numId w:val="0"/>
              </w:numPr>
              <w:ind w:left="420" w:leftChars="0"/>
              <w:jc w:val="left"/>
              <w:rPr>
                <w:rFonts w:hint="eastAsia" w:ascii="宋体" w:hAnsi="宋体" w:eastAsia="宋体" w:cs="宋体"/>
                <w:kern w:val="2"/>
                <w:sz w:val="28"/>
                <w:szCs w:val="28"/>
                <w:lang w:val="en-US" w:eastAsia="zh-CN" w:bidi="ar-SA"/>
              </w:rPr>
            </w:pPr>
            <w:r>
              <w:rPr>
                <w:rFonts w:hint="eastAsia" w:ascii="宋体" w:hAnsi="宋体" w:cs="宋体"/>
                <w:kern w:val="2"/>
                <w:sz w:val="28"/>
                <w:szCs w:val="28"/>
                <w:lang w:val="en-US" w:eastAsia="zh-CN" w:bidi="ar-SA"/>
              </w:rPr>
              <w:t>1、平均降幅60.1%！新增111个药品，3个药品被剔除；</w:t>
            </w:r>
          </w:p>
          <w:p>
            <w:pPr>
              <w:numPr>
                <w:ilvl w:val="0"/>
                <w:numId w:val="0"/>
              </w:numPr>
              <w:ind w:left="420" w:leftChars="0"/>
              <w:jc w:val="left"/>
              <w:rPr>
                <w:rFonts w:hint="eastAsia" w:ascii="宋体" w:hAnsi="宋体" w:cs="宋体"/>
                <w:kern w:val="2"/>
                <w:sz w:val="28"/>
                <w:szCs w:val="28"/>
                <w:lang w:val="en-US" w:eastAsia="zh-CN" w:bidi="ar-SA"/>
              </w:rPr>
            </w:pPr>
            <w:r>
              <w:rPr>
                <w:rFonts w:hint="eastAsia" w:ascii="宋体" w:hAnsi="宋体" w:cs="宋体"/>
                <w:kern w:val="2"/>
                <w:sz w:val="28"/>
                <w:szCs w:val="28"/>
                <w:lang w:val="en-US" w:eastAsia="zh-CN" w:bidi="ar-SA"/>
              </w:rPr>
              <w:t>2、91个独家产品！国产新药、罕见病药、儿童药成绩喜人；</w:t>
            </w:r>
          </w:p>
          <w:p>
            <w:pPr>
              <w:numPr>
                <w:ilvl w:val="0"/>
                <w:numId w:val="0"/>
              </w:numPr>
              <w:ind w:left="420" w:leftChars="0"/>
              <w:jc w:val="left"/>
              <w:rPr>
                <w:rFonts w:hint="eastAsia" w:ascii="宋体" w:hAnsi="宋体" w:cs="宋体"/>
                <w:kern w:val="2"/>
                <w:sz w:val="28"/>
                <w:szCs w:val="28"/>
                <w:lang w:val="en-US" w:eastAsia="zh-CN" w:bidi="ar-SA"/>
              </w:rPr>
            </w:pPr>
            <w:r>
              <w:rPr>
                <w:rFonts w:hint="eastAsia" w:ascii="宋体" w:hAnsi="宋体" w:cs="宋体"/>
                <w:kern w:val="2"/>
                <w:sz w:val="28"/>
                <w:szCs w:val="28"/>
                <w:lang w:val="en-US" w:eastAsia="zh-CN" w:bidi="ar-SA"/>
              </w:rPr>
              <w:t>3、20个非独家产品竞价“入保”，7个“亿级”爆款风云再起。</w:t>
            </w:r>
          </w:p>
          <w:p>
            <w:pPr>
              <w:numPr>
                <w:ilvl w:val="0"/>
                <w:numId w:val="0"/>
              </w:numPr>
              <w:ind w:left="420" w:leftChars="0"/>
              <w:jc w:val="left"/>
              <w:rPr>
                <w:rFonts w:hint="eastAsia" w:ascii="宋体" w:hAnsi="宋体" w:cs="宋体"/>
                <w:kern w:val="2"/>
                <w:sz w:val="28"/>
                <w:szCs w:val="28"/>
                <w:lang w:val="en-US" w:eastAsia="zh-CN" w:bidi="ar-SA"/>
              </w:rPr>
            </w:pPr>
            <w:r>
              <w:rPr>
                <w:rFonts w:hint="default" w:ascii="宋体" w:hAnsi="宋体" w:cs="宋体"/>
                <w:kern w:val="2"/>
                <w:sz w:val="28"/>
                <w:szCs w:val="28"/>
                <w:lang w:val="en-US" w:eastAsia="zh-CN" w:bidi="ar-SA"/>
              </w:rPr>
              <w:t>附表：2022年国家医保药品目录新增产品情况</w:t>
            </w:r>
            <w:r>
              <w:rPr>
                <w:rFonts w:hint="default" w:ascii="宋体" w:hAnsi="宋体" w:cs="宋体"/>
                <w:kern w:val="2"/>
                <w:sz w:val="28"/>
                <w:szCs w:val="28"/>
                <w:lang w:val="en-US" w:eastAsia="zh-CN" w:bidi="ar-SA"/>
              </w:rPr>
              <w:br w:type="textWrapping"/>
            </w:r>
          </w:p>
          <w:p>
            <w:pPr>
              <w:rPr>
                <w:rFonts w:asciiTheme="minorEastAsia" w:hAnsiTheme="minorEastAsia" w:eastAsiaTheme="minorEastAsia"/>
                <w:color w:val="000000" w:themeColor="text1"/>
                <w:szCs w:val="21"/>
              </w:rPr>
            </w:pPr>
          </w:p>
          <w:p>
            <w:pPr>
              <w:rPr>
                <w:rFonts w:asciiTheme="minorEastAsia" w:hAnsiTheme="minorEastAsia" w:eastAsiaTheme="minorEastAsia"/>
                <w:color w:val="000000" w:themeColor="text1"/>
                <w:szCs w:val="21"/>
              </w:rPr>
            </w:pPr>
          </w:p>
          <w:p>
            <w:pPr>
              <w:rPr>
                <w:rFonts w:asciiTheme="minorEastAsia" w:hAnsiTheme="minorEastAsia" w:eastAsiaTheme="minorEastAsia"/>
                <w:color w:val="000000" w:themeColor="text1"/>
                <w:szCs w:val="21"/>
              </w:rPr>
            </w:pPr>
          </w:p>
          <w:p>
            <w:pPr>
              <w:rPr>
                <w:rFonts w:asciiTheme="minorEastAsia" w:hAnsiTheme="minorEastAsia" w:eastAsiaTheme="minorEastAsia"/>
                <w:color w:val="000000" w:themeColor="text1"/>
                <w:szCs w:val="21"/>
              </w:rPr>
            </w:pPr>
          </w:p>
          <w:p>
            <w:pPr>
              <w:rPr>
                <w:rFonts w:asciiTheme="minorEastAsia" w:hAnsiTheme="minorEastAsia" w:eastAsiaTheme="minorEastAsia"/>
                <w:color w:val="000000" w:themeColor="text1"/>
                <w:szCs w:val="21"/>
              </w:rPr>
            </w:pPr>
          </w:p>
          <w:p>
            <w:pPr>
              <w:rPr>
                <w:rFonts w:asciiTheme="minorEastAsia" w:hAnsiTheme="minorEastAsia" w:eastAsiaTheme="minorEastAsia"/>
                <w:color w:val="000000" w:themeColor="text1"/>
                <w:szCs w:val="21"/>
              </w:rPr>
            </w:pPr>
          </w:p>
          <w:p>
            <w:pPr>
              <w:rPr>
                <w:rFonts w:asciiTheme="minorEastAsia" w:hAnsiTheme="minorEastAsia" w:eastAsiaTheme="minorEastAsia"/>
                <w:color w:val="000000" w:themeColor="text1"/>
                <w:szCs w:val="21"/>
              </w:rPr>
            </w:pPr>
          </w:p>
          <w:p>
            <w:pPr>
              <w:rPr>
                <w:rFonts w:asciiTheme="minorEastAsia" w:hAnsiTheme="minorEastAsia" w:eastAsiaTheme="minorEastAsia"/>
                <w:color w:val="000000" w:themeColor="text1"/>
                <w:szCs w:val="21"/>
              </w:rPr>
            </w:pPr>
          </w:p>
          <w:p>
            <w:pPr>
              <w:rPr>
                <w:rFonts w:asciiTheme="minorEastAsia" w:hAnsiTheme="minorEastAsia" w:eastAsiaTheme="minorEastAsia"/>
                <w:color w:val="000000" w:themeColor="text1"/>
                <w:szCs w:val="21"/>
              </w:rPr>
            </w:pPr>
          </w:p>
          <w:p>
            <w:pPr>
              <w:rPr>
                <w:rFonts w:asciiTheme="minorEastAsia" w:hAnsiTheme="minorEastAsia" w:eastAsiaTheme="minorEastAsia"/>
                <w:color w:val="000000" w:themeColor="text1"/>
                <w:szCs w:val="21"/>
              </w:rPr>
            </w:pPr>
          </w:p>
          <w:p>
            <w:pPr>
              <w:rPr>
                <w:rFonts w:asciiTheme="minorEastAsia" w:hAnsiTheme="minorEastAsia" w:eastAsiaTheme="minorEastAsia"/>
                <w:color w:val="000000" w:themeColor="text1"/>
                <w:szCs w:val="21"/>
              </w:rPr>
            </w:pPr>
          </w:p>
          <w:p>
            <w:pPr>
              <w:rPr>
                <w:rFonts w:cs="Helvetica" w:asciiTheme="minorEastAsia" w:hAnsiTheme="minorEastAsia" w:eastAsiaTheme="minorEastAsia"/>
                <w:color w:val="000000" w:themeColor="text1"/>
                <w:kern w:val="0"/>
                <w:szCs w:val="21"/>
              </w:rPr>
            </w:pPr>
            <w:r>
              <w:rPr>
                <w:rFonts w:hint="eastAsia" w:asciiTheme="minorEastAsia" w:hAnsiTheme="minorEastAsia" w:eastAsiaTheme="minorEastAsia"/>
                <w:color w:val="000000" w:themeColor="text1"/>
                <w:szCs w:val="21"/>
              </w:rPr>
              <w:t>附件3：</w:t>
            </w:r>
            <w:r>
              <w:rPr>
                <w:rFonts w:hint="eastAsia" w:asciiTheme="minorEastAsia" w:hAnsiTheme="minorEastAsia" w:eastAsiaTheme="minorEastAsia"/>
                <w:color w:val="000000" w:themeColor="text1"/>
                <w:szCs w:val="21"/>
                <w:lang w:eastAsia="zh-CN"/>
              </w:rPr>
              <w:t>新版国家医保目录发布，</w:t>
            </w:r>
            <w:r>
              <w:rPr>
                <w:rFonts w:hint="eastAsia" w:asciiTheme="minorEastAsia" w:hAnsiTheme="minorEastAsia" w:eastAsiaTheme="minorEastAsia"/>
                <w:color w:val="000000" w:themeColor="text1"/>
                <w:szCs w:val="21"/>
                <w:lang w:val="en-US" w:eastAsia="zh-CN"/>
              </w:rPr>
              <w:t>3月1日起正式实施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84" w:type="dxa"/>
          <w:trHeight w:val="1090" w:hRule="atLeast"/>
        </w:trPr>
        <w:tc>
          <w:tcPr>
            <w:tcW w:w="2127" w:type="dxa"/>
            <w:tcBorders>
              <w:right w:val="outset" w:color="auto" w:sz="6" w:space="0"/>
            </w:tcBorders>
            <w:vAlign w:val="center"/>
          </w:tcPr>
          <w:p>
            <w:pPr>
              <w:tabs>
                <w:tab w:val="left" w:pos="7088"/>
              </w:tabs>
              <w:jc w:val="center"/>
              <w:rPr>
                <w:b/>
                <w:sz w:val="30"/>
                <w:szCs w:val="30"/>
              </w:rPr>
            </w:pPr>
            <w:r>
              <w:rPr>
                <w:rFonts w:hint="eastAsia"/>
                <w:b/>
                <w:sz w:val="30"/>
                <w:szCs w:val="30"/>
              </w:rPr>
              <w:t>信息04</w:t>
            </w:r>
          </w:p>
        </w:tc>
        <w:tc>
          <w:tcPr>
            <w:tcW w:w="6662" w:type="dxa"/>
            <w:gridSpan w:val="4"/>
            <w:tcBorders>
              <w:top w:val="outset" w:color="auto" w:sz="6" w:space="0"/>
              <w:left w:val="outset" w:color="auto" w:sz="6" w:space="0"/>
              <w:bottom w:val="inset" w:color="auto" w:sz="6" w:space="0"/>
              <w:right w:val="inset" w:color="auto" w:sz="6" w:space="0"/>
            </w:tcBorders>
            <w:vAlign w:val="center"/>
          </w:tcPr>
          <w:p>
            <w:pPr>
              <w:rPr>
                <w:rFonts w:cs="Helvetica" w:asciiTheme="minorEastAsia" w:hAnsiTheme="minorEastAsia" w:eastAsiaTheme="minorEastAsia"/>
                <w:b/>
                <w:color w:val="000000"/>
                <w:kern w:val="0"/>
                <w:sz w:val="32"/>
                <w:szCs w:val="32"/>
              </w:rPr>
            </w:pPr>
            <w:r>
              <w:rPr>
                <w:rFonts w:hint="eastAsia" w:cs="Helvetica" w:asciiTheme="minorEastAsia" w:hAnsiTheme="minorEastAsia" w:eastAsiaTheme="minorEastAsia"/>
                <w:b/>
                <w:color w:val="000000"/>
                <w:kern w:val="0"/>
                <w:sz w:val="32"/>
                <w:szCs w:val="32"/>
              </w:rPr>
              <w:t xml:space="preserve"> 2022年Q4中国零售药店市场数据上线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84" w:type="dxa"/>
          <w:trHeight w:val="838" w:hRule="atLeast"/>
        </w:trPr>
        <w:tc>
          <w:tcPr>
            <w:tcW w:w="2127" w:type="dxa"/>
            <w:vAlign w:val="center"/>
          </w:tcPr>
          <w:p>
            <w:pPr>
              <w:tabs>
                <w:tab w:val="left" w:pos="7088"/>
              </w:tabs>
              <w:jc w:val="center"/>
            </w:pPr>
            <w:r>
              <w:rPr>
                <w:rFonts w:hint="eastAsia"/>
                <w:b/>
                <w:sz w:val="30"/>
                <w:szCs w:val="30"/>
              </w:rPr>
              <w:t>发布</w:t>
            </w:r>
            <w:r>
              <w:rPr>
                <w:b/>
                <w:sz w:val="30"/>
                <w:szCs w:val="30"/>
              </w:rPr>
              <w:t>时间</w:t>
            </w:r>
          </w:p>
        </w:tc>
        <w:tc>
          <w:tcPr>
            <w:tcW w:w="2268" w:type="dxa"/>
            <w:tcBorders>
              <w:top w:val="inset" w:color="auto" w:sz="6" w:space="0"/>
            </w:tcBorders>
            <w:vAlign w:val="center"/>
          </w:tcPr>
          <w:p>
            <w:pPr>
              <w:tabs>
                <w:tab w:val="left" w:pos="7088"/>
              </w:tabs>
              <w:jc w:val="center"/>
              <w:rPr>
                <w:rFonts w:hint="default" w:asciiTheme="minorEastAsia" w:hAnsiTheme="minorEastAsia" w:eastAsiaTheme="minorEastAsia"/>
                <w:sz w:val="28"/>
                <w:szCs w:val="28"/>
                <w:lang w:val="en-US" w:eastAsia="zh-CN"/>
              </w:rPr>
            </w:pPr>
            <w:r>
              <w:rPr>
                <w:rFonts w:hint="eastAsia" w:asciiTheme="minorEastAsia" w:hAnsiTheme="minorEastAsia" w:eastAsiaTheme="minorEastAsia"/>
                <w:sz w:val="28"/>
                <w:szCs w:val="28"/>
              </w:rPr>
              <w:t>202</w:t>
            </w:r>
            <w:r>
              <w:rPr>
                <w:rFonts w:hint="eastAsia" w:asciiTheme="minorEastAsia" w:hAnsiTheme="minorEastAsia" w:eastAsiaTheme="minorEastAsia"/>
                <w:sz w:val="28"/>
                <w:szCs w:val="28"/>
                <w:lang w:val="en-US" w:eastAsia="zh-CN"/>
              </w:rPr>
              <w:t>3</w:t>
            </w:r>
            <w:r>
              <w:rPr>
                <w:rFonts w:hint="eastAsia" w:asciiTheme="minorEastAsia" w:hAnsiTheme="minorEastAsia" w:eastAsiaTheme="minorEastAsia"/>
                <w:sz w:val="28"/>
                <w:szCs w:val="28"/>
              </w:rPr>
              <w:t>-</w:t>
            </w:r>
            <w:r>
              <w:rPr>
                <w:rFonts w:hint="eastAsia" w:asciiTheme="minorEastAsia" w:hAnsiTheme="minorEastAsia" w:eastAsiaTheme="minorEastAsia"/>
                <w:sz w:val="28"/>
                <w:szCs w:val="28"/>
                <w:lang w:val="en-US" w:eastAsia="zh-CN"/>
              </w:rPr>
              <w:t>1</w:t>
            </w:r>
            <w:r>
              <w:rPr>
                <w:rFonts w:hint="eastAsia" w:asciiTheme="minorEastAsia" w:hAnsiTheme="minorEastAsia" w:eastAsiaTheme="minorEastAsia"/>
                <w:sz w:val="28"/>
                <w:szCs w:val="28"/>
              </w:rPr>
              <w:t>-</w:t>
            </w:r>
            <w:r>
              <w:rPr>
                <w:rFonts w:hint="eastAsia" w:asciiTheme="minorEastAsia" w:hAnsiTheme="minorEastAsia" w:eastAsiaTheme="minorEastAsia"/>
                <w:sz w:val="28"/>
                <w:szCs w:val="28"/>
                <w:lang w:val="en-US" w:eastAsia="zh-CN"/>
              </w:rPr>
              <w:t>21</w:t>
            </w:r>
          </w:p>
        </w:tc>
        <w:tc>
          <w:tcPr>
            <w:tcW w:w="1985" w:type="dxa"/>
            <w:gridSpan w:val="2"/>
            <w:tcBorders>
              <w:top w:val="inset" w:color="auto" w:sz="6" w:space="0"/>
            </w:tcBorders>
            <w:vAlign w:val="center"/>
          </w:tcPr>
          <w:p>
            <w:pPr>
              <w:tabs>
                <w:tab w:val="left" w:pos="7088"/>
              </w:tabs>
              <w:jc w:val="center"/>
              <w:rPr>
                <w:b/>
                <w:sz w:val="30"/>
                <w:szCs w:val="30"/>
              </w:rPr>
            </w:pPr>
            <w:r>
              <w:rPr>
                <w:rFonts w:hint="eastAsia"/>
                <w:b/>
                <w:sz w:val="30"/>
                <w:szCs w:val="30"/>
              </w:rPr>
              <w:t>信息来源</w:t>
            </w:r>
          </w:p>
        </w:tc>
        <w:tc>
          <w:tcPr>
            <w:tcW w:w="2409" w:type="dxa"/>
            <w:tcBorders>
              <w:top w:val="inset" w:color="auto" w:sz="6" w:space="0"/>
            </w:tcBorders>
            <w:vAlign w:val="center"/>
          </w:tcPr>
          <w:p>
            <w:pPr>
              <w:tabs>
                <w:tab w:val="left" w:pos="7088"/>
              </w:tabs>
              <w:jc w:val="center"/>
              <w:rPr>
                <w:rFonts w:asciiTheme="minorEastAsia" w:hAnsiTheme="minorEastAsia" w:eastAsiaTheme="minorEastAsia"/>
                <w:sz w:val="28"/>
                <w:szCs w:val="28"/>
              </w:rPr>
            </w:pPr>
            <w:r>
              <w:rPr>
                <w:rFonts w:hint="eastAsia" w:eastAsiaTheme="minorEastAsia"/>
                <w:sz w:val="28"/>
                <w:szCs w:val="28"/>
                <w:lang w:val="en-US" w:eastAsia="zh-CN"/>
              </w:rPr>
              <w:t>医药地理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84" w:type="dxa"/>
          <w:trHeight w:val="856" w:hRule="atLeast"/>
        </w:trPr>
        <w:tc>
          <w:tcPr>
            <w:tcW w:w="2127" w:type="dxa"/>
            <w:vAlign w:val="center"/>
          </w:tcPr>
          <w:p>
            <w:pPr>
              <w:tabs>
                <w:tab w:val="left" w:pos="7088"/>
              </w:tabs>
              <w:jc w:val="center"/>
              <w:rPr>
                <w:b/>
                <w:sz w:val="30"/>
                <w:szCs w:val="30"/>
              </w:rPr>
            </w:pPr>
            <w:r>
              <w:rPr>
                <w:rFonts w:hint="eastAsia"/>
                <w:b/>
                <w:sz w:val="30"/>
                <w:szCs w:val="30"/>
              </w:rPr>
              <w:t>信息</w:t>
            </w:r>
            <w:r>
              <w:rPr>
                <w:b/>
                <w:sz w:val="30"/>
                <w:szCs w:val="30"/>
              </w:rPr>
              <w:t>提供</w:t>
            </w:r>
          </w:p>
        </w:tc>
        <w:tc>
          <w:tcPr>
            <w:tcW w:w="2268" w:type="dxa"/>
            <w:vAlign w:val="center"/>
          </w:tcPr>
          <w:p>
            <w:pPr>
              <w:tabs>
                <w:tab w:val="left" w:pos="7088"/>
              </w:tabs>
              <w:jc w:val="center"/>
              <w:rPr>
                <w:sz w:val="28"/>
                <w:szCs w:val="28"/>
              </w:rPr>
            </w:pPr>
            <w:r>
              <w:rPr>
                <w:rFonts w:hint="eastAsia"/>
                <w:sz w:val="28"/>
                <w:szCs w:val="28"/>
              </w:rPr>
              <w:t>运营管理部</w:t>
            </w:r>
          </w:p>
        </w:tc>
        <w:tc>
          <w:tcPr>
            <w:tcW w:w="1985" w:type="dxa"/>
            <w:gridSpan w:val="2"/>
            <w:vAlign w:val="center"/>
          </w:tcPr>
          <w:p>
            <w:pPr>
              <w:tabs>
                <w:tab w:val="left" w:pos="7088"/>
              </w:tabs>
              <w:jc w:val="center"/>
              <w:rPr>
                <w:b/>
                <w:sz w:val="30"/>
                <w:szCs w:val="30"/>
              </w:rPr>
            </w:pPr>
            <w:r>
              <w:rPr>
                <w:rFonts w:hint="eastAsia"/>
                <w:b/>
                <w:sz w:val="30"/>
                <w:szCs w:val="30"/>
              </w:rPr>
              <w:t>信息确认</w:t>
            </w:r>
          </w:p>
        </w:tc>
        <w:tc>
          <w:tcPr>
            <w:tcW w:w="2409" w:type="dxa"/>
            <w:vAlign w:val="center"/>
          </w:tcPr>
          <w:p>
            <w:pPr>
              <w:tabs>
                <w:tab w:val="left" w:pos="7088"/>
              </w:tabs>
              <w:jc w:val="center"/>
              <w:rPr>
                <w:sz w:val="28"/>
                <w:szCs w:val="28"/>
              </w:rPr>
            </w:pPr>
            <w:r>
              <w:rPr>
                <w:rFonts w:hint="eastAsia"/>
                <w:sz w:val="28"/>
                <w:szCs w:val="28"/>
              </w:rPr>
              <w:t>车成刚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84" w:type="dxa"/>
          <w:trHeight w:val="878" w:hRule="atLeast"/>
        </w:trPr>
        <w:tc>
          <w:tcPr>
            <w:tcW w:w="2127" w:type="dxa"/>
            <w:tcBorders>
              <w:bottom w:val="single" w:color="auto" w:sz="4" w:space="0"/>
            </w:tcBorders>
            <w:vAlign w:val="center"/>
          </w:tcPr>
          <w:p>
            <w:pPr>
              <w:tabs>
                <w:tab w:val="left" w:pos="7088"/>
              </w:tabs>
              <w:jc w:val="center"/>
              <w:rPr>
                <w:b/>
                <w:sz w:val="30"/>
                <w:szCs w:val="30"/>
              </w:rPr>
            </w:pPr>
            <w:r>
              <w:rPr>
                <w:rFonts w:hint="eastAsia"/>
                <w:b/>
                <w:sz w:val="30"/>
                <w:szCs w:val="30"/>
              </w:rPr>
              <w:t>确认</w:t>
            </w:r>
            <w:r>
              <w:rPr>
                <w:b/>
                <w:sz w:val="30"/>
                <w:szCs w:val="30"/>
              </w:rPr>
              <w:t>结果</w:t>
            </w:r>
          </w:p>
        </w:tc>
        <w:tc>
          <w:tcPr>
            <w:tcW w:w="6662" w:type="dxa"/>
            <w:gridSpan w:val="4"/>
            <w:tcBorders>
              <w:bottom w:val="single" w:color="auto" w:sz="4" w:space="0"/>
            </w:tcBorders>
            <w:vAlign w:val="center"/>
          </w:tcPr>
          <w:p>
            <w:pPr>
              <w:tabs>
                <w:tab w:val="left" w:pos="7088"/>
              </w:tabs>
              <w:jc w:val="left"/>
              <w:rPr>
                <w:rFonts w:hint="eastAsia" w:asciiTheme="minorEastAsia" w:hAnsiTheme="minorEastAsia" w:eastAsiaTheme="minorEastAsia"/>
                <w:sz w:val="28"/>
                <w:szCs w:val="28"/>
                <w:lang w:eastAsia="zh-CN"/>
              </w:rPr>
            </w:pPr>
            <w:r>
              <w:rPr>
                <w:rFonts w:hint="eastAsia" w:asciiTheme="minorEastAsia" w:hAnsiTheme="minorEastAsia" w:eastAsiaTheme="minorEastAsia"/>
                <w:sz w:val="28"/>
                <w:szCs w:val="28"/>
              </w:rPr>
              <w:t>来源：</w:t>
            </w:r>
            <w:r>
              <w:rPr>
                <w:rFonts w:hint="eastAsia" w:asciiTheme="minorEastAsia" w:hAnsiTheme="minorEastAsia" w:eastAsiaTheme="minorEastAsia"/>
                <w:sz w:val="28"/>
                <w:szCs w:val="28"/>
                <w:lang w:val="en-US" w:eastAsia="zh-CN"/>
              </w:rPr>
              <w:t>医药地理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84" w:type="dxa"/>
          <w:trHeight w:val="958" w:hRule="atLeast"/>
        </w:trPr>
        <w:tc>
          <w:tcPr>
            <w:tcW w:w="2127" w:type="dxa"/>
            <w:tcBorders>
              <w:top w:val="single" w:color="auto" w:sz="4" w:space="0"/>
            </w:tcBorders>
            <w:vAlign w:val="center"/>
          </w:tcPr>
          <w:p>
            <w:pPr>
              <w:tabs>
                <w:tab w:val="left" w:pos="7088"/>
              </w:tabs>
              <w:jc w:val="center"/>
              <w:rPr>
                <w:b/>
                <w:sz w:val="30"/>
                <w:szCs w:val="30"/>
              </w:rPr>
            </w:pPr>
            <w:r>
              <w:rPr>
                <w:rFonts w:hint="eastAsia"/>
                <w:b/>
                <w:sz w:val="30"/>
                <w:szCs w:val="30"/>
              </w:rPr>
              <w:t xml:space="preserve">   关键词</w:t>
            </w:r>
            <w:r>
              <w:rPr>
                <w:rFonts w:hint="eastAsia"/>
                <w:b/>
                <w:sz w:val="30"/>
                <w:szCs w:val="30"/>
              </w:rPr>
              <w:tab/>
            </w:r>
            <w:r>
              <w:rPr>
                <w:rFonts w:hint="eastAsia"/>
                <w:b/>
                <w:sz w:val="30"/>
                <w:szCs w:val="30"/>
              </w:rPr>
              <w:t>药政重点 二票制</w:t>
            </w:r>
          </w:p>
        </w:tc>
        <w:tc>
          <w:tcPr>
            <w:tcW w:w="6662" w:type="dxa"/>
            <w:gridSpan w:val="4"/>
            <w:tcBorders>
              <w:top w:val="single" w:color="auto" w:sz="4" w:space="0"/>
            </w:tcBorders>
            <w:vAlign w:val="center"/>
          </w:tcPr>
          <w:p>
            <w:pPr>
              <w:tabs>
                <w:tab w:val="left" w:pos="7088"/>
              </w:tabs>
              <w:jc w:val="left"/>
              <w:rPr>
                <w:rFonts w:asciiTheme="minorEastAsia" w:hAnsiTheme="minorEastAsia" w:eastAsiaTheme="minorEastAsia"/>
                <w:sz w:val="28"/>
                <w:szCs w:val="28"/>
              </w:rPr>
            </w:pPr>
            <w:r>
              <w:rPr>
                <w:rFonts w:hint="eastAsia" w:asciiTheme="minorEastAsia" w:hAnsiTheme="minorEastAsia" w:eastAsiaTheme="minorEastAsia"/>
                <w:sz w:val="28"/>
                <w:szCs w:val="28"/>
                <w:lang w:val="en-US" w:eastAsia="zh-CN"/>
              </w:rPr>
              <w:t>零售数据，整体趋势</w:t>
            </w:r>
            <w:r>
              <w:rPr>
                <w:rFonts w:hint="eastAsia" w:asciiTheme="minorEastAsia" w:hAnsiTheme="minorEastAsia" w:eastAsiaTheme="minorEastAsia"/>
                <w:sz w:val="28"/>
                <w:szCs w:val="28"/>
                <w:lang w:eastAsia="zh-CN"/>
              </w:rPr>
              <w:t>，市场表现</w:t>
            </w:r>
            <w:r>
              <w:rPr>
                <w:rFonts w:hint="eastAsia" w:asciiTheme="minorEastAsia" w:hAnsiTheme="minorEastAsia" w:eastAsiaTheme="minorEastAsia"/>
                <w:sz w:val="28"/>
                <w:szCs w:val="2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84" w:type="dxa"/>
          <w:trHeight w:val="879" w:hRule="atLeast"/>
        </w:trPr>
        <w:tc>
          <w:tcPr>
            <w:tcW w:w="2127" w:type="dxa"/>
            <w:vAlign w:val="center"/>
          </w:tcPr>
          <w:p>
            <w:pPr>
              <w:tabs>
                <w:tab w:val="left" w:pos="7088"/>
              </w:tabs>
              <w:jc w:val="center"/>
              <w:rPr>
                <w:b/>
                <w:color w:val="000000" w:themeColor="text1"/>
                <w:sz w:val="30"/>
                <w:szCs w:val="30"/>
              </w:rPr>
            </w:pPr>
            <w:r>
              <w:rPr>
                <w:b/>
                <w:color w:val="000000" w:themeColor="text1"/>
                <w:sz w:val="30"/>
                <w:szCs w:val="30"/>
              </w:rPr>
              <w:t>内容概要</w:t>
            </w:r>
          </w:p>
        </w:tc>
        <w:tc>
          <w:tcPr>
            <w:tcW w:w="6662" w:type="dxa"/>
            <w:gridSpan w:val="4"/>
            <w:vAlign w:val="center"/>
          </w:tcPr>
          <w:p>
            <w:pPr>
              <w:numPr>
                <w:ilvl w:val="0"/>
                <w:numId w:val="0"/>
              </w:numPr>
              <w:ind w:firstLine="560" w:firstLineChars="200"/>
              <w:jc w:val="left"/>
              <w:rPr>
                <w:rFonts w:hint="eastAsia" w:ascii="宋体" w:hAnsi="宋体" w:cs="宋体"/>
                <w:kern w:val="2"/>
                <w:sz w:val="28"/>
                <w:szCs w:val="28"/>
                <w:lang w:val="en-US" w:eastAsia="zh-CN" w:bidi="ar-SA"/>
              </w:rPr>
            </w:pPr>
            <w:r>
              <w:rPr>
                <w:rFonts w:hint="eastAsia" w:ascii="宋体" w:hAnsi="宋体" w:cs="宋体"/>
                <w:kern w:val="2"/>
                <w:sz w:val="28"/>
                <w:szCs w:val="28"/>
                <w:lang w:val="en-US" w:eastAsia="zh-CN" w:bidi="ar-SA"/>
              </w:rPr>
              <w:t>1月19日，中国医药工业信息中心RPDB药品零售数据库2022年四季度数据新鲜出炉。</w:t>
            </w:r>
          </w:p>
          <w:p>
            <w:pPr>
              <w:numPr>
                <w:ilvl w:val="0"/>
                <w:numId w:val="0"/>
              </w:numPr>
              <w:ind w:left="420" w:leftChars="0"/>
              <w:rPr>
                <w:rFonts w:hint="eastAsia" w:ascii="宋体" w:hAnsi="宋体" w:eastAsia="宋体" w:cs="宋体"/>
                <w:kern w:val="2"/>
                <w:sz w:val="28"/>
                <w:szCs w:val="28"/>
                <w:lang w:val="en-US" w:eastAsia="zh-CN" w:bidi="ar-SA"/>
              </w:rPr>
            </w:pPr>
            <w:r>
              <w:rPr>
                <w:rFonts w:hint="eastAsia" w:ascii="宋体" w:hAnsi="宋体" w:cs="宋体"/>
                <w:kern w:val="2"/>
                <w:sz w:val="28"/>
                <w:szCs w:val="28"/>
                <w:lang w:val="en-US" w:eastAsia="zh-CN" w:bidi="ar-SA"/>
              </w:rPr>
              <w:t>1、国内零售药店市场整体趋势有所回升；</w:t>
            </w:r>
          </w:p>
          <w:p>
            <w:pPr>
              <w:numPr>
                <w:ilvl w:val="0"/>
                <w:numId w:val="0"/>
              </w:numPr>
              <w:ind w:left="420" w:leftChars="0"/>
              <w:rPr>
                <w:rFonts w:hint="eastAsia" w:ascii="宋体" w:hAnsi="宋体" w:eastAsia="宋体" w:cs="宋体"/>
                <w:kern w:val="2"/>
                <w:sz w:val="28"/>
                <w:szCs w:val="28"/>
                <w:lang w:val="en-US" w:eastAsia="zh-CN" w:bidi="ar-SA"/>
              </w:rPr>
            </w:pPr>
            <w:r>
              <w:rPr>
                <w:rFonts w:hint="eastAsia" w:ascii="宋体" w:hAnsi="宋体" w:cs="宋体"/>
                <w:kern w:val="2"/>
                <w:sz w:val="28"/>
                <w:szCs w:val="28"/>
                <w:lang w:val="en-US" w:eastAsia="zh-CN" w:bidi="ar-SA"/>
              </w:rPr>
              <w:t>2、化药和生物药负增长，中药成为主要增长带动力；</w:t>
            </w:r>
          </w:p>
          <w:p>
            <w:pPr>
              <w:numPr>
                <w:ilvl w:val="0"/>
                <w:numId w:val="0"/>
              </w:numPr>
              <w:ind w:left="420" w:leftChars="0"/>
              <w:rPr>
                <w:rFonts w:hint="eastAsia" w:ascii="宋体" w:hAnsi="宋体" w:cs="宋体"/>
                <w:kern w:val="2"/>
                <w:sz w:val="28"/>
                <w:szCs w:val="28"/>
                <w:lang w:val="en-US" w:eastAsia="zh-CN" w:bidi="ar-SA"/>
              </w:rPr>
            </w:pPr>
            <w:r>
              <w:rPr>
                <w:rFonts w:hint="eastAsia" w:ascii="宋体" w:hAnsi="宋体" w:cs="宋体"/>
                <w:kern w:val="2"/>
                <w:sz w:val="28"/>
                <w:szCs w:val="28"/>
                <w:lang w:val="en-US" w:eastAsia="zh-CN" w:bidi="ar-SA"/>
              </w:rPr>
              <w:t>3、处方药和OTC销售额增速同步上涨，OTC明显高于处方药；</w:t>
            </w:r>
          </w:p>
          <w:p>
            <w:pPr>
              <w:numPr>
                <w:ilvl w:val="0"/>
                <w:numId w:val="0"/>
              </w:numPr>
              <w:ind w:left="420" w:leftChars="0"/>
              <w:rPr>
                <w:rFonts w:hint="eastAsia" w:ascii="宋体" w:hAnsi="宋体" w:cs="宋体"/>
                <w:kern w:val="2"/>
                <w:sz w:val="28"/>
                <w:szCs w:val="28"/>
                <w:lang w:val="en-US" w:eastAsia="zh-CN" w:bidi="ar-SA"/>
              </w:rPr>
            </w:pPr>
            <w:r>
              <w:rPr>
                <w:rFonts w:hint="eastAsia" w:ascii="宋体" w:hAnsi="宋体" w:cs="宋体"/>
                <w:kern w:val="2"/>
                <w:sz w:val="28"/>
                <w:szCs w:val="28"/>
                <w:lang w:val="en-US" w:eastAsia="zh-CN" w:bidi="ar-SA"/>
              </w:rPr>
              <w:t>4、疫情防控相关品类零售药店市场表现：连花清瘟、布洛芬增长强劲。</w:t>
            </w:r>
          </w:p>
          <w:p>
            <w:pPr>
              <w:rPr>
                <w:rFonts w:ascii="宋体" w:hAnsi="宋体" w:cs="宋体"/>
                <w:kern w:val="0"/>
                <w:szCs w:val="21"/>
              </w:rPr>
            </w:pPr>
          </w:p>
          <w:p>
            <w:pPr>
              <w:rPr>
                <w:rFonts w:ascii="宋体" w:hAnsi="宋体" w:cs="宋体"/>
                <w:kern w:val="0"/>
                <w:szCs w:val="21"/>
              </w:rPr>
            </w:pPr>
          </w:p>
          <w:p>
            <w:pPr>
              <w:rPr>
                <w:rFonts w:ascii="宋体" w:hAnsi="宋体" w:cs="宋体"/>
                <w:kern w:val="0"/>
                <w:szCs w:val="21"/>
              </w:rPr>
            </w:pPr>
          </w:p>
          <w:p>
            <w:pPr>
              <w:rPr>
                <w:rFonts w:ascii="宋体" w:hAnsi="宋体" w:cs="宋体"/>
                <w:kern w:val="0"/>
                <w:szCs w:val="21"/>
              </w:rPr>
            </w:pPr>
          </w:p>
          <w:p>
            <w:pPr>
              <w:rPr>
                <w:rFonts w:ascii="宋体" w:hAnsi="宋体" w:cs="宋体"/>
                <w:kern w:val="0"/>
                <w:szCs w:val="21"/>
              </w:rPr>
            </w:pPr>
          </w:p>
          <w:p>
            <w:pPr>
              <w:rPr>
                <w:rFonts w:ascii="宋体" w:hAnsi="宋体" w:cs="宋体"/>
                <w:kern w:val="0"/>
                <w:szCs w:val="21"/>
              </w:rPr>
            </w:pPr>
          </w:p>
          <w:p>
            <w:pPr>
              <w:rPr>
                <w:rFonts w:ascii="宋体" w:hAnsi="宋体" w:cs="宋体"/>
                <w:kern w:val="0"/>
                <w:szCs w:val="21"/>
              </w:rPr>
            </w:pPr>
          </w:p>
          <w:p>
            <w:pPr>
              <w:rPr>
                <w:rFonts w:ascii="宋体" w:hAnsi="宋体" w:cs="宋体"/>
                <w:kern w:val="0"/>
                <w:szCs w:val="21"/>
              </w:rPr>
            </w:pPr>
          </w:p>
          <w:p>
            <w:pPr>
              <w:rPr>
                <w:rFonts w:ascii="宋体" w:hAnsi="宋体" w:cs="宋体"/>
                <w:kern w:val="0"/>
                <w:szCs w:val="21"/>
              </w:rPr>
            </w:pPr>
          </w:p>
          <w:p>
            <w:pPr>
              <w:rPr>
                <w:rFonts w:ascii="宋体" w:hAnsi="宋体" w:cs="宋体"/>
                <w:kern w:val="0"/>
                <w:szCs w:val="21"/>
              </w:rPr>
            </w:pPr>
          </w:p>
          <w:p>
            <w:pPr>
              <w:rPr>
                <w:rFonts w:hint="eastAsia" w:ascii="宋体" w:hAnsi="宋体" w:cs="宋体"/>
                <w:kern w:val="0"/>
                <w:szCs w:val="21"/>
              </w:rPr>
            </w:pPr>
            <w:r>
              <w:rPr>
                <w:rFonts w:hint="eastAsia" w:ascii="宋体" w:hAnsi="宋体" w:cs="宋体"/>
                <w:kern w:val="0"/>
                <w:szCs w:val="21"/>
              </w:rPr>
              <w:t>附件4： 2022年Q4中国零售药店市场数据上线</w:t>
            </w:r>
          </w:p>
          <w:p>
            <w:pPr>
              <w:rPr>
                <w:szCs w:val="21"/>
              </w:rPr>
            </w:pPr>
          </w:p>
        </w:tc>
      </w:tr>
    </w:tbl>
    <w:tbl>
      <w:tblPr>
        <w:tblStyle w:val="12"/>
        <w:tblpPr w:leftFromText="180" w:rightFromText="180" w:vertAnchor="text" w:horzAnchor="margin" w:tblpXSpec="center" w:tblpY="347"/>
        <w:tblW w:w="907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96"/>
        <w:gridCol w:w="2341"/>
        <w:gridCol w:w="2341"/>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2" w:hRule="atLeast"/>
        </w:trPr>
        <w:tc>
          <w:tcPr>
            <w:tcW w:w="2196" w:type="dxa"/>
            <w:vAlign w:val="center"/>
          </w:tcPr>
          <w:p>
            <w:pPr>
              <w:tabs>
                <w:tab w:val="left" w:pos="7088"/>
              </w:tabs>
              <w:jc w:val="center"/>
              <w:rPr>
                <w:b/>
                <w:sz w:val="30"/>
                <w:szCs w:val="30"/>
              </w:rPr>
            </w:pPr>
            <w:r>
              <w:rPr>
                <w:rFonts w:hint="eastAsia"/>
                <w:b/>
                <w:sz w:val="30"/>
                <w:szCs w:val="30"/>
              </w:rPr>
              <w:t>信息05</w:t>
            </w:r>
          </w:p>
        </w:tc>
        <w:tc>
          <w:tcPr>
            <w:tcW w:w="6877" w:type="dxa"/>
            <w:gridSpan w:val="3"/>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rFonts w:asciiTheme="minorEastAsia" w:hAnsiTheme="minorEastAsia" w:eastAsiaTheme="minorEastAsia"/>
                <w:b/>
                <w:sz w:val="32"/>
                <w:szCs w:val="32"/>
              </w:rPr>
            </w:pPr>
            <w:r>
              <w:rPr>
                <w:rFonts w:hint="eastAsia" w:asciiTheme="minorEastAsia" w:hAnsiTheme="minorEastAsia" w:eastAsiaTheme="minorEastAsia"/>
                <w:b/>
                <w:sz w:val="32"/>
                <w:szCs w:val="32"/>
              </w:rPr>
              <w:t>2023年老百姓</w:t>
            </w:r>
            <w:r>
              <w:rPr>
                <w:rFonts w:hint="eastAsia" w:asciiTheme="minorEastAsia" w:hAnsiTheme="minorEastAsia" w:eastAsiaTheme="minorEastAsia"/>
                <w:b/>
                <w:sz w:val="32"/>
                <w:szCs w:val="32"/>
                <w:lang w:eastAsia="zh-CN"/>
              </w:rPr>
              <w:t>扩张规划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8" w:hRule="atLeast"/>
        </w:trPr>
        <w:tc>
          <w:tcPr>
            <w:tcW w:w="2196" w:type="dxa"/>
            <w:vAlign w:val="center"/>
          </w:tcPr>
          <w:p>
            <w:pPr>
              <w:tabs>
                <w:tab w:val="left" w:pos="7088"/>
              </w:tabs>
              <w:jc w:val="center"/>
            </w:pPr>
            <w:r>
              <w:rPr>
                <w:rFonts w:hint="eastAsia"/>
                <w:b/>
                <w:sz w:val="30"/>
                <w:szCs w:val="30"/>
              </w:rPr>
              <w:t>发布</w:t>
            </w:r>
            <w:r>
              <w:rPr>
                <w:b/>
                <w:sz w:val="30"/>
                <w:szCs w:val="30"/>
              </w:rPr>
              <w:t>时间</w:t>
            </w:r>
          </w:p>
        </w:tc>
        <w:tc>
          <w:tcPr>
            <w:tcW w:w="2341" w:type="dxa"/>
            <w:vAlign w:val="center"/>
          </w:tcPr>
          <w:p>
            <w:pPr>
              <w:tabs>
                <w:tab w:val="left" w:pos="7088"/>
              </w:tabs>
              <w:jc w:val="center"/>
              <w:rPr>
                <w:rFonts w:hint="default" w:asciiTheme="minorEastAsia" w:hAnsiTheme="minorEastAsia" w:eastAsiaTheme="minorEastAsia"/>
                <w:sz w:val="30"/>
                <w:szCs w:val="30"/>
                <w:lang w:val="en-US" w:eastAsia="zh-CN"/>
              </w:rPr>
            </w:pPr>
            <w:r>
              <w:rPr>
                <w:rFonts w:hint="eastAsia" w:asciiTheme="minorEastAsia" w:hAnsiTheme="minorEastAsia" w:eastAsiaTheme="minorEastAsia"/>
                <w:sz w:val="30"/>
                <w:szCs w:val="30"/>
              </w:rPr>
              <w:t>202</w:t>
            </w:r>
            <w:r>
              <w:rPr>
                <w:rFonts w:hint="eastAsia" w:asciiTheme="minorEastAsia" w:hAnsiTheme="minorEastAsia" w:eastAsiaTheme="minorEastAsia"/>
                <w:sz w:val="30"/>
                <w:szCs w:val="30"/>
                <w:lang w:val="en-US" w:eastAsia="zh-CN"/>
              </w:rPr>
              <w:t>3</w:t>
            </w:r>
            <w:r>
              <w:rPr>
                <w:rFonts w:hint="eastAsia" w:asciiTheme="minorEastAsia" w:hAnsiTheme="minorEastAsia" w:eastAsiaTheme="minorEastAsia"/>
                <w:sz w:val="30"/>
                <w:szCs w:val="30"/>
              </w:rPr>
              <w:t>-</w:t>
            </w:r>
            <w:r>
              <w:rPr>
                <w:rFonts w:hint="eastAsia" w:asciiTheme="minorEastAsia" w:hAnsiTheme="minorEastAsia" w:eastAsiaTheme="minorEastAsia"/>
                <w:sz w:val="30"/>
                <w:szCs w:val="30"/>
                <w:lang w:val="en-US" w:eastAsia="zh-CN"/>
              </w:rPr>
              <w:t>1</w:t>
            </w:r>
            <w:r>
              <w:rPr>
                <w:rFonts w:hint="eastAsia" w:asciiTheme="minorEastAsia" w:hAnsiTheme="minorEastAsia" w:eastAsiaTheme="minorEastAsia"/>
                <w:sz w:val="30"/>
                <w:szCs w:val="30"/>
              </w:rPr>
              <w:t>-</w:t>
            </w:r>
            <w:r>
              <w:rPr>
                <w:rFonts w:hint="eastAsia" w:asciiTheme="minorEastAsia" w:hAnsiTheme="minorEastAsia" w:eastAsiaTheme="minorEastAsia"/>
                <w:sz w:val="30"/>
                <w:szCs w:val="30"/>
                <w:lang w:val="en-US" w:eastAsia="zh-CN"/>
              </w:rPr>
              <w:t>18</w:t>
            </w:r>
          </w:p>
        </w:tc>
        <w:tc>
          <w:tcPr>
            <w:tcW w:w="2341" w:type="dxa"/>
            <w:vAlign w:val="center"/>
          </w:tcPr>
          <w:p>
            <w:pPr>
              <w:tabs>
                <w:tab w:val="left" w:pos="7088"/>
              </w:tabs>
              <w:jc w:val="center"/>
              <w:rPr>
                <w:b/>
                <w:sz w:val="28"/>
                <w:szCs w:val="28"/>
              </w:rPr>
            </w:pPr>
            <w:r>
              <w:rPr>
                <w:rFonts w:hint="eastAsia"/>
                <w:b/>
                <w:sz w:val="30"/>
                <w:szCs w:val="30"/>
              </w:rPr>
              <w:t>信息来源</w:t>
            </w:r>
          </w:p>
        </w:tc>
        <w:tc>
          <w:tcPr>
            <w:tcW w:w="2195" w:type="dxa"/>
            <w:vAlign w:val="center"/>
          </w:tcPr>
          <w:p>
            <w:pPr>
              <w:tabs>
                <w:tab w:val="left" w:pos="7088"/>
              </w:tabs>
              <w:jc w:val="center"/>
              <w:rPr>
                <w:rFonts w:hint="eastAsia" w:eastAsia="宋体"/>
                <w:sz w:val="28"/>
                <w:szCs w:val="28"/>
                <w:lang w:eastAsia="zh-CN"/>
              </w:rPr>
            </w:pPr>
            <w:r>
              <w:rPr>
                <w:rFonts w:hint="eastAsia"/>
                <w:sz w:val="28"/>
                <w:szCs w:val="28"/>
                <w:lang w:eastAsia="zh-CN"/>
              </w:rPr>
              <w:t>米内零售观察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trPr>
        <w:tc>
          <w:tcPr>
            <w:tcW w:w="2196" w:type="dxa"/>
            <w:vAlign w:val="center"/>
          </w:tcPr>
          <w:p>
            <w:pPr>
              <w:tabs>
                <w:tab w:val="left" w:pos="7088"/>
              </w:tabs>
              <w:jc w:val="center"/>
              <w:rPr>
                <w:b/>
                <w:sz w:val="30"/>
                <w:szCs w:val="30"/>
              </w:rPr>
            </w:pPr>
            <w:r>
              <w:rPr>
                <w:rFonts w:hint="eastAsia"/>
                <w:b/>
                <w:sz w:val="30"/>
                <w:szCs w:val="30"/>
              </w:rPr>
              <w:t>信息</w:t>
            </w:r>
            <w:r>
              <w:rPr>
                <w:b/>
                <w:sz w:val="30"/>
                <w:szCs w:val="30"/>
              </w:rPr>
              <w:t>提供</w:t>
            </w:r>
          </w:p>
        </w:tc>
        <w:tc>
          <w:tcPr>
            <w:tcW w:w="2341" w:type="dxa"/>
            <w:vAlign w:val="center"/>
          </w:tcPr>
          <w:p>
            <w:pPr>
              <w:tabs>
                <w:tab w:val="left" w:pos="7088"/>
              </w:tabs>
              <w:jc w:val="center"/>
              <w:rPr>
                <w:sz w:val="30"/>
                <w:szCs w:val="30"/>
              </w:rPr>
            </w:pPr>
            <w:r>
              <w:rPr>
                <w:rFonts w:hint="eastAsia"/>
                <w:sz w:val="28"/>
                <w:szCs w:val="28"/>
              </w:rPr>
              <w:t>运营管理部</w:t>
            </w:r>
          </w:p>
        </w:tc>
        <w:tc>
          <w:tcPr>
            <w:tcW w:w="2341" w:type="dxa"/>
            <w:vAlign w:val="center"/>
          </w:tcPr>
          <w:p>
            <w:pPr>
              <w:tabs>
                <w:tab w:val="left" w:pos="7088"/>
              </w:tabs>
              <w:jc w:val="center"/>
              <w:rPr>
                <w:b/>
                <w:sz w:val="28"/>
                <w:szCs w:val="28"/>
              </w:rPr>
            </w:pPr>
            <w:r>
              <w:rPr>
                <w:rFonts w:hint="eastAsia"/>
                <w:b/>
                <w:sz w:val="30"/>
                <w:szCs w:val="30"/>
              </w:rPr>
              <w:t>信息确认</w:t>
            </w:r>
          </w:p>
        </w:tc>
        <w:tc>
          <w:tcPr>
            <w:tcW w:w="2195" w:type="dxa"/>
            <w:vAlign w:val="center"/>
          </w:tcPr>
          <w:p>
            <w:pPr>
              <w:tabs>
                <w:tab w:val="left" w:pos="7088"/>
              </w:tabs>
              <w:jc w:val="center"/>
              <w:rPr>
                <w:sz w:val="30"/>
                <w:szCs w:val="30"/>
              </w:rPr>
            </w:pPr>
            <w:r>
              <w:rPr>
                <w:rFonts w:hint="eastAsia"/>
                <w:sz w:val="28"/>
                <w:szCs w:val="28"/>
                <w:lang w:eastAsia="zh-CN"/>
              </w:rPr>
              <w:t>车成刚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2" w:hRule="atLeast"/>
        </w:trPr>
        <w:tc>
          <w:tcPr>
            <w:tcW w:w="2196" w:type="dxa"/>
            <w:tcBorders>
              <w:bottom w:val="single" w:color="auto" w:sz="4" w:space="0"/>
            </w:tcBorders>
            <w:vAlign w:val="center"/>
          </w:tcPr>
          <w:p>
            <w:pPr>
              <w:tabs>
                <w:tab w:val="left" w:pos="7088"/>
              </w:tabs>
              <w:ind w:firstLine="452" w:firstLineChars="150"/>
              <w:rPr>
                <w:b/>
                <w:sz w:val="30"/>
                <w:szCs w:val="30"/>
              </w:rPr>
            </w:pPr>
            <w:r>
              <w:rPr>
                <w:rFonts w:hint="eastAsia"/>
                <w:b/>
                <w:sz w:val="30"/>
                <w:szCs w:val="30"/>
              </w:rPr>
              <w:t>确认</w:t>
            </w:r>
            <w:r>
              <w:rPr>
                <w:b/>
                <w:sz w:val="30"/>
                <w:szCs w:val="30"/>
              </w:rPr>
              <w:t>结果</w:t>
            </w:r>
          </w:p>
        </w:tc>
        <w:tc>
          <w:tcPr>
            <w:tcW w:w="6877" w:type="dxa"/>
            <w:gridSpan w:val="3"/>
            <w:tcBorders>
              <w:bottom w:val="single" w:color="auto" w:sz="4" w:space="0"/>
            </w:tcBorders>
            <w:vAlign w:val="center"/>
          </w:tcPr>
          <w:p>
            <w:pPr>
              <w:tabs>
                <w:tab w:val="left" w:pos="7088"/>
              </w:tabs>
              <w:jc w:val="left"/>
              <w:rPr>
                <w:sz w:val="30"/>
                <w:szCs w:val="30"/>
              </w:rPr>
            </w:pPr>
            <w:r>
              <w:rPr>
                <w:rFonts w:hint="eastAsia"/>
                <w:sz w:val="28"/>
                <w:szCs w:val="28"/>
                <w:lang w:eastAsia="zh-CN"/>
              </w:rPr>
              <w:t>来源：米内零售观察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45" w:hRule="atLeast"/>
        </w:trPr>
        <w:tc>
          <w:tcPr>
            <w:tcW w:w="2196" w:type="dxa"/>
            <w:tcBorders>
              <w:top w:val="single" w:color="auto" w:sz="4" w:space="0"/>
            </w:tcBorders>
            <w:vAlign w:val="center"/>
          </w:tcPr>
          <w:p>
            <w:pPr>
              <w:tabs>
                <w:tab w:val="left" w:pos="7088"/>
              </w:tabs>
              <w:jc w:val="center"/>
              <w:rPr>
                <w:b/>
                <w:sz w:val="30"/>
                <w:szCs w:val="30"/>
              </w:rPr>
            </w:pPr>
            <w:r>
              <w:rPr>
                <w:rFonts w:hint="eastAsia"/>
                <w:b/>
                <w:sz w:val="30"/>
                <w:szCs w:val="30"/>
              </w:rPr>
              <w:t>关键词</w:t>
            </w:r>
          </w:p>
        </w:tc>
        <w:tc>
          <w:tcPr>
            <w:tcW w:w="6877" w:type="dxa"/>
            <w:gridSpan w:val="3"/>
            <w:tcBorders>
              <w:top w:val="single" w:color="auto" w:sz="4" w:space="0"/>
            </w:tcBorders>
            <w:vAlign w:val="center"/>
          </w:tcPr>
          <w:p>
            <w:pPr>
              <w:tabs>
                <w:tab w:val="left" w:pos="7088"/>
              </w:tabs>
              <w:jc w:val="left"/>
              <w:rPr>
                <w:rFonts w:cs="宋体" w:asciiTheme="majorEastAsia" w:hAnsiTheme="majorEastAsia" w:eastAsiaTheme="majorEastAsia"/>
                <w:kern w:val="0"/>
                <w:sz w:val="30"/>
                <w:szCs w:val="30"/>
              </w:rPr>
            </w:pPr>
            <w:r>
              <w:rPr>
                <w:rFonts w:hint="eastAsia" w:cs="宋体" w:asciiTheme="minorEastAsia" w:hAnsiTheme="minorEastAsia" w:eastAsiaTheme="minorEastAsia"/>
                <w:kern w:val="0"/>
                <w:sz w:val="28"/>
                <w:szCs w:val="28"/>
                <w:lang w:eastAsia="zh-CN"/>
              </w:rPr>
              <w:t>老百姓、</w:t>
            </w:r>
            <w:r>
              <w:rPr>
                <w:rFonts w:hint="eastAsia" w:cs="宋体" w:asciiTheme="minorEastAsia" w:hAnsiTheme="minorEastAsia" w:eastAsiaTheme="minorEastAsia"/>
                <w:kern w:val="0"/>
                <w:sz w:val="28"/>
                <w:szCs w:val="28"/>
                <w:lang w:val="en-US" w:eastAsia="zh-CN"/>
              </w:rPr>
              <w:t>2023年</w:t>
            </w:r>
            <w:r>
              <w:rPr>
                <w:rFonts w:hint="eastAsia" w:cs="宋体" w:asciiTheme="minorEastAsia" w:hAnsiTheme="minorEastAsia" w:eastAsiaTheme="minorEastAsia"/>
                <w:kern w:val="0"/>
                <w:sz w:val="28"/>
                <w:szCs w:val="28"/>
                <w:lang w:eastAsia="zh-CN"/>
              </w:rPr>
              <w:t>、扩张规划</w:t>
            </w:r>
            <w:r>
              <w:rPr>
                <w:rFonts w:hint="eastAsia" w:asciiTheme="minorEastAsia" w:hAnsiTheme="minorEastAsia" w:eastAsiaTheme="minorEastAsia"/>
                <w:sz w:val="28"/>
                <w:szCs w:val="2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76" w:hRule="atLeast"/>
        </w:trPr>
        <w:tc>
          <w:tcPr>
            <w:tcW w:w="2196" w:type="dxa"/>
            <w:vAlign w:val="center"/>
          </w:tcPr>
          <w:p>
            <w:pPr>
              <w:tabs>
                <w:tab w:val="left" w:pos="7088"/>
              </w:tabs>
              <w:jc w:val="center"/>
              <w:rPr>
                <w:b/>
                <w:sz w:val="30"/>
                <w:szCs w:val="30"/>
              </w:rPr>
            </w:pPr>
            <w:r>
              <w:rPr>
                <w:b/>
                <w:sz w:val="30"/>
                <w:szCs w:val="30"/>
              </w:rPr>
              <w:t>内容概要</w:t>
            </w:r>
          </w:p>
        </w:tc>
        <w:tc>
          <w:tcPr>
            <w:tcW w:w="6877" w:type="dxa"/>
            <w:gridSpan w:val="3"/>
            <w:vAlign w:val="center"/>
          </w:tcPr>
          <w:p>
            <w:pPr>
              <w:numPr>
                <w:ilvl w:val="0"/>
                <w:numId w:val="0"/>
              </w:numPr>
              <w:ind w:firstLine="280" w:firstLineChars="100"/>
              <w:rPr>
                <w:rFonts w:hint="eastAsia" w:cs="宋体" w:asciiTheme="minorEastAsia" w:hAnsiTheme="minorEastAsia" w:eastAsiaTheme="minorEastAsia"/>
                <w:kern w:val="0"/>
                <w:sz w:val="28"/>
                <w:szCs w:val="28"/>
                <w:lang w:val="en-US" w:eastAsia="zh-CN"/>
              </w:rPr>
            </w:pPr>
            <w:r>
              <w:rPr>
                <w:rFonts w:hint="eastAsia" w:cs="宋体" w:asciiTheme="minorEastAsia" w:hAnsiTheme="minorEastAsia" w:eastAsiaTheme="minorEastAsia"/>
                <w:kern w:val="0"/>
                <w:sz w:val="28"/>
                <w:szCs w:val="28"/>
                <w:lang w:val="en-US" w:eastAsia="zh-CN"/>
              </w:rPr>
              <w:t>“公司未来并购依然聚焦于优势的‘9+7’省域市场，持续提升市占率， 夯实领先优势。”</w:t>
            </w:r>
          </w:p>
          <w:p>
            <w:pPr>
              <w:numPr>
                <w:ilvl w:val="0"/>
                <w:numId w:val="0"/>
              </w:numPr>
              <w:ind w:firstLine="280" w:firstLineChars="100"/>
              <w:rPr>
                <w:rFonts w:hint="eastAsia" w:cs="宋体" w:asciiTheme="minorEastAsia" w:hAnsiTheme="minorEastAsia" w:eastAsiaTheme="minorEastAsia"/>
                <w:kern w:val="0"/>
                <w:sz w:val="28"/>
                <w:szCs w:val="28"/>
              </w:rPr>
            </w:pPr>
            <w:r>
              <w:rPr>
                <w:rFonts w:hint="eastAsia" w:cs="宋体" w:asciiTheme="minorEastAsia" w:hAnsiTheme="minorEastAsia" w:eastAsiaTheme="minorEastAsia"/>
                <w:kern w:val="0"/>
                <w:sz w:val="28"/>
                <w:szCs w:val="28"/>
                <w:lang w:val="en-US" w:eastAsia="zh-CN"/>
              </w:rPr>
              <w:t>1、拓展未来更倾向于加盟、联盟模式；</w:t>
            </w:r>
          </w:p>
          <w:p>
            <w:pPr>
              <w:numPr>
                <w:ilvl w:val="0"/>
                <w:numId w:val="0"/>
              </w:numPr>
              <w:ind w:firstLine="280" w:firstLineChars="100"/>
              <w:rPr>
                <w:rFonts w:hint="eastAsia" w:cs="宋体" w:asciiTheme="minorEastAsia" w:hAnsiTheme="minorEastAsia" w:eastAsiaTheme="minorEastAsia"/>
                <w:kern w:val="0"/>
                <w:sz w:val="28"/>
                <w:szCs w:val="28"/>
                <w:lang w:val="en-US" w:eastAsia="zh-CN"/>
              </w:rPr>
            </w:pPr>
            <w:r>
              <w:rPr>
                <w:rFonts w:hint="eastAsia" w:cs="宋体" w:asciiTheme="minorEastAsia" w:hAnsiTheme="minorEastAsia" w:eastAsiaTheme="minorEastAsia"/>
                <w:kern w:val="0"/>
                <w:sz w:val="28"/>
                <w:szCs w:val="28"/>
                <w:lang w:val="en-US" w:eastAsia="zh-CN"/>
              </w:rPr>
              <w:t>2、商誉减值风险标的整体运营良好，商誉整体健康；</w:t>
            </w:r>
          </w:p>
          <w:p>
            <w:pPr>
              <w:numPr>
                <w:ilvl w:val="0"/>
                <w:numId w:val="0"/>
              </w:numPr>
              <w:ind w:firstLine="280" w:firstLineChars="100"/>
              <w:rPr>
                <w:rFonts w:hint="eastAsia" w:cs="宋体" w:asciiTheme="minorEastAsia" w:hAnsiTheme="minorEastAsia" w:eastAsiaTheme="minorEastAsia"/>
                <w:kern w:val="0"/>
                <w:sz w:val="28"/>
                <w:szCs w:val="28"/>
                <w:lang w:val="en-US" w:eastAsia="zh-CN"/>
              </w:rPr>
            </w:pPr>
            <w:r>
              <w:rPr>
                <w:rFonts w:hint="eastAsia" w:cs="宋体" w:asciiTheme="minorEastAsia" w:hAnsiTheme="minorEastAsia" w:eastAsiaTheme="minorEastAsia"/>
                <w:kern w:val="0"/>
                <w:sz w:val="28"/>
                <w:szCs w:val="28"/>
                <w:lang w:val="en-US" w:eastAsia="zh-CN"/>
              </w:rPr>
              <w:t>3、未来发展六大战略打造核心竞争力。</w:t>
            </w:r>
          </w:p>
          <w:p>
            <w:pPr>
              <w:numPr>
                <w:ilvl w:val="0"/>
                <w:numId w:val="0"/>
              </w:numPr>
              <w:ind w:firstLine="280" w:firstLineChars="100"/>
              <w:rPr>
                <w:rFonts w:hint="eastAsia" w:cs="宋体" w:asciiTheme="minorEastAsia" w:hAnsiTheme="minorEastAsia" w:eastAsiaTheme="minorEastAsia"/>
                <w:kern w:val="0"/>
                <w:sz w:val="28"/>
                <w:szCs w:val="28"/>
                <w:lang w:val="en-US" w:eastAsia="zh-CN"/>
              </w:rPr>
            </w:pPr>
            <w:r>
              <w:rPr>
                <w:rFonts w:hint="eastAsia" w:cs="宋体" w:asciiTheme="minorEastAsia" w:hAnsiTheme="minorEastAsia" w:eastAsiaTheme="minorEastAsia"/>
                <w:kern w:val="0"/>
                <w:sz w:val="28"/>
                <w:szCs w:val="28"/>
                <w:lang w:val="en-US" w:eastAsia="zh-CN"/>
              </w:rPr>
              <w:br w:type="textWrapping"/>
            </w:r>
          </w:p>
          <w:p>
            <w:pPr>
              <w:numPr>
                <w:ilvl w:val="0"/>
                <w:numId w:val="0"/>
              </w:numPr>
              <w:ind w:left="210" w:leftChars="0"/>
              <w:rPr>
                <w:rFonts w:hint="eastAsia" w:cs="宋体" w:asciiTheme="minorEastAsia" w:hAnsiTheme="minorEastAsia" w:eastAsiaTheme="minorEastAsia"/>
                <w:kern w:val="0"/>
                <w:sz w:val="28"/>
                <w:szCs w:val="28"/>
                <w:lang w:val="en-US" w:eastAsia="zh-CN"/>
              </w:rPr>
            </w:pPr>
          </w:p>
          <w:p>
            <w:pPr>
              <w:numPr>
                <w:ilvl w:val="0"/>
                <w:numId w:val="0"/>
              </w:numPr>
              <w:ind w:left="210" w:leftChars="0"/>
              <w:rPr>
                <w:rFonts w:hint="eastAsia" w:cs="宋体" w:asciiTheme="minorEastAsia" w:hAnsiTheme="minorEastAsia" w:eastAsiaTheme="minorEastAsia"/>
                <w:kern w:val="0"/>
                <w:sz w:val="28"/>
                <w:szCs w:val="28"/>
                <w:lang w:val="en-US" w:eastAsia="zh-CN"/>
              </w:rPr>
            </w:pPr>
          </w:p>
          <w:p>
            <w:pPr>
              <w:numPr>
                <w:ilvl w:val="0"/>
                <w:numId w:val="0"/>
              </w:numPr>
              <w:ind w:left="210" w:leftChars="0"/>
              <w:rPr>
                <w:rFonts w:hint="eastAsia" w:cs="宋体" w:asciiTheme="minorEastAsia" w:hAnsiTheme="minorEastAsia" w:eastAsiaTheme="minorEastAsia"/>
                <w:kern w:val="0"/>
                <w:sz w:val="28"/>
                <w:szCs w:val="28"/>
                <w:lang w:val="en-US" w:eastAsia="zh-CN"/>
              </w:rPr>
            </w:pPr>
          </w:p>
          <w:p>
            <w:pPr>
              <w:numPr>
                <w:ilvl w:val="0"/>
                <w:numId w:val="0"/>
              </w:numPr>
              <w:ind w:left="210" w:leftChars="0"/>
              <w:rPr>
                <w:rFonts w:hint="eastAsia" w:cs="宋体" w:asciiTheme="minorEastAsia" w:hAnsiTheme="minorEastAsia" w:eastAsiaTheme="minorEastAsia"/>
                <w:kern w:val="0"/>
                <w:sz w:val="28"/>
                <w:szCs w:val="28"/>
                <w:lang w:val="en-US" w:eastAsia="zh-CN"/>
              </w:rPr>
            </w:pPr>
          </w:p>
          <w:p>
            <w:pPr>
              <w:numPr>
                <w:ilvl w:val="0"/>
                <w:numId w:val="0"/>
              </w:numPr>
              <w:rPr>
                <w:rFonts w:hint="eastAsia" w:cs="宋体" w:asciiTheme="minorEastAsia" w:hAnsiTheme="minorEastAsia" w:eastAsiaTheme="minorEastAsia"/>
                <w:kern w:val="0"/>
                <w:sz w:val="28"/>
                <w:szCs w:val="28"/>
                <w:lang w:val="en-US" w:eastAsia="zh-CN"/>
              </w:rPr>
            </w:pPr>
          </w:p>
          <w:p>
            <w:pPr>
              <w:numPr>
                <w:ilvl w:val="0"/>
                <w:numId w:val="0"/>
              </w:numPr>
              <w:rPr>
                <w:rFonts w:hint="eastAsia" w:cs="宋体" w:asciiTheme="minorEastAsia" w:hAnsiTheme="minorEastAsia" w:eastAsiaTheme="minorEastAsia"/>
                <w:kern w:val="0"/>
                <w:sz w:val="28"/>
                <w:szCs w:val="28"/>
                <w:lang w:val="en-US" w:eastAsia="zh-CN"/>
              </w:rPr>
            </w:pPr>
          </w:p>
          <w:p>
            <w:pPr>
              <w:numPr>
                <w:ilvl w:val="0"/>
                <w:numId w:val="0"/>
              </w:numPr>
              <w:ind w:leftChars="200"/>
              <w:rPr>
                <w:rFonts w:hint="eastAsia" w:cs="宋体" w:asciiTheme="minorEastAsia" w:hAnsiTheme="minorEastAsia" w:eastAsiaTheme="minorEastAsia"/>
                <w:kern w:val="0"/>
                <w:sz w:val="28"/>
                <w:szCs w:val="28"/>
                <w:lang w:val="en-US" w:eastAsia="zh-CN"/>
              </w:rPr>
            </w:pPr>
          </w:p>
          <w:p>
            <w:pPr>
              <w:rPr>
                <w:b/>
                <w:sz w:val="32"/>
                <w:szCs w:val="32"/>
              </w:rPr>
            </w:pPr>
            <w:r>
              <w:rPr>
                <w:rFonts w:hint="eastAsia" w:ascii="宋体" w:hAnsi="宋体" w:cs="宋体"/>
                <w:kern w:val="0"/>
                <w:szCs w:val="21"/>
              </w:rPr>
              <w:t>附件5: 2023年老百姓</w:t>
            </w:r>
            <w:r>
              <w:rPr>
                <w:rFonts w:hint="eastAsia" w:ascii="宋体" w:hAnsi="宋体" w:cs="宋体"/>
                <w:kern w:val="0"/>
                <w:szCs w:val="21"/>
                <w:lang w:eastAsia="zh-CN"/>
              </w:rPr>
              <w:t>扩张规划</w:t>
            </w:r>
          </w:p>
        </w:tc>
      </w:tr>
    </w:tbl>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rFonts w:hint="eastAsia" w:ascii="微软雅黑" w:hAnsi="微软雅黑" w:eastAsia="微软雅黑" w:cs="宋体"/>
          <w:b/>
          <w:color w:val="333333"/>
          <w:kern w:val="36"/>
          <w:sz w:val="24"/>
          <w:szCs w:val="24"/>
          <w:lang w:val="en-US" w:eastAsia="zh-CN"/>
        </w:rPr>
      </w:pPr>
      <w:r>
        <w:rPr>
          <w:rFonts w:hint="eastAsia" w:ascii="微软雅黑" w:hAnsi="微软雅黑" w:eastAsia="微软雅黑" w:cs="宋体"/>
          <w:b/>
          <w:color w:val="333333"/>
          <w:kern w:val="36"/>
          <w:sz w:val="24"/>
          <w:szCs w:val="24"/>
        </w:rPr>
        <w:t>附件</w:t>
      </w:r>
      <w:r>
        <w:rPr>
          <w:rFonts w:hint="eastAsia" w:ascii="微软雅黑" w:hAnsi="微软雅黑" w:eastAsia="微软雅黑" w:cs="宋体"/>
          <w:b/>
          <w:color w:val="333333"/>
          <w:kern w:val="36"/>
          <w:sz w:val="24"/>
          <w:szCs w:val="24"/>
          <w:lang w:val="en-US" w:eastAsia="zh-CN"/>
        </w:rPr>
        <w:t>1</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ascii="Microsoft YaHei UI" w:hAnsi="Microsoft YaHei UI" w:eastAsia="Microsoft YaHei UI" w:cs="Microsoft YaHei UI"/>
          <w:i w:val="0"/>
          <w:iCs w:val="0"/>
          <w:caps w:val="0"/>
          <w:color w:val="222222"/>
          <w:spacing w:val="8"/>
          <w:sz w:val="33"/>
          <w:szCs w:val="33"/>
        </w:rPr>
      </w:pPr>
      <w:r>
        <w:rPr>
          <w:rFonts w:hint="eastAsia" w:ascii="Microsoft YaHei UI" w:hAnsi="Microsoft YaHei UI" w:eastAsia="Microsoft YaHei UI" w:cs="Microsoft YaHei UI"/>
          <w:i w:val="0"/>
          <w:iCs w:val="0"/>
          <w:caps w:val="0"/>
          <w:color w:val="222222"/>
          <w:spacing w:val="8"/>
          <w:sz w:val="33"/>
          <w:szCs w:val="33"/>
          <w:shd w:val="clear" w:fill="FFFFFF"/>
          <w:lang w:val="en-US" w:eastAsia="zh-CN"/>
        </w:rPr>
        <w:t>国家卫健委官网发布《第二批国家重点监控合理用药药品目录》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30" w:afterAutospacing="0" w:line="300" w:lineRule="atLeast"/>
        <w:ind w:left="0" w:right="0" w:firstLine="0"/>
        <w:jc w:val="left"/>
        <w:rPr>
          <w:rFonts w:hint="eastAsia" w:ascii="Microsoft YaHei UI" w:hAnsi="Microsoft YaHei UI" w:eastAsia="Microsoft YaHei UI" w:cs="Microsoft YaHei UI"/>
          <w:i w:val="0"/>
          <w:iCs w:val="0"/>
          <w:caps w:val="0"/>
          <w:color w:val="222222"/>
          <w:spacing w:val="0"/>
          <w:sz w:val="21"/>
          <w:szCs w:val="21"/>
        </w:rPr>
      </w:pPr>
      <w:r>
        <w:rPr>
          <w:rFonts w:hint="eastAsia" w:ascii="Microsoft YaHei UI" w:hAnsi="Microsoft YaHei UI" w:eastAsia="Microsoft YaHei UI" w:cs="Microsoft YaHei UI"/>
          <w:i w:val="0"/>
          <w:iCs w:val="0"/>
          <w:caps w:val="0"/>
          <w:color w:val="222222"/>
          <w:spacing w:val="0"/>
          <w:kern w:val="0"/>
          <w:sz w:val="18"/>
          <w:szCs w:val="18"/>
          <w:shd w:val="clear" w:fill="FFFFFF"/>
          <w:lang w:val="en-US" w:eastAsia="zh-CN" w:bidi="ar"/>
        </w:rPr>
        <w:t>原创</w:t>
      </w:r>
      <w:r>
        <w:rPr>
          <w:rFonts w:hint="eastAsia" w:ascii="Microsoft YaHei UI" w:hAnsi="Microsoft YaHei UI" w:eastAsia="Microsoft YaHei UI" w:cs="Microsoft YaHei UI"/>
          <w:i w:val="0"/>
          <w:iCs w:val="0"/>
          <w:caps w:val="0"/>
          <w:color w:val="222222"/>
          <w:spacing w:val="8"/>
          <w:kern w:val="0"/>
          <w:sz w:val="0"/>
          <w:szCs w:val="0"/>
          <w:shd w:val="clear" w:fill="FFFFFF"/>
          <w:lang w:val="en-US" w:eastAsia="zh-CN" w:bidi="ar"/>
        </w:rPr>
        <w:t> </w:t>
      </w:r>
      <w:r>
        <w:rPr>
          <w:rFonts w:hint="eastAsia" w:ascii="Microsoft YaHei UI" w:hAnsi="Microsoft YaHei UI" w:eastAsia="Microsoft YaHei UI" w:cs="Microsoft YaHei UI"/>
          <w:i w:val="0"/>
          <w:iCs w:val="0"/>
          <w:caps w:val="0"/>
          <w:color w:val="222222"/>
          <w:spacing w:val="8"/>
          <w:kern w:val="0"/>
          <w:sz w:val="22"/>
          <w:szCs w:val="22"/>
          <w:shd w:val="clear" w:fill="FFFFFF"/>
          <w:lang w:val="en-US" w:eastAsia="zh-CN" w:bidi="ar"/>
        </w:rPr>
        <w:t>点苍鹤</w:t>
      </w:r>
      <w:r>
        <w:rPr>
          <w:rFonts w:hint="eastAsia" w:ascii="Microsoft YaHei UI" w:hAnsi="Microsoft YaHei UI" w:eastAsia="Microsoft YaHei UI" w:cs="Microsoft YaHei UI"/>
          <w:i w:val="0"/>
          <w:iCs w:val="0"/>
          <w:caps w:val="0"/>
          <w:color w:val="222222"/>
          <w:spacing w:val="8"/>
          <w:kern w:val="0"/>
          <w:sz w:val="0"/>
          <w:szCs w:val="0"/>
          <w:shd w:val="clear" w:fill="FFFFFF"/>
          <w:lang w:val="en-US" w:eastAsia="zh-CN" w:bidi="ar"/>
        </w:rPr>
        <w:t> </w:t>
      </w:r>
      <w:r>
        <w:rPr>
          <w:rFonts w:hint="eastAsia" w:ascii="Microsoft YaHei UI" w:hAnsi="Microsoft YaHei UI" w:eastAsia="Microsoft YaHei UI" w:cs="Microsoft YaHei UI"/>
          <w:i w:val="0"/>
          <w:iCs w:val="0"/>
          <w:caps w:val="0"/>
          <w:color w:val="576B95"/>
          <w:spacing w:val="8"/>
          <w:kern w:val="0"/>
          <w:sz w:val="22"/>
          <w:szCs w:val="22"/>
          <w:u w:val="none"/>
          <w:shd w:val="clear" w:fill="FFFFFF"/>
          <w:lang w:val="en-US" w:eastAsia="zh-CN" w:bidi="ar"/>
        </w:rPr>
        <w:fldChar w:fldCharType="begin"/>
      </w:r>
      <w:r>
        <w:rPr>
          <w:rFonts w:hint="eastAsia" w:ascii="Microsoft YaHei UI" w:hAnsi="Microsoft YaHei UI" w:eastAsia="Microsoft YaHei UI" w:cs="Microsoft YaHei UI"/>
          <w:i w:val="0"/>
          <w:iCs w:val="0"/>
          <w:caps w:val="0"/>
          <w:color w:val="576B95"/>
          <w:spacing w:val="8"/>
          <w:kern w:val="0"/>
          <w:sz w:val="22"/>
          <w:szCs w:val="22"/>
          <w:u w:val="none"/>
          <w:shd w:val="clear" w:fill="FFFFFF"/>
          <w:lang w:val="en-US" w:eastAsia="zh-CN" w:bidi="ar"/>
        </w:rPr>
        <w:instrText xml:space="preserve"> HYPERLINK "javascript:void(0);" </w:instrText>
      </w:r>
      <w:r>
        <w:rPr>
          <w:rFonts w:hint="eastAsia" w:ascii="Microsoft YaHei UI" w:hAnsi="Microsoft YaHei UI" w:eastAsia="Microsoft YaHei UI" w:cs="Microsoft YaHei UI"/>
          <w:i w:val="0"/>
          <w:iCs w:val="0"/>
          <w:caps w:val="0"/>
          <w:color w:val="576B95"/>
          <w:spacing w:val="8"/>
          <w:kern w:val="0"/>
          <w:sz w:val="22"/>
          <w:szCs w:val="22"/>
          <w:u w:val="none"/>
          <w:shd w:val="clear" w:fill="FFFFFF"/>
          <w:lang w:val="en-US" w:eastAsia="zh-CN" w:bidi="ar"/>
        </w:rPr>
        <w:fldChar w:fldCharType="separate"/>
      </w:r>
      <w:r>
        <w:rPr>
          <w:rStyle w:val="16"/>
          <w:rFonts w:hint="eastAsia" w:ascii="Microsoft YaHei UI" w:hAnsi="Microsoft YaHei UI" w:eastAsia="Microsoft YaHei UI" w:cs="Microsoft YaHei UI"/>
          <w:i w:val="0"/>
          <w:iCs w:val="0"/>
          <w:caps w:val="0"/>
          <w:color w:val="576B95"/>
          <w:spacing w:val="8"/>
          <w:sz w:val="22"/>
          <w:szCs w:val="22"/>
          <w:u w:val="none"/>
          <w:shd w:val="clear" w:fill="FFFFFF"/>
        </w:rPr>
        <w:t>医药云端工作室</w:t>
      </w:r>
      <w:r>
        <w:rPr>
          <w:rFonts w:hint="eastAsia" w:ascii="Microsoft YaHei UI" w:hAnsi="Microsoft YaHei UI" w:eastAsia="Microsoft YaHei UI" w:cs="Microsoft YaHei UI"/>
          <w:i w:val="0"/>
          <w:iCs w:val="0"/>
          <w:caps w:val="0"/>
          <w:color w:val="576B95"/>
          <w:spacing w:val="8"/>
          <w:kern w:val="0"/>
          <w:sz w:val="22"/>
          <w:szCs w:val="22"/>
          <w:u w:val="none"/>
          <w:shd w:val="clear" w:fill="FFFFFF"/>
          <w:lang w:val="en-US" w:eastAsia="zh-CN" w:bidi="ar"/>
        </w:rPr>
        <w:fldChar w:fldCharType="end"/>
      </w:r>
      <w:r>
        <w:rPr>
          <w:rFonts w:hint="eastAsia" w:ascii="Microsoft YaHei UI" w:hAnsi="Microsoft YaHei UI" w:eastAsia="Microsoft YaHei UI" w:cs="Microsoft YaHei UI"/>
          <w:i w:val="0"/>
          <w:iCs w:val="0"/>
          <w:caps w:val="0"/>
          <w:color w:val="222222"/>
          <w:spacing w:val="8"/>
          <w:kern w:val="0"/>
          <w:sz w:val="0"/>
          <w:szCs w:val="0"/>
          <w:shd w:val="clear" w:fill="FFFFFF"/>
          <w:lang w:val="en-US" w:eastAsia="zh-CN" w:bidi="ar"/>
        </w:rPr>
        <w:t> </w:t>
      </w:r>
      <w:r>
        <w:rPr>
          <w:rStyle w:val="15"/>
          <w:rFonts w:hint="eastAsia" w:ascii="Microsoft YaHei UI" w:hAnsi="Microsoft YaHei UI" w:eastAsia="Microsoft YaHei UI" w:cs="Microsoft YaHei UI"/>
          <w:i w:val="0"/>
          <w:iCs w:val="0"/>
          <w:caps w:val="0"/>
          <w:color w:val="222222"/>
          <w:spacing w:val="8"/>
          <w:kern w:val="0"/>
          <w:sz w:val="22"/>
          <w:szCs w:val="22"/>
          <w:shd w:val="clear" w:fill="FFFFFF"/>
          <w:lang w:val="en-US" w:eastAsia="zh-CN" w:bidi="ar"/>
        </w:rPr>
        <w:t>2023-01-14 10:55</w:t>
      </w:r>
      <w:r>
        <w:rPr>
          <w:rFonts w:hint="eastAsia" w:ascii="Microsoft YaHei UI" w:hAnsi="Microsoft YaHei UI" w:eastAsia="Microsoft YaHei UI" w:cs="Microsoft YaHei UI"/>
          <w:i w:val="0"/>
          <w:iCs w:val="0"/>
          <w:caps w:val="0"/>
          <w:color w:val="222222"/>
          <w:spacing w:val="8"/>
          <w:kern w:val="0"/>
          <w:sz w:val="0"/>
          <w:szCs w:val="0"/>
          <w:shd w:val="clear" w:fill="FFFFFF"/>
          <w:lang w:val="en-US" w:eastAsia="zh-CN" w:bidi="ar"/>
        </w:rPr>
        <w:t> </w:t>
      </w:r>
      <w:r>
        <w:rPr>
          <w:rStyle w:val="15"/>
          <w:rFonts w:hint="eastAsia" w:ascii="Microsoft YaHei UI" w:hAnsi="Microsoft YaHei UI" w:eastAsia="Microsoft YaHei UI" w:cs="Microsoft YaHei UI"/>
          <w:i w:val="0"/>
          <w:iCs w:val="0"/>
          <w:caps w:val="0"/>
          <w:color w:val="222222"/>
          <w:spacing w:val="8"/>
          <w:kern w:val="0"/>
          <w:sz w:val="22"/>
          <w:szCs w:val="22"/>
          <w:shd w:val="clear" w:fill="FFFFFF"/>
          <w:lang w:val="en-US" w:eastAsia="zh-CN" w:bidi="ar"/>
        </w:rPr>
        <w:t>发表于广东</w:t>
      </w:r>
    </w:p>
    <w:p>
      <w:pPr>
        <w:keepNext w:val="0"/>
        <w:keepLines w:val="0"/>
        <w:widowControl/>
        <w:suppressLineNumbers w:val="0"/>
        <w:spacing w:before="0" w:beforeAutospacing="0" w:after="0" w:afterAutospacing="0"/>
        <w:ind w:left="0" w:right="0" w:firstLine="592" w:firstLineChars="200"/>
        <w:jc w:val="left"/>
        <w:rPr>
          <w:rFonts w:hint="eastAsia" w:ascii="宋体" w:hAnsi="宋体" w:eastAsia="宋体" w:cs="宋体"/>
          <w:i w:val="0"/>
          <w:iCs w:val="0"/>
          <w:caps w:val="0"/>
          <w:color w:val="222222"/>
          <w:spacing w:val="8"/>
          <w:kern w:val="0"/>
          <w:sz w:val="28"/>
          <w:szCs w:val="28"/>
          <w:shd w:val="clear" w:fill="FFFFFF"/>
          <w:lang w:val="en-US" w:eastAsia="zh-CN" w:bidi="ar-SA"/>
        </w:rPr>
      </w:pPr>
      <w:r>
        <w:rPr>
          <w:rFonts w:hint="eastAsia" w:ascii="宋体" w:hAnsi="宋体" w:eastAsia="宋体" w:cs="宋体"/>
          <w:i w:val="0"/>
          <w:iCs w:val="0"/>
          <w:caps w:val="0"/>
          <w:color w:val="222222"/>
          <w:spacing w:val="8"/>
          <w:kern w:val="0"/>
          <w:sz w:val="28"/>
          <w:szCs w:val="28"/>
          <w:shd w:val="clear" w:fill="FFFFFF"/>
          <w:lang w:val="en-US" w:eastAsia="zh-CN" w:bidi="ar-SA"/>
        </w:rPr>
        <w:t>1月13日晚间，国家卫健委官网发布《第二批国家重点监控合理用药药品目录》，距离第一批目录发布，时间已经过去3年半。</w:t>
      </w:r>
    </w:p>
    <w:p>
      <w:pPr>
        <w:keepNext w:val="0"/>
        <w:keepLines w:val="0"/>
        <w:widowControl/>
        <w:suppressLineNumbers w:val="0"/>
        <w:spacing w:before="0" w:beforeAutospacing="0" w:after="0" w:afterAutospacing="0"/>
        <w:ind w:left="0" w:right="0" w:firstLine="592" w:firstLineChars="200"/>
        <w:jc w:val="left"/>
        <w:rPr>
          <w:rFonts w:hint="eastAsia" w:ascii="宋体" w:hAnsi="宋体" w:eastAsia="宋体" w:cs="宋体"/>
          <w:i w:val="0"/>
          <w:iCs w:val="0"/>
          <w:caps w:val="0"/>
          <w:color w:val="222222"/>
          <w:spacing w:val="8"/>
          <w:kern w:val="0"/>
          <w:sz w:val="28"/>
          <w:szCs w:val="28"/>
          <w:shd w:val="clear" w:fill="FFFFFF"/>
          <w:lang w:val="en-US" w:eastAsia="zh-CN" w:bidi="ar-SA"/>
        </w:rPr>
      </w:pPr>
      <w:r>
        <w:rPr>
          <w:rFonts w:hint="eastAsia" w:ascii="宋体" w:hAnsi="宋体" w:eastAsia="宋体" w:cs="宋体"/>
          <w:i w:val="0"/>
          <w:iCs w:val="0"/>
          <w:caps w:val="0"/>
          <w:color w:val="222222"/>
          <w:spacing w:val="8"/>
          <w:kern w:val="0"/>
          <w:sz w:val="28"/>
          <w:szCs w:val="28"/>
          <w:shd w:val="clear" w:fill="FFFFFF"/>
          <w:lang w:val="en-US" w:eastAsia="zh-CN" w:bidi="ar-SA"/>
        </w:rPr>
        <w:t>第二批目录较第一批，数量由20个调整为30个品种，有7个品种继续留在监控目录中（下表标黄部分）按照要求将加强重点监控，而13个品种则没出现在第二批目录里（下表中标绿部分），按通知规定，这部分品种应当持续监控至少满1年后可不再监控，以促进临床合理用药水平持续提高。</w:t>
      </w:r>
    </w:p>
    <w:p>
      <w:pPr>
        <w:keepNext w:val="0"/>
        <w:keepLines w:val="0"/>
        <w:widowControl/>
        <w:suppressLineNumbers w:val="0"/>
        <w:spacing w:before="0" w:beforeAutospacing="0" w:after="0" w:afterAutospacing="0"/>
        <w:ind w:left="0" w:right="0"/>
        <w:jc w:val="left"/>
        <w:rPr>
          <w:rFonts w:hint="eastAsia" w:asciiTheme="minorEastAsia" w:hAnsiTheme="minorEastAsia" w:eastAsiaTheme="minorEastAsia" w:cstheme="minorEastAsia"/>
          <w:i w:val="0"/>
          <w:iCs w:val="0"/>
          <w:caps w:val="0"/>
          <w:color w:val="222222"/>
          <w:spacing w:val="30"/>
          <w:kern w:val="0"/>
          <w:sz w:val="28"/>
          <w:szCs w:val="28"/>
          <w:shd w:val="clear" w:fill="FFFFFF"/>
          <w:lang w:val="en-US" w:eastAsia="zh-CN" w:bidi="ar"/>
        </w:rPr>
      </w:pPr>
    </w:p>
    <w:p>
      <w:pPr>
        <w:keepNext w:val="0"/>
        <w:keepLines w:val="0"/>
        <w:widowControl/>
        <w:suppressLineNumbers w:val="0"/>
        <w:spacing w:before="0" w:beforeAutospacing="0" w:after="0" w:afterAutospacing="0"/>
        <w:ind w:left="0" w:right="0"/>
        <w:jc w:val="left"/>
        <w:rPr>
          <w:rFonts w:hint="eastAsia" w:ascii="Microsoft YaHei UI" w:hAnsi="Microsoft YaHei UI" w:eastAsia="Microsoft YaHei UI" w:cs="Microsoft YaHei UI"/>
          <w:i w:val="0"/>
          <w:iCs w:val="0"/>
          <w:caps w:val="0"/>
          <w:color w:val="222222"/>
          <w:spacing w:val="30"/>
          <w:kern w:val="0"/>
          <w:sz w:val="22"/>
          <w:szCs w:val="22"/>
          <w:shd w:val="clear" w:fill="FFFFFF"/>
          <w:lang w:val="en-US" w:eastAsia="zh-CN" w:bidi="ar"/>
        </w:rPr>
      </w:pPr>
    </w:p>
    <w:p>
      <w:pPr>
        <w:keepNext w:val="0"/>
        <w:keepLines w:val="0"/>
        <w:widowControl/>
        <w:suppressLineNumbers w:val="0"/>
        <w:spacing w:before="0" w:beforeAutospacing="0" w:after="0" w:afterAutospacing="0"/>
        <w:ind w:left="0" w:right="0"/>
        <w:jc w:val="left"/>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pP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drawing>
          <wp:inline distT="0" distB="0" distL="114300" distR="114300">
            <wp:extent cx="3638550" cy="7879080"/>
            <wp:effectExtent l="0" t="0" r="0" b="7620"/>
            <wp:docPr id="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8"/>
                    <pic:cNvPicPr>
                      <a:picLocks noChangeAspect="1"/>
                    </pic:cNvPicPr>
                  </pic:nvPicPr>
                  <pic:blipFill>
                    <a:blip r:embed="rId9"/>
                    <a:stretch>
                      <a:fillRect/>
                    </a:stretch>
                  </pic:blipFill>
                  <pic:spPr>
                    <a:xfrm>
                      <a:off x="0" y="0"/>
                      <a:ext cx="3638550" cy="7879080"/>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firstLine="592" w:firstLineChars="200"/>
        <w:jc w:val="left"/>
        <w:rPr>
          <w:rFonts w:hint="eastAsia" w:ascii="宋体" w:hAnsi="宋体" w:eastAsia="宋体" w:cs="宋体"/>
          <w:i w:val="0"/>
          <w:iCs w:val="0"/>
          <w:caps w:val="0"/>
          <w:color w:val="222222"/>
          <w:spacing w:val="8"/>
          <w:kern w:val="0"/>
          <w:sz w:val="28"/>
          <w:szCs w:val="28"/>
          <w:shd w:val="clear" w:fill="FFFFFF"/>
          <w:lang w:val="en-US" w:eastAsia="zh-CN" w:bidi="ar-SA"/>
        </w:rPr>
      </w:pPr>
      <w:r>
        <w:rPr>
          <w:rFonts w:hint="eastAsia" w:ascii="宋体" w:hAnsi="宋体" w:eastAsia="宋体" w:cs="宋体"/>
          <w:i w:val="0"/>
          <w:iCs w:val="0"/>
          <w:caps w:val="0"/>
          <w:color w:val="222222"/>
          <w:spacing w:val="8"/>
          <w:kern w:val="0"/>
          <w:sz w:val="28"/>
          <w:szCs w:val="28"/>
          <w:shd w:val="clear" w:fill="FFFFFF"/>
          <w:lang w:val="en-US" w:eastAsia="zh-CN" w:bidi="ar-SA"/>
        </w:rPr>
        <w:t>第二批新增的13个品种中，共有6个抗生素、5个质子泵抑制剂（PPI）,另有地佐辛、人血白蛋白也纳入进来，都是一等一的大品种。</w:t>
      </w:r>
    </w:p>
    <w:p>
      <w:pPr>
        <w:keepNext w:val="0"/>
        <w:keepLines w:val="0"/>
        <w:widowControl/>
        <w:suppressLineNumbers w:val="0"/>
        <w:spacing w:before="0" w:beforeAutospacing="0" w:after="0" w:afterAutospacing="0"/>
        <w:ind w:left="0" w:right="0" w:firstLine="680" w:firstLineChars="200"/>
        <w:jc w:val="left"/>
        <w:rPr>
          <w:rFonts w:hint="eastAsia" w:ascii="宋体" w:hAnsi="宋体" w:eastAsia="宋体" w:cs="宋体"/>
          <w:i w:val="0"/>
          <w:iCs w:val="0"/>
          <w:caps w:val="0"/>
          <w:color w:val="222222"/>
          <w:spacing w:val="8"/>
          <w:kern w:val="0"/>
          <w:sz w:val="28"/>
          <w:szCs w:val="28"/>
          <w:shd w:val="clear" w:fill="FFFFFF"/>
          <w:lang w:val="en-US" w:eastAsia="zh-CN" w:bidi="ar-SA"/>
        </w:rPr>
      </w:pPr>
      <w:r>
        <w:rPr>
          <w:rFonts w:hint="eastAsia" w:ascii="宋体" w:hAnsi="宋体" w:eastAsia="宋体" w:cs="宋体"/>
          <w:i w:val="0"/>
          <w:iCs w:val="0"/>
          <w:caps w:val="0"/>
          <w:color w:val="FF6827"/>
          <w:spacing w:val="30"/>
          <w:kern w:val="0"/>
          <w:sz w:val="28"/>
          <w:szCs w:val="28"/>
          <w:shd w:val="clear" w:fill="FFFFFF"/>
          <w:lang w:val="en-US" w:eastAsia="zh-CN" w:bidi="ar"/>
        </w:rPr>
        <w:t>哌拉西林他唑巴坦、头孢哌酮舒巴或将集采+重点监控双重治理</w:t>
      </w:r>
      <w:r>
        <w:rPr>
          <w:rFonts w:hint="eastAsia" w:ascii="宋体" w:hAnsi="宋体" w:eastAsia="宋体" w:cs="宋体"/>
          <w:i w:val="0"/>
          <w:iCs w:val="0"/>
          <w:caps w:val="0"/>
          <w:color w:val="222222"/>
          <w:spacing w:val="8"/>
          <w:kern w:val="0"/>
          <w:sz w:val="28"/>
          <w:szCs w:val="28"/>
          <w:shd w:val="clear" w:fill="FFFFFF"/>
          <w:lang w:val="en-US" w:eastAsia="zh-CN" w:bidi="ar-SA"/>
        </w:rPr>
        <w:t>抗生素品种，不是已经进入集采，就是在去集采的路上。左氧、头孢他啶、美罗培南早已纳入国家集采。而</w:t>
      </w:r>
      <w:r>
        <w:rPr>
          <w:rFonts w:hint="eastAsia" w:ascii="宋体" w:hAnsi="宋体" w:eastAsia="宋体" w:cs="宋体"/>
          <w:i w:val="0"/>
          <w:iCs w:val="0"/>
          <w:caps w:val="0"/>
          <w:color w:val="0080FF"/>
          <w:spacing w:val="30"/>
          <w:kern w:val="0"/>
          <w:sz w:val="28"/>
          <w:szCs w:val="28"/>
          <w:shd w:val="clear" w:fill="FFFFFF"/>
          <w:lang w:val="en-US" w:eastAsia="zh-CN" w:bidi="ar"/>
        </w:rPr>
        <w:t>哌拉西林他唑巴坦、头孢哌酮舒巴坦、头孢噻肟</w:t>
      </w:r>
      <w:r>
        <w:rPr>
          <w:rFonts w:hint="eastAsia" w:ascii="宋体" w:hAnsi="宋体" w:eastAsia="宋体" w:cs="宋体"/>
          <w:i w:val="0"/>
          <w:iCs w:val="0"/>
          <w:caps w:val="0"/>
          <w:color w:val="222222"/>
          <w:spacing w:val="8"/>
          <w:kern w:val="0"/>
          <w:sz w:val="28"/>
          <w:szCs w:val="28"/>
          <w:shd w:val="clear" w:fill="FFFFFF"/>
          <w:lang w:val="en-US" w:eastAsia="zh-CN" w:bidi="ar-SA"/>
        </w:rPr>
        <w:t>则出现在第八批国采报量目录中，目前各地刚刚启动报量工作，不出意外的话将会纳入到正式的集采目录中。</w:t>
      </w:r>
    </w:p>
    <w:p>
      <w:pPr>
        <w:keepNext w:val="0"/>
        <w:keepLines w:val="0"/>
        <w:widowControl/>
        <w:suppressLineNumbers w:val="0"/>
        <w:spacing w:before="0" w:beforeAutospacing="0" w:after="0" w:afterAutospacing="0"/>
        <w:ind w:left="0" w:right="0" w:firstLine="592" w:firstLineChars="200"/>
        <w:jc w:val="left"/>
        <w:rPr>
          <w:rFonts w:hint="eastAsia" w:ascii="宋体" w:hAnsi="宋体" w:eastAsia="宋体" w:cs="宋体"/>
          <w:i w:val="0"/>
          <w:iCs w:val="0"/>
          <w:caps w:val="0"/>
          <w:color w:val="222222"/>
          <w:spacing w:val="30"/>
          <w:kern w:val="0"/>
          <w:sz w:val="28"/>
          <w:szCs w:val="28"/>
          <w:shd w:val="clear" w:fill="FFFFFF"/>
          <w:lang w:val="en-US" w:eastAsia="zh-CN" w:bidi="ar"/>
        </w:rPr>
      </w:pPr>
      <w:r>
        <w:rPr>
          <w:rFonts w:hint="eastAsia" w:ascii="宋体" w:hAnsi="宋体" w:eastAsia="宋体" w:cs="宋体"/>
          <w:i w:val="0"/>
          <w:iCs w:val="0"/>
          <w:caps w:val="0"/>
          <w:color w:val="222222"/>
          <w:spacing w:val="8"/>
          <w:kern w:val="0"/>
          <w:sz w:val="28"/>
          <w:szCs w:val="28"/>
          <w:shd w:val="clear" w:fill="FFFFFF"/>
          <w:lang w:val="en-US" w:eastAsia="zh-CN" w:bidi="ar-SA"/>
        </w:rPr>
        <w:t>前两个品种都是70亿左右规模的大品种，而头孢噻肟也有近20亿的医院存量市场。现在看到重点监控目录，或许庆幸医保那边提早将其纳入集采，否则重点监控对销量的影响远远超过集采，毕竟集采还有优先采购和采购量的协议保证不是？</w:t>
      </w:r>
    </w:p>
    <w:p>
      <w:pPr>
        <w:keepNext w:val="0"/>
        <w:keepLines w:val="0"/>
        <w:widowControl/>
        <w:suppressLineNumbers w:val="0"/>
        <w:spacing w:before="0" w:beforeAutospacing="0" w:after="0" w:afterAutospacing="0"/>
        <w:ind w:left="0" w:right="0" w:firstLine="680" w:firstLineChars="200"/>
        <w:jc w:val="left"/>
        <w:rPr>
          <w:rFonts w:hint="eastAsia" w:ascii="宋体" w:hAnsi="宋体" w:eastAsia="宋体" w:cs="宋体"/>
          <w:i w:val="0"/>
          <w:iCs w:val="0"/>
          <w:caps w:val="0"/>
          <w:color w:val="FF6827"/>
          <w:spacing w:val="30"/>
          <w:kern w:val="0"/>
          <w:sz w:val="28"/>
          <w:szCs w:val="28"/>
          <w:shd w:val="clear" w:fill="FFFFFF"/>
          <w:lang w:val="en-US" w:eastAsia="zh-CN" w:bidi="ar"/>
        </w:rPr>
      </w:pPr>
      <w:r>
        <w:rPr>
          <w:rFonts w:hint="eastAsia" w:ascii="宋体" w:hAnsi="宋体" w:eastAsia="宋体" w:cs="宋体"/>
          <w:i w:val="0"/>
          <w:iCs w:val="0"/>
          <w:caps w:val="0"/>
          <w:color w:val="FF6827"/>
          <w:spacing w:val="30"/>
          <w:kern w:val="0"/>
          <w:sz w:val="28"/>
          <w:szCs w:val="28"/>
          <w:shd w:val="clear" w:fill="FFFFFF"/>
          <w:lang w:val="en-US" w:eastAsia="zh-CN" w:bidi="ar"/>
        </w:rPr>
        <w:t>5个PPI进入重点监控目录，市场或将迎来其他竞品的替代效应</w:t>
      </w:r>
    </w:p>
    <w:p>
      <w:pPr>
        <w:keepNext w:val="0"/>
        <w:keepLines w:val="0"/>
        <w:widowControl/>
        <w:suppressLineNumbers w:val="0"/>
        <w:spacing w:before="0" w:beforeAutospacing="0" w:after="0" w:afterAutospacing="0"/>
        <w:ind w:left="0" w:right="0" w:firstLine="592" w:firstLineChars="200"/>
        <w:jc w:val="left"/>
        <w:rPr>
          <w:rFonts w:hint="eastAsia" w:ascii="宋体" w:hAnsi="宋体" w:eastAsia="宋体" w:cs="宋体"/>
          <w:i w:val="0"/>
          <w:iCs w:val="0"/>
          <w:caps w:val="0"/>
          <w:color w:val="222222"/>
          <w:spacing w:val="8"/>
          <w:kern w:val="0"/>
          <w:sz w:val="28"/>
          <w:szCs w:val="28"/>
          <w:shd w:val="clear" w:fill="FFFFFF"/>
          <w:lang w:val="en-US" w:eastAsia="zh-CN" w:bidi="ar-SA"/>
        </w:rPr>
      </w:pPr>
      <w:r>
        <w:rPr>
          <w:rFonts w:hint="eastAsia" w:ascii="宋体" w:hAnsi="宋体" w:eastAsia="宋体" w:cs="宋体"/>
          <w:i w:val="0"/>
          <w:iCs w:val="0"/>
          <w:caps w:val="0"/>
          <w:color w:val="222222"/>
          <w:spacing w:val="8"/>
          <w:kern w:val="0"/>
          <w:sz w:val="28"/>
          <w:szCs w:val="28"/>
          <w:shd w:val="clear" w:fill="FFFFFF"/>
          <w:lang w:val="en-US" w:eastAsia="zh-CN" w:bidi="ar-SA"/>
        </w:rPr>
        <w:t>第二批目录中，质子泵抑制剂是值得关注的领域，</w:t>
      </w:r>
      <w:r>
        <w:rPr>
          <w:rFonts w:hint="eastAsia" w:ascii="宋体" w:hAnsi="宋体" w:eastAsia="宋体" w:cs="宋体"/>
          <w:i w:val="0"/>
          <w:iCs w:val="0"/>
          <w:caps w:val="0"/>
          <w:color w:val="0080FF"/>
          <w:spacing w:val="30"/>
          <w:kern w:val="0"/>
          <w:sz w:val="28"/>
          <w:szCs w:val="28"/>
          <w:shd w:val="clear" w:fill="FFFFFF"/>
          <w:lang w:val="en-US" w:eastAsia="zh-CN" w:bidi="ar"/>
        </w:rPr>
        <w:t>奥美拉唑、泮托拉唑、艾司奥美拉唑、雷贝拉唑、兰索拉唑</w:t>
      </w:r>
      <w:r>
        <w:rPr>
          <w:rFonts w:hint="eastAsia" w:ascii="宋体" w:hAnsi="宋体" w:eastAsia="宋体" w:cs="宋体"/>
          <w:i w:val="0"/>
          <w:iCs w:val="0"/>
          <w:caps w:val="0"/>
          <w:color w:val="222222"/>
          <w:spacing w:val="8"/>
          <w:kern w:val="0"/>
          <w:sz w:val="28"/>
          <w:szCs w:val="28"/>
          <w:shd w:val="clear" w:fill="FFFFFF"/>
          <w:lang w:val="en-US" w:eastAsia="zh-CN" w:bidi="ar-SA"/>
        </w:rPr>
        <w:t xml:space="preserve">等常见也是易被滥用的PPI悉数纳入重点监控。      </w:t>
      </w:r>
    </w:p>
    <w:p>
      <w:pPr>
        <w:keepNext w:val="0"/>
        <w:keepLines w:val="0"/>
        <w:widowControl/>
        <w:suppressLineNumbers w:val="0"/>
        <w:spacing w:before="0" w:beforeAutospacing="0" w:after="0" w:afterAutospacing="0"/>
        <w:ind w:left="0" w:right="0" w:firstLine="592" w:firstLineChars="200"/>
        <w:jc w:val="left"/>
        <w:rPr>
          <w:rFonts w:hint="eastAsia" w:ascii="宋体" w:hAnsi="宋体" w:eastAsia="宋体" w:cs="宋体"/>
          <w:i w:val="0"/>
          <w:iCs w:val="0"/>
          <w:caps w:val="0"/>
          <w:color w:val="222222"/>
          <w:spacing w:val="8"/>
          <w:kern w:val="0"/>
          <w:sz w:val="28"/>
          <w:szCs w:val="28"/>
          <w:shd w:val="clear" w:fill="FFFFFF"/>
          <w:lang w:val="en-US" w:eastAsia="zh-CN" w:bidi="ar-SA"/>
        </w:rPr>
      </w:pPr>
      <w:r>
        <w:rPr>
          <w:rFonts w:hint="eastAsia" w:ascii="宋体" w:hAnsi="宋体" w:eastAsia="宋体" w:cs="宋体"/>
          <w:i w:val="0"/>
          <w:iCs w:val="0"/>
          <w:caps w:val="0"/>
          <w:color w:val="222222"/>
          <w:spacing w:val="8"/>
          <w:kern w:val="0"/>
          <w:sz w:val="28"/>
          <w:szCs w:val="28"/>
          <w:shd w:val="clear" w:fill="FFFFFF"/>
          <w:lang w:val="en-US" w:eastAsia="zh-CN" w:bidi="ar-SA"/>
        </w:rPr>
        <w:t>这些品种同样要么纳入国采，那么进入地方集采，PPI是纳入地方集采频次最高的品种，其中，兰索拉唑、雷贝拉唑进入10个省市、泮托拉唑进入9 个省市、艾司奥美拉唑、奥美拉唑进入 8 省市。</w:t>
      </w:r>
    </w:p>
    <w:p>
      <w:pPr>
        <w:keepNext w:val="0"/>
        <w:keepLines w:val="0"/>
        <w:widowControl/>
        <w:suppressLineNumbers w:val="0"/>
        <w:spacing w:before="0" w:beforeAutospacing="0" w:after="0" w:afterAutospacing="0"/>
        <w:ind w:left="0" w:right="0" w:firstLine="592" w:firstLineChars="200"/>
        <w:jc w:val="left"/>
        <w:rPr>
          <w:rFonts w:hint="eastAsia" w:ascii="宋体" w:hAnsi="宋体" w:eastAsia="宋体" w:cs="宋体"/>
          <w:i w:val="0"/>
          <w:iCs w:val="0"/>
          <w:caps w:val="0"/>
          <w:color w:val="222222"/>
          <w:spacing w:val="8"/>
          <w:kern w:val="0"/>
          <w:sz w:val="28"/>
          <w:szCs w:val="28"/>
          <w:shd w:val="clear" w:fill="FFFFFF"/>
          <w:lang w:val="en-US" w:eastAsia="zh-CN" w:bidi="ar-SA"/>
        </w:rPr>
      </w:pPr>
      <w:r>
        <w:rPr>
          <w:rFonts w:hint="eastAsia" w:ascii="宋体" w:hAnsi="宋体" w:eastAsia="宋体" w:cs="宋体"/>
          <w:i w:val="0"/>
          <w:iCs w:val="0"/>
          <w:caps w:val="0"/>
          <w:color w:val="222222"/>
          <w:spacing w:val="8"/>
          <w:kern w:val="0"/>
          <w:sz w:val="28"/>
          <w:szCs w:val="28"/>
          <w:shd w:val="clear" w:fill="FFFFFF"/>
          <w:lang w:val="en-US" w:eastAsia="zh-CN" w:bidi="ar-SA"/>
        </w:rPr>
        <w:t>PPI药物临床需求量大，其用药市场占消化性溃疡用药市场近40%的份额，PPI整体市场规模超过200亿元，药店也有25亿元的规模。</w:t>
      </w:r>
    </w:p>
    <w:p>
      <w:pPr>
        <w:keepNext w:val="0"/>
        <w:keepLines w:val="0"/>
        <w:widowControl/>
        <w:suppressLineNumbers w:val="0"/>
        <w:spacing w:before="0" w:beforeAutospacing="0" w:after="0" w:afterAutospacing="0"/>
        <w:ind w:left="0" w:right="0" w:firstLine="592" w:firstLineChars="200"/>
        <w:jc w:val="left"/>
        <w:rPr>
          <w:rFonts w:hint="eastAsia" w:ascii="宋体" w:hAnsi="宋体" w:eastAsia="宋体" w:cs="宋体"/>
          <w:sz w:val="28"/>
          <w:szCs w:val="28"/>
        </w:rPr>
      </w:pPr>
      <w:r>
        <w:rPr>
          <w:rFonts w:hint="eastAsia" w:ascii="宋体" w:hAnsi="宋体" w:eastAsia="宋体" w:cs="宋体"/>
          <w:i w:val="0"/>
          <w:iCs w:val="0"/>
          <w:caps w:val="0"/>
          <w:color w:val="222222"/>
          <w:spacing w:val="8"/>
          <w:kern w:val="0"/>
          <w:sz w:val="28"/>
          <w:szCs w:val="28"/>
          <w:shd w:val="clear" w:fill="FFFFFF"/>
          <w:lang w:val="en-US" w:eastAsia="zh-CN" w:bidi="ar-SA"/>
        </w:rPr>
        <w:t>主流PPI纳入重点监控，或是其他PPI竞品的替代大潮。值得关注的品种有</w:t>
      </w:r>
      <w:r>
        <w:rPr>
          <w:rFonts w:hint="eastAsia" w:ascii="宋体" w:hAnsi="宋体" w:eastAsia="宋体" w:cs="宋体"/>
          <w:i w:val="0"/>
          <w:iCs w:val="0"/>
          <w:caps w:val="0"/>
          <w:color w:val="0080FF"/>
          <w:spacing w:val="30"/>
          <w:kern w:val="0"/>
          <w:sz w:val="28"/>
          <w:szCs w:val="28"/>
          <w:shd w:val="clear" w:fill="FFFFFF"/>
          <w:lang w:val="en-US" w:eastAsia="zh-CN" w:bidi="ar"/>
        </w:rPr>
        <w:t>艾普拉唑、右兰索拉唑、替戈拉生及伏诺拉生。</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420" w:lineRule="atLeast"/>
        <w:ind w:left="0" w:right="0" w:firstLine="680" w:firstLineChars="200"/>
        <w:jc w:val="both"/>
        <w:rPr>
          <w:rFonts w:hint="eastAsia" w:ascii="宋体" w:hAnsi="宋体" w:eastAsia="宋体" w:cs="宋体"/>
          <w:i w:val="0"/>
          <w:iCs w:val="0"/>
          <w:caps w:val="0"/>
          <w:color w:val="222222"/>
          <w:spacing w:val="8"/>
          <w:kern w:val="0"/>
          <w:sz w:val="28"/>
          <w:szCs w:val="28"/>
          <w:shd w:val="clear" w:fill="FFFFFF"/>
          <w:lang w:val="en-US" w:eastAsia="zh-CN" w:bidi="ar-SA"/>
        </w:rPr>
      </w:pPr>
      <w:r>
        <w:rPr>
          <w:rFonts w:hint="eastAsia" w:ascii="宋体" w:hAnsi="宋体" w:eastAsia="宋体" w:cs="宋体"/>
          <w:i w:val="0"/>
          <w:iCs w:val="0"/>
          <w:caps w:val="0"/>
          <w:color w:val="0080FF"/>
          <w:spacing w:val="30"/>
          <w:sz w:val="28"/>
          <w:szCs w:val="28"/>
          <w:shd w:val="clear" w:fill="FFFFFF"/>
        </w:rPr>
        <w:t>艾普拉唑</w:t>
      </w:r>
      <w:r>
        <w:rPr>
          <w:rFonts w:hint="eastAsia" w:ascii="宋体" w:hAnsi="宋体" w:eastAsia="宋体" w:cs="宋体"/>
          <w:i w:val="0"/>
          <w:iCs w:val="0"/>
          <w:caps w:val="0"/>
          <w:color w:val="222222"/>
          <w:spacing w:val="8"/>
          <w:kern w:val="0"/>
          <w:sz w:val="28"/>
          <w:szCs w:val="28"/>
          <w:shd w:val="clear" w:fill="FFFFFF"/>
          <w:lang w:val="en-US" w:eastAsia="zh-CN" w:bidi="ar-SA"/>
        </w:rPr>
        <w:t>为丽珠独家品种，2017年进入医保目录，销量连年上升，2020年达17.7亿。值得一提的是，丽珠的鼠神经生长因子在进入第一批重点监控目录后销量受损，而第二批目录出台之后，或因为PPI主流品种的纳入而间接获益。</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420" w:lineRule="atLeast"/>
        <w:ind w:left="0" w:right="0"/>
        <w:jc w:val="both"/>
        <w:rPr>
          <w:rFonts w:hint="eastAsia" w:ascii="宋体" w:hAnsi="宋体" w:eastAsia="宋体" w:cs="宋体"/>
          <w:sz w:val="28"/>
          <w:szCs w:val="28"/>
        </w:rPr>
      </w:pPr>
      <w:r>
        <w:rPr>
          <w:rFonts w:hint="eastAsia" w:ascii="宋体" w:hAnsi="宋体" w:eastAsia="宋体" w:cs="宋体"/>
          <w:i w:val="0"/>
          <w:iCs w:val="0"/>
          <w:caps w:val="0"/>
          <w:color w:val="0080FF"/>
          <w:spacing w:val="30"/>
          <w:sz w:val="28"/>
          <w:szCs w:val="28"/>
          <w:shd w:val="clear" w:fill="FFFFFF"/>
        </w:rPr>
        <w:t>替戈拉生</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420" w:lineRule="atLeast"/>
        <w:ind w:left="0" w:right="0" w:firstLine="592" w:firstLineChars="200"/>
        <w:jc w:val="both"/>
        <w:rPr>
          <w:rFonts w:hint="eastAsia" w:ascii="宋体" w:hAnsi="宋体" w:eastAsia="宋体" w:cs="宋体"/>
          <w:i w:val="0"/>
          <w:iCs w:val="0"/>
          <w:caps w:val="0"/>
          <w:color w:val="222222"/>
          <w:spacing w:val="8"/>
          <w:kern w:val="0"/>
          <w:sz w:val="28"/>
          <w:szCs w:val="28"/>
          <w:shd w:val="clear" w:fill="FFFFFF"/>
          <w:lang w:val="en-US" w:eastAsia="zh-CN" w:bidi="ar-SA"/>
        </w:rPr>
      </w:pPr>
      <w:r>
        <w:rPr>
          <w:rFonts w:hint="eastAsia" w:ascii="宋体" w:hAnsi="宋体" w:eastAsia="宋体" w:cs="宋体"/>
          <w:i w:val="0"/>
          <w:iCs w:val="0"/>
          <w:caps w:val="0"/>
          <w:color w:val="222222"/>
          <w:spacing w:val="8"/>
          <w:kern w:val="0"/>
          <w:sz w:val="28"/>
          <w:szCs w:val="28"/>
          <w:shd w:val="clear" w:fill="FFFFFF"/>
          <w:lang w:val="en-US" w:eastAsia="zh-CN" w:bidi="ar-SA"/>
        </w:rPr>
        <w:t>替戈拉生是P-CAB，一种钾离子竞争性酸阻滞剂类药物(P-CAB)，用于胃酸相关性疾病，适应症类PPI类药物。罗欣当年从韩国HK inno.N Corporation获得在国内的独家开发、生产和商业化权利。2022年4月在国内获批上市。</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420" w:lineRule="atLeast"/>
        <w:ind w:left="0" w:right="0" w:firstLine="592" w:firstLineChars="200"/>
        <w:jc w:val="both"/>
        <w:rPr>
          <w:rFonts w:hint="eastAsia" w:ascii="宋体" w:hAnsi="宋体" w:eastAsia="宋体" w:cs="宋体"/>
          <w:i w:val="0"/>
          <w:iCs w:val="0"/>
          <w:caps w:val="0"/>
          <w:color w:val="222222"/>
          <w:spacing w:val="8"/>
          <w:kern w:val="0"/>
          <w:sz w:val="28"/>
          <w:szCs w:val="28"/>
          <w:shd w:val="clear" w:fill="FFFFFF"/>
          <w:lang w:val="en-US" w:eastAsia="zh-CN" w:bidi="ar-SA"/>
        </w:rPr>
      </w:pPr>
      <w:r>
        <w:rPr>
          <w:rFonts w:hint="eastAsia" w:ascii="宋体" w:hAnsi="宋体" w:eastAsia="宋体" w:cs="宋体"/>
          <w:i w:val="0"/>
          <w:iCs w:val="0"/>
          <w:caps w:val="0"/>
          <w:color w:val="222222"/>
          <w:spacing w:val="8"/>
          <w:kern w:val="0"/>
          <w:sz w:val="28"/>
          <w:szCs w:val="28"/>
          <w:shd w:val="clear" w:fill="FFFFFF"/>
          <w:lang w:val="en-US" w:eastAsia="zh-CN" w:bidi="ar-SA"/>
        </w:rPr>
        <w:t>P-CAB作为抑酸药市场的新秀，与PPI相比，具有半衰期更长、不需要酸保护、较少出现夜间酸突破等优势，未来有望逐步侵蚀PPI市场规模。</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420" w:lineRule="atLeast"/>
        <w:ind w:left="0" w:right="0"/>
        <w:jc w:val="both"/>
        <w:rPr>
          <w:rFonts w:hint="eastAsia" w:ascii="宋体" w:hAnsi="宋体" w:eastAsia="宋体" w:cs="宋体"/>
          <w:sz w:val="28"/>
          <w:szCs w:val="28"/>
        </w:rPr>
      </w:pPr>
      <w:r>
        <w:rPr>
          <w:rFonts w:hint="eastAsia" w:ascii="宋体" w:hAnsi="宋体" w:eastAsia="宋体" w:cs="宋体"/>
          <w:i w:val="0"/>
          <w:iCs w:val="0"/>
          <w:caps w:val="0"/>
          <w:color w:val="0080FF"/>
          <w:spacing w:val="30"/>
          <w:sz w:val="28"/>
          <w:szCs w:val="28"/>
          <w:shd w:val="clear" w:fill="FFFFFF"/>
        </w:rPr>
        <w:t>伏诺拉生</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420" w:lineRule="atLeast"/>
        <w:ind w:left="0" w:right="0" w:firstLine="592" w:firstLineChars="200"/>
        <w:jc w:val="both"/>
        <w:rPr>
          <w:rFonts w:hint="eastAsia" w:ascii="宋体" w:hAnsi="宋体" w:eastAsia="宋体" w:cs="宋体"/>
          <w:i w:val="0"/>
          <w:iCs w:val="0"/>
          <w:caps w:val="0"/>
          <w:color w:val="222222"/>
          <w:spacing w:val="8"/>
          <w:kern w:val="0"/>
          <w:sz w:val="28"/>
          <w:szCs w:val="28"/>
          <w:shd w:val="clear" w:fill="FFFFFF"/>
          <w:lang w:val="en-US" w:eastAsia="zh-CN" w:bidi="ar-SA"/>
        </w:rPr>
      </w:pPr>
      <w:r>
        <w:rPr>
          <w:rFonts w:hint="eastAsia" w:ascii="宋体" w:hAnsi="宋体" w:eastAsia="宋体" w:cs="宋体"/>
          <w:i w:val="0"/>
          <w:iCs w:val="0"/>
          <w:caps w:val="0"/>
          <w:color w:val="222222"/>
          <w:spacing w:val="8"/>
          <w:kern w:val="0"/>
          <w:sz w:val="28"/>
          <w:szCs w:val="28"/>
          <w:shd w:val="clear" w:fill="FFFFFF"/>
          <w:lang w:val="en-US" w:eastAsia="zh-CN" w:bidi="ar-SA"/>
        </w:rPr>
        <w:t>类似的药物还有武田的伏诺拉生，2019年12月18日获批上市，2020年底，伏诺拉生片通过国谈进入医保目录。</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420" w:lineRule="atLeast"/>
        <w:ind w:left="0" w:right="0" w:firstLine="592" w:firstLineChars="200"/>
        <w:jc w:val="both"/>
        <w:rPr>
          <w:rFonts w:hint="eastAsia" w:ascii="宋体" w:hAnsi="宋体" w:eastAsia="宋体" w:cs="宋体"/>
          <w:i w:val="0"/>
          <w:iCs w:val="0"/>
          <w:caps w:val="0"/>
          <w:color w:val="222222"/>
          <w:spacing w:val="8"/>
          <w:kern w:val="0"/>
          <w:sz w:val="28"/>
          <w:szCs w:val="28"/>
          <w:shd w:val="clear" w:fill="FFFFFF"/>
          <w:lang w:val="en-US" w:eastAsia="zh-CN" w:bidi="ar-SA"/>
        </w:rPr>
      </w:pPr>
      <w:r>
        <w:rPr>
          <w:rFonts w:hint="eastAsia" w:ascii="宋体" w:hAnsi="宋体" w:eastAsia="宋体" w:cs="宋体"/>
          <w:i w:val="0"/>
          <w:iCs w:val="0"/>
          <w:caps w:val="0"/>
          <w:color w:val="222222"/>
          <w:spacing w:val="8"/>
          <w:kern w:val="0"/>
          <w:sz w:val="28"/>
          <w:szCs w:val="28"/>
          <w:shd w:val="clear" w:fill="FFFFFF"/>
          <w:lang w:val="en-US" w:eastAsia="zh-CN" w:bidi="ar-SA"/>
        </w:rPr>
        <w:t>据相关数据显示，2021年，伏诺拉生片医疗机构销售额达1.57亿元。2022年第一季度，市场表现不俗，已超过去年前三季度销售总额，环比增长了21%，是去年同期的16倍，上升趋势明显，预计2022年销售可达10亿元，前景可观。</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420" w:lineRule="atLeast"/>
        <w:ind w:left="0" w:right="0" w:firstLine="592" w:firstLineChars="200"/>
        <w:jc w:val="both"/>
        <w:rPr>
          <w:rFonts w:hint="eastAsia" w:ascii="宋体" w:hAnsi="宋体" w:eastAsia="宋体" w:cs="宋体"/>
          <w:i w:val="0"/>
          <w:iCs w:val="0"/>
          <w:caps w:val="0"/>
          <w:color w:val="222222"/>
          <w:spacing w:val="8"/>
          <w:kern w:val="0"/>
          <w:sz w:val="28"/>
          <w:szCs w:val="28"/>
          <w:shd w:val="clear" w:fill="FFFFFF"/>
          <w:lang w:val="en-US" w:eastAsia="zh-CN" w:bidi="ar-SA"/>
        </w:rPr>
      </w:pPr>
      <w:r>
        <w:rPr>
          <w:rFonts w:hint="eastAsia" w:ascii="宋体" w:hAnsi="宋体" w:eastAsia="宋体" w:cs="宋体"/>
          <w:i w:val="0"/>
          <w:iCs w:val="0"/>
          <w:caps w:val="0"/>
          <w:color w:val="222222"/>
          <w:spacing w:val="8"/>
          <w:kern w:val="0"/>
          <w:sz w:val="28"/>
          <w:szCs w:val="28"/>
          <w:shd w:val="clear" w:fill="FFFFFF"/>
          <w:lang w:val="en-US" w:eastAsia="zh-CN" w:bidi="ar-SA"/>
        </w:rPr>
        <w:t>目前山东新时代药业为首家获批上市，并2022年07月26日顺利斩获首仿+首家过评。这一品种的双重属性：国谈+首仿，外加PPI的替代效应，市场前景可期。但后续国内还有很多仿制药即将报产上市，后期存在纳入集采的可能，也是不得不考虑的一个问题。</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420" w:lineRule="atLeast"/>
        <w:ind w:left="0" w:right="0"/>
        <w:jc w:val="both"/>
        <w:rPr>
          <w:rFonts w:hint="eastAsia" w:ascii="宋体" w:hAnsi="宋体" w:eastAsia="宋体" w:cs="宋体"/>
          <w:sz w:val="28"/>
          <w:szCs w:val="28"/>
        </w:rPr>
      </w:pPr>
      <w:r>
        <w:rPr>
          <w:rFonts w:hint="eastAsia" w:ascii="宋体" w:hAnsi="宋体" w:eastAsia="宋体" w:cs="宋体"/>
          <w:i w:val="0"/>
          <w:iCs w:val="0"/>
          <w:caps w:val="0"/>
          <w:color w:val="0080FF"/>
          <w:spacing w:val="30"/>
          <w:sz w:val="28"/>
          <w:szCs w:val="28"/>
          <w:shd w:val="clear" w:fill="FFFFFF"/>
        </w:rPr>
        <w:t>右兰索拉唑</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420" w:lineRule="atLeast"/>
        <w:ind w:left="0" w:right="0" w:firstLine="592" w:firstLineChars="200"/>
        <w:jc w:val="both"/>
        <w:rPr>
          <w:rFonts w:hint="eastAsia" w:ascii="宋体" w:hAnsi="宋体" w:eastAsia="宋体" w:cs="宋体"/>
          <w:i w:val="0"/>
          <w:iCs w:val="0"/>
          <w:caps w:val="0"/>
          <w:color w:val="222222"/>
          <w:spacing w:val="8"/>
          <w:kern w:val="0"/>
          <w:sz w:val="28"/>
          <w:szCs w:val="28"/>
          <w:shd w:val="clear" w:fill="FFFFFF"/>
          <w:lang w:val="en-US" w:eastAsia="zh-CN" w:bidi="ar-SA"/>
        </w:rPr>
      </w:pPr>
      <w:r>
        <w:rPr>
          <w:rFonts w:hint="eastAsia" w:ascii="宋体" w:hAnsi="宋体" w:eastAsia="宋体" w:cs="宋体"/>
          <w:i w:val="0"/>
          <w:iCs w:val="0"/>
          <w:caps w:val="0"/>
          <w:color w:val="222222"/>
          <w:spacing w:val="8"/>
          <w:kern w:val="0"/>
          <w:sz w:val="28"/>
          <w:szCs w:val="28"/>
          <w:shd w:val="clear" w:fill="FFFFFF"/>
          <w:lang w:val="en-US" w:eastAsia="zh-CN" w:bidi="ar-SA"/>
        </w:rPr>
        <w:t>右兰索拉唑属兰索拉唑的R-异构体，与左旋体和消旋体相比，右兰索拉唑的抑酸作用更强、更持久。</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420" w:lineRule="atLeast"/>
        <w:ind w:left="0" w:right="0" w:firstLine="592" w:firstLineChars="200"/>
        <w:jc w:val="both"/>
        <w:rPr>
          <w:rFonts w:hint="eastAsia" w:ascii="宋体" w:hAnsi="宋体" w:eastAsia="宋体" w:cs="宋体"/>
          <w:i w:val="0"/>
          <w:iCs w:val="0"/>
          <w:caps w:val="0"/>
          <w:color w:val="222222"/>
          <w:spacing w:val="8"/>
          <w:kern w:val="0"/>
          <w:sz w:val="28"/>
          <w:szCs w:val="28"/>
          <w:shd w:val="clear" w:fill="FFFFFF"/>
          <w:lang w:val="en-US" w:eastAsia="zh-CN" w:bidi="ar-SA"/>
        </w:rPr>
      </w:pPr>
      <w:r>
        <w:rPr>
          <w:rFonts w:hint="eastAsia" w:ascii="宋体" w:hAnsi="宋体" w:eastAsia="宋体" w:cs="宋体"/>
          <w:i w:val="0"/>
          <w:iCs w:val="0"/>
          <w:caps w:val="0"/>
          <w:color w:val="222222"/>
          <w:spacing w:val="8"/>
          <w:kern w:val="0"/>
          <w:sz w:val="28"/>
          <w:szCs w:val="28"/>
          <w:shd w:val="clear" w:fill="FFFFFF"/>
          <w:lang w:val="en-US" w:eastAsia="zh-CN" w:bidi="ar-SA"/>
        </w:rPr>
        <w:t>目前盛禾（中国）制药于2022年12月8日获批上市，而奥赛康也有望于2023年获批成为第二家。</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420" w:lineRule="atLeast"/>
        <w:ind w:left="0" w:right="0" w:firstLine="592" w:firstLineChars="200"/>
        <w:jc w:val="both"/>
        <w:rPr>
          <w:rFonts w:hint="eastAsia" w:ascii="宋体" w:hAnsi="宋体" w:eastAsia="宋体" w:cs="宋体"/>
          <w:i w:val="0"/>
          <w:iCs w:val="0"/>
          <w:caps w:val="0"/>
          <w:color w:val="222222"/>
          <w:spacing w:val="0"/>
          <w:sz w:val="28"/>
          <w:szCs w:val="28"/>
        </w:rPr>
      </w:pPr>
      <w:r>
        <w:rPr>
          <w:rFonts w:hint="eastAsia" w:ascii="宋体" w:hAnsi="宋体" w:eastAsia="宋体" w:cs="宋体"/>
          <w:i w:val="0"/>
          <w:iCs w:val="0"/>
          <w:caps w:val="0"/>
          <w:color w:val="222222"/>
          <w:spacing w:val="8"/>
          <w:kern w:val="0"/>
          <w:sz w:val="28"/>
          <w:szCs w:val="28"/>
          <w:shd w:val="clear" w:fill="FFFFFF"/>
          <w:lang w:val="en-US" w:eastAsia="zh-CN" w:bidi="ar-SA"/>
        </w:rPr>
        <w:t>主流的PPI品种都已经纳入重点监控，并进入集采。剩下“非主流”的PPI或将在这些品种被监控后“腾空间”，迎来一定的发展机遇。</w:t>
      </w:r>
    </w:p>
    <w:p>
      <w:pPr>
        <w:keepNext w:val="0"/>
        <w:keepLines w:val="0"/>
        <w:widowControl/>
        <w:suppressLineNumbers w:val="0"/>
        <w:spacing w:before="0" w:beforeAutospacing="0" w:after="0" w:afterAutospacing="0"/>
        <w:ind w:left="0" w:right="0"/>
        <w:jc w:val="left"/>
        <w:rPr>
          <w:rFonts w:hint="eastAsia" w:ascii="宋体" w:hAnsi="宋体" w:eastAsia="宋体" w:cs="宋体"/>
          <w:i w:val="0"/>
          <w:iCs w:val="0"/>
          <w:caps w:val="0"/>
          <w:color w:val="FF6827"/>
          <w:spacing w:val="30"/>
          <w:kern w:val="0"/>
          <w:sz w:val="28"/>
          <w:szCs w:val="28"/>
          <w:shd w:val="clear" w:fill="FFFFFF"/>
          <w:lang w:val="en-US" w:eastAsia="zh-CN" w:bidi="ar"/>
        </w:rPr>
      </w:pPr>
      <w:r>
        <w:rPr>
          <w:rFonts w:hint="eastAsia" w:ascii="宋体" w:hAnsi="宋体" w:eastAsia="宋体" w:cs="宋体"/>
          <w:i w:val="0"/>
          <w:iCs w:val="0"/>
          <w:caps w:val="0"/>
          <w:color w:val="FF6827"/>
          <w:spacing w:val="30"/>
          <w:kern w:val="0"/>
          <w:sz w:val="28"/>
          <w:szCs w:val="28"/>
          <w:shd w:val="clear" w:fill="FFFFFF"/>
          <w:lang w:val="en-US" w:eastAsia="zh-CN" w:bidi="ar"/>
        </w:rPr>
        <w:t>地佐辛纳入目录，后续销量可能会受到影响</w:t>
      </w:r>
    </w:p>
    <w:p>
      <w:pPr>
        <w:keepNext w:val="0"/>
        <w:keepLines w:val="0"/>
        <w:widowControl/>
        <w:suppressLineNumbers w:val="0"/>
        <w:spacing w:before="0" w:beforeAutospacing="0" w:after="0" w:afterAutospacing="0"/>
        <w:ind w:left="0" w:right="0" w:firstLine="592" w:firstLineChars="200"/>
        <w:jc w:val="left"/>
        <w:rPr>
          <w:rFonts w:hint="eastAsia" w:ascii="宋体" w:hAnsi="宋体" w:eastAsia="宋体" w:cs="宋体"/>
          <w:i w:val="0"/>
          <w:iCs w:val="0"/>
          <w:caps w:val="0"/>
          <w:color w:val="FF6827"/>
          <w:spacing w:val="30"/>
          <w:kern w:val="0"/>
          <w:sz w:val="28"/>
          <w:szCs w:val="28"/>
          <w:shd w:val="clear" w:fill="FFFFFF"/>
          <w:lang w:val="en-US" w:eastAsia="zh-CN" w:bidi="ar"/>
        </w:rPr>
      </w:pPr>
      <w:r>
        <w:rPr>
          <w:rFonts w:hint="eastAsia" w:ascii="宋体" w:hAnsi="宋体" w:eastAsia="宋体" w:cs="宋体"/>
          <w:i w:val="0"/>
          <w:iCs w:val="0"/>
          <w:caps w:val="0"/>
          <w:color w:val="222222"/>
          <w:spacing w:val="8"/>
          <w:kern w:val="0"/>
          <w:sz w:val="28"/>
          <w:szCs w:val="28"/>
          <w:shd w:val="clear" w:fill="FFFFFF"/>
          <w:lang w:val="en-US" w:eastAsia="zh-CN" w:bidi="ar-SA"/>
        </w:rPr>
        <w:t>而地佐辛纳入其中，和第一批的神经节苷脂类似，都是药企当家的超级大品种，经过2年多市场监控，后者销量销量下降不少，但仍然留在目录中继续接受监控。所以，对照之下，地佐辛的销量也很可能受到影响。</w:t>
      </w:r>
      <w:r>
        <w:rPr>
          <w:rFonts w:hint="eastAsia" w:ascii="宋体" w:hAnsi="宋体" w:eastAsia="宋体" w:cs="宋体"/>
          <w:i w:val="0"/>
          <w:iCs w:val="0"/>
          <w:caps w:val="0"/>
          <w:color w:val="222222"/>
          <w:spacing w:val="30"/>
          <w:kern w:val="0"/>
          <w:sz w:val="28"/>
          <w:szCs w:val="28"/>
          <w:shd w:val="clear" w:fill="FFFFFF"/>
          <w:lang w:val="en-US" w:eastAsia="zh-CN" w:bidi="ar"/>
        </w:rPr>
        <w:br w:type="textWrapping"/>
      </w:r>
      <w:r>
        <w:rPr>
          <w:rFonts w:hint="eastAsia" w:ascii="宋体" w:hAnsi="宋体" w:eastAsia="宋体" w:cs="宋体"/>
          <w:i w:val="0"/>
          <w:iCs w:val="0"/>
          <w:caps w:val="0"/>
          <w:color w:val="FF6827"/>
          <w:spacing w:val="30"/>
          <w:kern w:val="0"/>
          <w:sz w:val="28"/>
          <w:szCs w:val="28"/>
          <w:shd w:val="clear" w:fill="FFFFFF"/>
          <w:lang w:val="en-US" w:eastAsia="zh-CN" w:bidi="ar"/>
        </w:rPr>
        <w:t>银杏叶提取物纳入重点监控，口服剂型进入各地中成药集采</w:t>
      </w:r>
    </w:p>
    <w:p>
      <w:pPr>
        <w:keepNext w:val="0"/>
        <w:keepLines w:val="0"/>
        <w:widowControl/>
        <w:suppressLineNumbers w:val="0"/>
        <w:spacing w:before="0" w:beforeAutospacing="0" w:after="0" w:afterAutospacing="0"/>
        <w:ind w:left="0" w:right="0" w:firstLine="592" w:firstLineChars="200"/>
        <w:jc w:val="left"/>
        <w:rPr>
          <w:rFonts w:hint="eastAsia" w:ascii="宋体" w:hAnsi="宋体" w:eastAsia="宋体" w:cs="宋体"/>
          <w:i w:val="0"/>
          <w:iCs w:val="0"/>
          <w:caps w:val="0"/>
          <w:color w:val="222222"/>
          <w:spacing w:val="8"/>
          <w:kern w:val="0"/>
          <w:sz w:val="28"/>
          <w:szCs w:val="28"/>
          <w:shd w:val="clear" w:fill="FFFFFF"/>
          <w:lang w:val="en-US" w:eastAsia="zh-CN" w:bidi="ar-SA"/>
        </w:rPr>
      </w:pPr>
      <w:r>
        <w:rPr>
          <w:rFonts w:hint="eastAsia" w:ascii="宋体" w:hAnsi="宋体" w:eastAsia="宋体" w:cs="宋体"/>
          <w:i w:val="0"/>
          <w:iCs w:val="0"/>
          <w:caps w:val="0"/>
          <w:color w:val="222222"/>
          <w:spacing w:val="8"/>
          <w:kern w:val="0"/>
          <w:sz w:val="28"/>
          <w:szCs w:val="28"/>
          <w:shd w:val="clear" w:fill="FFFFFF"/>
          <w:lang w:val="en-US" w:eastAsia="zh-CN" w:bidi="ar-SA"/>
        </w:rPr>
        <w:t>此外，银杏叶提取物也纳入到重点监控目录中，银杏叶的注册批件有些特殊，如果是提取物注射剂，属于化学批件，如果是口服剂型，则是中成药。银杏叶口服制剂目前已经进入到湖北19省联盟、广东6省联盟、山东、北京等中成药集采。</w:t>
      </w:r>
    </w:p>
    <w:p>
      <w:pPr>
        <w:keepNext w:val="0"/>
        <w:keepLines w:val="0"/>
        <w:widowControl/>
        <w:suppressLineNumbers w:val="0"/>
        <w:spacing w:before="0" w:beforeAutospacing="0" w:after="0" w:afterAutospacing="0"/>
        <w:ind w:left="0" w:right="0" w:firstLine="680" w:firstLineChars="200"/>
        <w:jc w:val="left"/>
        <w:rPr>
          <w:rFonts w:hint="eastAsia" w:ascii="宋体" w:hAnsi="宋体" w:eastAsia="宋体" w:cs="宋体"/>
          <w:i w:val="0"/>
          <w:iCs w:val="0"/>
          <w:caps w:val="0"/>
          <w:color w:val="FF6827"/>
          <w:spacing w:val="30"/>
          <w:kern w:val="0"/>
          <w:sz w:val="28"/>
          <w:szCs w:val="28"/>
          <w:shd w:val="clear" w:fill="FFFFFF"/>
          <w:lang w:val="en-US" w:eastAsia="zh-CN" w:bidi="ar"/>
        </w:rPr>
      </w:pPr>
      <w:r>
        <w:rPr>
          <w:rFonts w:hint="eastAsia" w:ascii="宋体" w:hAnsi="宋体" w:eastAsia="宋体" w:cs="宋体"/>
          <w:i w:val="0"/>
          <w:iCs w:val="0"/>
          <w:caps w:val="0"/>
          <w:color w:val="FF6827"/>
          <w:spacing w:val="30"/>
          <w:kern w:val="0"/>
          <w:sz w:val="28"/>
          <w:szCs w:val="28"/>
          <w:shd w:val="clear" w:fill="FFFFFF"/>
          <w:lang w:val="en-US" w:eastAsia="zh-CN" w:bidi="ar"/>
        </w:rPr>
        <w:t>重点监控目录是一种“负面清单”</w:t>
      </w:r>
    </w:p>
    <w:p>
      <w:pPr>
        <w:keepNext w:val="0"/>
        <w:keepLines w:val="0"/>
        <w:widowControl/>
        <w:suppressLineNumbers w:val="0"/>
        <w:spacing w:before="0" w:beforeAutospacing="0" w:after="0" w:afterAutospacing="0"/>
        <w:ind w:left="0" w:right="0" w:firstLine="592" w:firstLineChars="200"/>
        <w:jc w:val="left"/>
        <w:rPr>
          <w:rFonts w:hint="eastAsia" w:ascii="宋体" w:hAnsi="宋体" w:eastAsia="宋体" w:cs="宋体"/>
          <w:i w:val="0"/>
          <w:iCs w:val="0"/>
          <w:caps w:val="0"/>
          <w:color w:val="222222"/>
          <w:spacing w:val="8"/>
          <w:kern w:val="0"/>
          <w:sz w:val="28"/>
          <w:szCs w:val="28"/>
          <w:shd w:val="clear" w:fill="FFFFFF"/>
          <w:lang w:val="en-US" w:eastAsia="zh-CN" w:bidi="ar-SA"/>
        </w:rPr>
      </w:pPr>
      <w:r>
        <w:rPr>
          <w:rFonts w:hint="eastAsia" w:ascii="宋体" w:hAnsi="宋体" w:eastAsia="宋体" w:cs="宋体"/>
          <w:i w:val="0"/>
          <w:iCs w:val="0"/>
          <w:caps w:val="0"/>
          <w:color w:val="222222"/>
          <w:spacing w:val="8"/>
          <w:kern w:val="0"/>
          <w:sz w:val="28"/>
          <w:szCs w:val="28"/>
          <w:shd w:val="clear" w:fill="FFFFFF"/>
          <w:lang w:val="en-US" w:eastAsia="zh-CN" w:bidi="ar-SA"/>
        </w:rPr>
        <w:t>对于药企而言，重点监控目录是一种负面清单，通过监管，相关产品的临床使用大概率会受到影响。企业应加强对负面清单的管理，做好规范销售、合理用药。国家通过一系列的综合整治，很多临床不合理使用甚至滥用的情况将大大减少，而企业也应审时度势、调整心态，做好相应的后续工作。</w:t>
      </w:r>
    </w:p>
    <w:p>
      <w:pPr>
        <w:keepNext w:val="0"/>
        <w:keepLines w:val="0"/>
        <w:widowControl/>
        <w:suppressLineNumbers w:val="0"/>
        <w:spacing w:before="0" w:beforeAutospacing="0" w:after="0" w:afterAutospacing="0"/>
        <w:ind w:left="0" w:right="0" w:firstLine="680" w:firstLineChars="200"/>
        <w:jc w:val="left"/>
        <w:rPr>
          <w:rFonts w:hint="eastAsia" w:ascii="宋体" w:hAnsi="宋体" w:eastAsia="宋体" w:cs="宋体"/>
          <w:i w:val="0"/>
          <w:iCs w:val="0"/>
          <w:caps w:val="0"/>
          <w:color w:val="FF6827"/>
          <w:spacing w:val="30"/>
          <w:kern w:val="0"/>
          <w:sz w:val="28"/>
          <w:szCs w:val="28"/>
          <w:shd w:val="clear" w:fill="FFFFFF"/>
          <w:lang w:val="en-US" w:eastAsia="zh-CN" w:bidi="ar"/>
        </w:rPr>
      </w:pPr>
      <w:r>
        <w:rPr>
          <w:rFonts w:hint="eastAsia" w:ascii="宋体" w:hAnsi="宋体" w:eastAsia="宋体" w:cs="宋体"/>
          <w:i w:val="0"/>
          <w:iCs w:val="0"/>
          <w:caps w:val="0"/>
          <w:color w:val="FF6827"/>
          <w:spacing w:val="30"/>
          <w:kern w:val="0"/>
          <w:sz w:val="28"/>
          <w:szCs w:val="28"/>
          <w:shd w:val="clear" w:fill="FFFFFF"/>
          <w:lang w:val="en-US" w:eastAsia="zh-CN" w:bidi="ar"/>
        </w:rPr>
        <w:t>总体评价</w:t>
      </w:r>
    </w:p>
    <w:p>
      <w:pPr>
        <w:keepNext w:val="0"/>
        <w:keepLines w:val="0"/>
        <w:widowControl/>
        <w:suppressLineNumbers w:val="0"/>
        <w:spacing w:before="0" w:beforeAutospacing="0" w:after="0" w:afterAutospacing="0"/>
        <w:ind w:right="0" w:firstLine="592" w:firstLineChars="200"/>
        <w:jc w:val="left"/>
        <w:rPr>
          <w:rFonts w:hint="eastAsia" w:ascii="宋体" w:hAnsi="宋体" w:eastAsia="宋体" w:cs="宋体"/>
          <w:i w:val="0"/>
          <w:iCs w:val="0"/>
          <w:caps w:val="0"/>
          <w:color w:val="222222"/>
          <w:spacing w:val="8"/>
          <w:kern w:val="0"/>
          <w:sz w:val="28"/>
          <w:szCs w:val="28"/>
          <w:shd w:val="clear" w:fill="FFFFFF"/>
          <w:lang w:val="en-US" w:eastAsia="zh-CN" w:bidi="ar-SA"/>
        </w:rPr>
      </w:pPr>
      <w:r>
        <w:rPr>
          <w:rFonts w:hint="eastAsia" w:ascii="宋体" w:hAnsi="宋体" w:cs="宋体"/>
          <w:i w:val="0"/>
          <w:iCs w:val="0"/>
          <w:caps w:val="0"/>
          <w:color w:val="222222"/>
          <w:spacing w:val="8"/>
          <w:kern w:val="0"/>
          <w:sz w:val="28"/>
          <w:szCs w:val="28"/>
          <w:shd w:val="clear" w:fill="FFFFFF"/>
          <w:lang w:val="en-US" w:eastAsia="zh-CN" w:bidi="ar-SA"/>
        </w:rPr>
        <w:t>1、</w:t>
      </w:r>
      <w:r>
        <w:rPr>
          <w:rFonts w:hint="eastAsia" w:ascii="宋体" w:hAnsi="宋体" w:eastAsia="宋体" w:cs="宋体"/>
          <w:i w:val="0"/>
          <w:iCs w:val="0"/>
          <w:caps w:val="0"/>
          <w:color w:val="222222"/>
          <w:spacing w:val="8"/>
          <w:kern w:val="0"/>
          <w:sz w:val="28"/>
          <w:szCs w:val="28"/>
          <w:shd w:val="clear" w:fill="FFFFFF"/>
          <w:lang w:val="en-US" w:eastAsia="zh-CN" w:bidi="ar-SA"/>
        </w:rPr>
        <w:t>第二批目录数量上超过第一批，并且其中多个超级大品种，30个品种的整体存量大约为600亿元，与第一批基本持平；</w:t>
      </w:r>
      <w:r>
        <w:rPr>
          <w:rFonts w:hint="eastAsia" w:ascii="宋体" w:hAnsi="宋体" w:eastAsia="宋体" w:cs="宋体"/>
          <w:i w:val="0"/>
          <w:iCs w:val="0"/>
          <w:caps w:val="0"/>
          <w:color w:val="222222"/>
          <w:spacing w:val="8"/>
          <w:kern w:val="0"/>
          <w:sz w:val="28"/>
          <w:szCs w:val="28"/>
          <w:shd w:val="clear" w:fill="FFFFFF"/>
          <w:lang w:val="en-US" w:eastAsia="zh-CN" w:bidi="ar-SA"/>
        </w:rPr>
        <w:br w:type="textWrapping"/>
      </w:r>
      <w:r>
        <w:rPr>
          <w:rFonts w:hint="eastAsia" w:ascii="宋体" w:hAnsi="宋体" w:eastAsia="宋体" w:cs="宋体"/>
          <w:i w:val="0"/>
          <w:iCs w:val="0"/>
          <w:caps w:val="0"/>
          <w:color w:val="222222"/>
          <w:spacing w:val="8"/>
          <w:kern w:val="0"/>
          <w:sz w:val="28"/>
          <w:szCs w:val="28"/>
          <w:shd w:val="clear" w:fill="FFFFFF"/>
          <w:lang w:val="en-US" w:eastAsia="zh-CN" w:bidi="ar-SA"/>
        </w:rPr>
        <w:t xml:space="preserve">   2、很多抗生素及PPI已经或正在进入集采，从这一点来看，或许反而对冲了重点监控带来的影响。别老是想着“规避集采”，从第一批的效应看，重点监控对销售的整体影响远远超过集采，毕竟集采至少还有医院使用和采购量的保证；</w:t>
      </w:r>
    </w:p>
    <w:p>
      <w:pPr>
        <w:keepNext w:val="0"/>
        <w:keepLines w:val="0"/>
        <w:widowControl/>
        <w:suppressLineNumbers w:val="0"/>
        <w:spacing w:before="0" w:beforeAutospacing="0" w:after="0" w:afterAutospacing="0"/>
        <w:ind w:left="0" w:right="0" w:firstLine="592" w:firstLineChars="200"/>
        <w:jc w:val="left"/>
        <w:rPr>
          <w:rFonts w:hint="eastAsia" w:ascii="宋体" w:hAnsi="宋体" w:eastAsia="宋体" w:cs="宋体"/>
          <w:i w:val="0"/>
          <w:iCs w:val="0"/>
          <w:caps w:val="0"/>
          <w:color w:val="222222"/>
          <w:spacing w:val="8"/>
          <w:kern w:val="0"/>
          <w:sz w:val="28"/>
          <w:szCs w:val="28"/>
          <w:shd w:val="clear" w:fill="FFFFFF"/>
          <w:lang w:val="en-US" w:eastAsia="zh-CN" w:bidi="ar-SA"/>
        </w:rPr>
      </w:pPr>
      <w:r>
        <w:rPr>
          <w:rFonts w:hint="eastAsia" w:ascii="宋体" w:hAnsi="宋体" w:eastAsia="宋体" w:cs="宋体"/>
          <w:i w:val="0"/>
          <w:iCs w:val="0"/>
          <w:caps w:val="0"/>
          <w:color w:val="222222"/>
          <w:spacing w:val="8"/>
          <w:kern w:val="0"/>
          <w:sz w:val="28"/>
          <w:szCs w:val="28"/>
          <w:shd w:val="clear" w:fill="FFFFFF"/>
          <w:lang w:val="en-US" w:eastAsia="zh-CN" w:bidi="ar-SA"/>
        </w:rPr>
        <w:t>3、基于第二点原因，集采的对冲效应，第二批目录对市场格局的影响或许没有第一批那样大；</w:t>
      </w:r>
    </w:p>
    <w:p>
      <w:pPr>
        <w:keepNext w:val="0"/>
        <w:keepLines w:val="0"/>
        <w:widowControl/>
        <w:suppressLineNumbers w:val="0"/>
        <w:spacing w:before="0" w:beforeAutospacing="0" w:after="0" w:afterAutospacing="0"/>
        <w:ind w:left="0" w:right="0" w:firstLine="592" w:firstLineChars="200"/>
        <w:jc w:val="left"/>
        <w:rPr>
          <w:rFonts w:hint="eastAsia" w:ascii="宋体" w:hAnsi="宋体" w:eastAsia="宋体" w:cs="宋体"/>
          <w:i w:val="0"/>
          <w:iCs w:val="0"/>
          <w:caps w:val="0"/>
          <w:color w:val="222222"/>
          <w:spacing w:val="8"/>
          <w:kern w:val="0"/>
          <w:sz w:val="28"/>
          <w:szCs w:val="28"/>
          <w:shd w:val="clear" w:fill="FFFFFF"/>
          <w:lang w:val="en-US" w:eastAsia="zh-CN" w:bidi="ar-SA"/>
        </w:rPr>
      </w:pPr>
      <w:r>
        <w:rPr>
          <w:rFonts w:hint="eastAsia" w:ascii="宋体" w:hAnsi="宋体" w:eastAsia="宋体" w:cs="宋体"/>
          <w:i w:val="0"/>
          <w:iCs w:val="0"/>
          <w:caps w:val="0"/>
          <w:color w:val="222222"/>
          <w:spacing w:val="8"/>
          <w:kern w:val="0"/>
          <w:sz w:val="28"/>
          <w:szCs w:val="28"/>
          <w:shd w:val="clear" w:fill="FFFFFF"/>
          <w:lang w:val="en-US" w:eastAsia="zh-CN" w:bidi="ar-SA"/>
        </w:rPr>
        <w:t>4、对目录内的品种重点监控，必然或带来目录外另一批品种的替代、崛起，PPI的替代效应值得关注。</w:t>
      </w:r>
    </w:p>
    <w:p>
      <w:pPr>
        <w:keepNext w:val="0"/>
        <w:keepLines w:val="0"/>
        <w:widowControl/>
        <w:suppressLineNumbers w:val="0"/>
        <w:spacing w:before="0" w:beforeAutospacing="0" w:after="0" w:afterAutospacing="0"/>
        <w:ind w:left="0" w:right="0" w:firstLine="592" w:firstLineChars="200"/>
        <w:jc w:val="left"/>
        <w:rPr>
          <w:rFonts w:hint="eastAsia" w:ascii="宋体" w:hAnsi="宋体" w:eastAsia="宋体" w:cs="宋体"/>
          <w:i w:val="0"/>
          <w:iCs w:val="0"/>
          <w:caps w:val="0"/>
          <w:color w:val="222222"/>
          <w:spacing w:val="8"/>
          <w:kern w:val="0"/>
          <w:sz w:val="28"/>
          <w:szCs w:val="28"/>
          <w:shd w:val="clear" w:fill="FFFFFF"/>
          <w:lang w:val="en-US" w:eastAsia="zh-CN" w:bidi="ar-SA"/>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rFonts w:hint="eastAsia" w:ascii="宋体" w:hAnsi="宋体" w:eastAsia="宋体" w:cs="宋体"/>
          <w:b/>
          <w:color w:val="333333"/>
          <w:kern w:val="36"/>
          <w:sz w:val="28"/>
          <w:szCs w:val="28"/>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rFonts w:hint="eastAsia" w:ascii="微软雅黑" w:hAnsi="微软雅黑" w:eastAsia="微软雅黑" w:cs="宋体"/>
          <w:b/>
          <w:color w:val="333333"/>
          <w:kern w:val="36"/>
          <w:sz w:val="24"/>
          <w:szCs w:val="24"/>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rFonts w:hint="eastAsia" w:ascii="微软雅黑" w:hAnsi="微软雅黑" w:eastAsia="微软雅黑" w:cs="宋体"/>
          <w:b/>
          <w:color w:val="333333"/>
          <w:kern w:val="36"/>
          <w:sz w:val="24"/>
          <w:szCs w:val="24"/>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rFonts w:hint="eastAsia" w:ascii="微软雅黑" w:hAnsi="微软雅黑" w:eastAsia="微软雅黑" w:cs="宋体"/>
          <w:b/>
          <w:color w:val="333333"/>
          <w:kern w:val="36"/>
          <w:sz w:val="24"/>
          <w:szCs w:val="24"/>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rFonts w:hint="eastAsia" w:ascii="微软雅黑" w:hAnsi="微软雅黑" w:eastAsia="微软雅黑" w:cs="宋体"/>
          <w:b/>
          <w:color w:val="333333"/>
          <w:kern w:val="36"/>
          <w:sz w:val="24"/>
          <w:szCs w:val="24"/>
        </w:rPr>
      </w:pPr>
    </w:p>
    <w:p>
      <w:pPr>
        <w:rPr>
          <w:rFonts w:hint="eastAsia" w:ascii="微软雅黑" w:hAnsi="微软雅黑" w:eastAsia="微软雅黑" w:cs="宋体"/>
          <w:b/>
          <w:color w:val="333333"/>
          <w:kern w:val="36"/>
          <w:sz w:val="24"/>
          <w:szCs w:val="24"/>
        </w:rPr>
      </w:pPr>
    </w:p>
    <w:p>
      <w:pPr>
        <w:rPr>
          <w:rFonts w:hint="eastAsia" w:ascii="微软雅黑" w:hAnsi="微软雅黑" w:eastAsia="微软雅黑" w:cs="宋体"/>
          <w:b/>
          <w:color w:val="333333"/>
          <w:kern w:val="36"/>
          <w:sz w:val="24"/>
          <w:szCs w:val="24"/>
        </w:rPr>
      </w:pPr>
    </w:p>
    <w:p>
      <w:pPr>
        <w:rPr>
          <w:rFonts w:hint="eastAsia" w:ascii="微软雅黑" w:hAnsi="微软雅黑" w:eastAsia="微软雅黑" w:cs="宋体"/>
          <w:b/>
          <w:color w:val="333333"/>
          <w:kern w:val="36"/>
          <w:sz w:val="24"/>
          <w:szCs w:val="24"/>
        </w:rPr>
      </w:pPr>
    </w:p>
    <w:p>
      <w:pPr>
        <w:rPr>
          <w:rFonts w:hint="eastAsia" w:ascii="微软雅黑" w:hAnsi="微软雅黑" w:eastAsia="微软雅黑" w:cs="宋体"/>
          <w:b/>
          <w:color w:val="333333"/>
          <w:kern w:val="36"/>
          <w:sz w:val="24"/>
          <w:szCs w:val="24"/>
        </w:rPr>
      </w:pPr>
    </w:p>
    <w:p>
      <w:pPr>
        <w:rPr>
          <w:rFonts w:hint="eastAsia" w:ascii="微软雅黑" w:hAnsi="微软雅黑" w:eastAsia="微软雅黑" w:cs="宋体"/>
          <w:b/>
          <w:color w:val="333333"/>
          <w:kern w:val="36"/>
          <w:sz w:val="24"/>
          <w:szCs w:val="24"/>
        </w:rPr>
      </w:pPr>
    </w:p>
    <w:p>
      <w:pPr>
        <w:rPr>
          <w:rFonts w:hint="eastAsia" w:ascii="微软雅黑" w:hAnsi="微软雅黑" w:eastAsia="微软雅黑" w:cs="宋体"/>
          <w:b/>
          <w:color w:val="333333"/>
          <w:kern w:val="36"/>
          <w:sz w:val="24"/>
          <w:szCs w:val="24"/>
        </w:rPr>
      </w:pPr>
    </w:p>
    <w:p>
      <w:pPr>
        <w:rPr>
          <w:rFonts w:hint="eastAsia" w:ascii="微软雅黑" w:hAnsi="微软雅黑" w:eastAsia="微软雅黑" w:cs="宋体"/>
          <w:b/>
          <w:color w:val="333333"/>
          <w:kern w:val="36"/>
          <w:sz w:val="24"/>
          <w:szCs w:val="24"/>
        </w:rPr>
      </w:pPr>
    </w:p>
    <w:p>
      <w:pPr>
        <w:rPr>
          <w:rFonts w:hint="eastAsia" w:ascii="微软雅黑" w:hAnsi="微软雅黑" w:eastAsia="微软雅黑" w:cs="宋体"/>
          <w:b/>
          <w:color w:val="333333"/>
          <w:kern w:val="36"/>
          <w:sz w:val="24"/>
          <w:szCs w:val="24"/>
        </w:rPr>
      </w:pPr>
    </w:p>
    <w:p>
      <w:pPr>
        <w:rPr>
          <w:rFonts w:hint="eastAsia" w:ascii="微软雅黑" w:hAnsi="微软雅黑" w:eastAsia="微软雅黑" w:cs="宋体"/>
          <w:b/>
          <w:color w:val="333333"/>
          <w:kern w:val="36"/>
          <w:sz w:val="24"/>
          <w:szCs w:val="24"/>
        </w:rPr>
      </w:pPr>
    </w:p>
    <w:p>
      <w:pPr>
        <w:rPr>
          <w:rFonts w:hint="eastAsia" w:ascii="微软雅黑" w:hAnsi="微软雅黑" w:eastAsia="微软雅黑" w:cs="宋体"/>
          <w:b/>
          <w:color w:val="333333"/>
          <w:kern w:val="36"/>
          <w:sz w:val="24"/>
          <w:szCs w:val="24"/>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rFonts w:hint="eastAsia" w:ascii="微软雅黑" w:hAnsi="微软雅黑" w:eastAsia="微软雅黑" w:cs="宋体"/>
          <w:b/>
          <w:color w:val="333333"/>
          <w:kern w:val="36"/>
          <w:sz w:val="24"/>
          <w:szCs w:val="24"/>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rFonts w:hint="eastAsia" w:ascii="微软雅黑" w:hAnsi="微软雅黑" w:eastAsia="微软雅黑" w:cs="宋体"/>
          <w:b/>
          <w:color w:val="333333"/>
          <w:kern w:val="36"/>
          <w:sz w:val="24"/>
          <w:szCs w:val="24"/>
          <w:lang w:val="en-US" w:eastAsia="zh-CN"/>
        </w:rPr>
      </w:pPr>
      <w:r>
        <w:rPr>
          <w:rFonts w:hint="eastAsia" w:ascii="微软雅黑" w:hAnsi="微软雅黑" w:eastAsia="微软雅黑" w:cs="宋体"/>
          <w:b/>
          <w:color w:val="333333"/>
          <w:kern w:val="36"/>
          <w:sz w:val="24"/>
          <w:szCs w:val="24"/>
        </w:rPr>
        <w:t>附件</w:t>
      </w:r>
      <w:r>
        <w:rPr>
          <w:rFonts w:hint="eastAsia" w:ascii="微软雅黑" w:hAnsi="微软雅黑" w:eastAsia="微软雅黑" w:cs="宋体"/>
          <w:b/>
          <w:color w:val="333333"/>
          <w:kern w:val="36"/>
          <w:sz w:val="24"/>
          <w:szCs w:val="24"/>
          <w:lang w:val="en-US" w:eastAsia="zh-CN"/>
        </w:rPr>
        <w:t>2</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ascii="Microsoft YaHei UI" w:hAnsi="Microsoft YaHei UI" w:eastAsia="Microsoft YaHei UI" w:cs="Microsoft YaHei UI"/>
          <w:i w:val="0"/>
          <w:iCs w:val="0"/>
          <w:caps w:val="0"/>
          <w:color w:val="222222"/>
          <w:spacing w:val="8"/>
          <w:sz w:val="33"/>
          <w:szCs w:val="33"/>
        </w:rPr>
      </w:pPr>
      <w:r>
        <w:rPr>
          <w:rFonts w:hint="eastAsia" w:ascii="Microsoft YaHei UI" w:hAnsi="Microsoft YaHei UI" w:eastAsia="Microsoft YaHei UI" w:cs="Microsoft YaHei UI"/>
          <w:i w:val="0"/>
          <w:iCs w:val="0"/>
          <w:caps w:val="0"/>
          <w:color w:val="222222"/>
          <w:spacing w:val="8"/>
          <w:sz w:val="33"/>
          <w:szCs w:val="33"/>
          <w:shd w:val="clear" w:fill="FFFFFF"/>
        </w:rPr>
        <w:t>全国医疗保障工作会议明确重点工作</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30" w:afterAutospacing="0" w:line="300" w:lineRule="atLeast"/>
        <w:ind w:left="0" w:right="0" w:firstLine="0"/>
        <w:jc w:val="left"/>
        <w:rPr>
          <w:rFonts w:hint="eastAsia" w:ascii="Microsoft YaHei UI" w:hAnsi="Microsoft YaHei UI" w:eastAsia="Microsoft YaHei UI" w:cs="Microsoft YaHei UI"/>
          <w:i w:val="0"/>
          <w:iCs w:val="0"/>
          <w:caps w:val="0"/>
          <w:color w:val="222222"/>
          <w:spacing w:val="8"/>
          <w:sz w:val="0"/>
          <w:szCs w:val="0"/>
        </w:rPr>
      </w:pPr>
      <w:r>
        <w:rPr>
          <w:rFonts w:hint="eastAsia" w:ascii="Microsoft YaHei UI" w:hAnsi="Microsoft YaHei UI" w:eastAsia="Microsoft YaHei UI" w:cs="Microsoft YaHei UI"/>
          <w:i w:val="0"/>
          <w:iCs w:val="0"/>
          <w:caps w:val="0"/>
          <w:color w:val="222222"/>
          <w:spacing w:val="0"/>
          <w:kern w:val="0"/>
          <w:sz w:val="18"/>
          <w:szCs w:val="18"/>
          <w:shd w:val="clear" w:fill="FFFFFF"/>
          <w:lang w:val="en-US" w:eastAsia="zh-CN" w:bidi="ar"/>
        </w:rPr>
        <w:t>原创</w:t>
      </w:r>
      <w:r>
        <w:rPr>
          <w:rFonts w:hint="eastAsia" w:ascii="Microsoft YaHei UI" w:hAnsi="Microsoft YaHei UI" w:eastAsia="Microsoft YaHei UI" w:cs="Microsoft YaHei UI"/>
          <w:i w:val="0"/>
          <w:iCs w:val="0"/>
          <w:caps w:val="0"/>
          <w:color w:val="222222"/>
          <w:spacing w:val="8"/>
          <w:kern w:val="0"/>
          <w:sz w:val="0"/>
          <w:szCs w:val="0"/>
          <w:shd w:val="clear" w:fill="FFFFFF"/>
          <w:lang w:val="en-US" w:eastAsia="zh-CN" w:bidi="ar"/>
        </w:rPr>
        <w:t> </w:t>
      </w:r>
      <w:r>
        <w:rPr>
          <w:rFonts w:hint="eastAsia" w:ascii="Microsoft YaHei UI" w:hAnsi="Microsoft YaHei UI" w:eastAsia="Microsoft YaHei UI" w:cs="Microsoft YaHei UI"/>
          <w:i w:val="0"/>
          <w:iCs w:val="0"/>
          <w:caps w:val="0"/>
          <w:color w:val="222222"/>
          <w:spacing w:val="8"/>
          <w:kern w:val="0"/>
          <w:sz w:val="22"/>
          <w:szCs w:val="22"/>
          <w:shd w:val="clear" w:fill="FFFFFF"/>
          <w:lang w:val="en-US" w:eastAsia="zh-CN" w:bidi="ar"/>
        </w:rPr>
        <w:t>四喜</w:t>
      </w:r>
      <w:r>
        <w:rPr>
          <w:rFonts w:hint="eastAsia" w:ascii="Microsoft YaHei UI" w:hAnsi="Microsoft YaHei UI" w:eastAsia="Microsoft YaHei UI" w:cs="Microsoft YaHei UI"/>
          <w:i w:val="0"/>
          <w:iCs w:val="0"/>
          <w:caps w:val="0"/>
          <w:color w:val="222222"/>
          <w:spacing w:val="8"/>
          <w:kern w:val="0"/>
          <w:sz w:val="0"/>
          <w:szCs w:val="0"/>
          <w:shd w:val="clear" w:fill="FFFFFF"/>
          <w:lang w:val="en-US" w:eastAsia="zh-CN" w:bidi="ar"/>
        </w:rPr>
        <w:t> </w:t>
      </w:r>
      <w:r>
        <w:rPr>
          <w:rFonts w:hint="eastAsia" w:ascii="Microsoft YaHei UI" w:hAnsi="Microsoft YaHei UI" w:eastAsia="Microsoft YaHei UI" w:cs="Microsoft YaHei UI"/>
          <w:i w:val="0"/>
          <w:iCs w:val="0"/>
          <w:caps w:val="0"/>
          <w:color w:val="576B95"/>
          <w:spacing w:val="8"/>
          <w:kern w:val="0"/>
          <w:sz w:val="22"/>
          <w:szCs w:val="22"/>
          <w:u w:val="none"/>
          <w:shd w:val="clear" w:fill="FFFFFF"/>
          <w:lang w:val="en-US" w:eastAsia="zh-CN" w:bidi="ar"/>
        </w:rPr>
        <w:fldChar w:fldCharType="begin"/>
      </w:r>
      <w:r>
        <w:rPr>
          <w:rFonts w:hint="eastAsia" w:ascii="Microsoft YaHei UI" w:hAnsi="Microsoft YaHei UI" w:eastAsia="Microsoft YaHei UI" w:cs="Microsoft YaHei UI"/>
          <w:i w:val="0"/>
          <w:iCs w:val="0"/>
          <w:caps w:val="0"/>
          <w:color w:val="576B95"/>
          <w:spacing w:val="8"/>
          <w:kern w:val="0"/>
          <w:sz w:val="22"/>
          <w:szCs w:val="22"/>
          <w:u w:val="none"/>
          <w:shd w:val="clear" w:fill="FFFFFF"/>
          <w:lang w:val="en-US" w:eastAsia="zh-CN" w:bidi="ar"/>
        </w:rPr>
        <w:instrText xml:space="preserve"> HYPERLINK "javascript:void(0);" </w:instrText>
      </w:r>
      <w:r>
        <w:rPr>
          <w:rFonts w:hint="eastAsia" w:ascii="Microsoft YaHei UI" w:hAnsi="Microsoft YaHei UI" w:eastAsia="Microsoft YaHei UI" w:cs="Microsoft YaHei UI"/>
          <w:i w:val="0"/>
          <w:iCs w:val="0"/>
          <w:caps w:val="0"/>
          <w:color w:val="576B95"/>
          <w:spacing w:val="8"/>
          <w:kern w:val="0"/>
          <w:sz w:val="22"/>
          <w:szCs w:val="22"/>
          <w:u w:val="none"/>
          <w:shd w:val="clear" w:fill="FFFFFF"/>
          <w:lang w:val="en-US" w:eastAsia="zh-CN" w:bidi="ar"/>
        </w:rPr>
        <w:fldChar w:fldCharType="separate"/>
      </w:r>
      <w:r>
        <w:rPr>
          <w:rStyle w:val="16"/>
          <w:rFonts w:hint="eastAsia" w:ascii="Microsoft YaHei UI" w:hAnsi="Microsoft YaHei UI" w:eastAsia="Microsoft YaHei UI" w:cs="Microsoft YaHei UI"/>
          <w:i w:val="0"/>
          <w:iCs w:val="0"/>
          <w:caps w:val="0"/>
          <w:color w:val="576B95"/>
          <w:spacing w:val="8"/>
          <w:sz w:val="22"/>
          <w:szCs w:val="22"/>
          <w:u w:val="none"/>
          <w:shd w:val="clear" w:fill="FFFFFF"/>
        </w:rPr>
        <w:t>赛柏蓝</w:t>
      </w:r>
      <w:r>
        <w:rPr>
          <w:rFonts w:hint="eastAsia" w:ascii="Microsoft YaHei UI" w:hAnsi="Microsoft YaHei UI" w:eastAsia="Microsoft YaHei UI" w:cs="Microsoft YaHei UI"/>
          <w:i w:val="0"/>
          <w:iCs w:val="0"/>
          <w:caps w:val="0"/>
          <w:color w:val="576B95"/>
          <w:spacing w:val="8"/>
          <w:kern w:val="0"/>
          <w:sz w:val="22"/>
          <w:szCs w:val="22"/>
          <w:u w:val="none"/>
          <w:shd w:val="clear" w:fill="FFFFFF"/>
          <w:lang w:val="en-US" w:eastAsia="zh-CN" w:bidi="ar"/>
        </w:rPr>
        <w:fldChar w:fldCharType="end"/>
      </w:r>
      <w:r>
        <w:rPr>
          <w:rFonts w:hint="eastAsia" w:ascii="Microsoft YaHei UI" w:hAnsi="Microsoft YaHei UI" w:eastAsia="Microsoft YaHei UI" w:cs="Microsoft YaHei UI"/>
          <w:i w:val="0"/>
          <w:iCs w:val="0"/>
          <w:caps w:val="0"/>
          <w:color w:val="222222"/>
          <w:spacing w:val="8"/>
          <w:kern w:val="0"/>
          <w:sz w:val="0"/>
          <w:szCs w:val="0"/>
          <w:shd w:val="clear" w:fill="FFFFFF"/>
          <w:lang w:val="en-US" w:eastAsia="zh-CN" w:bidi="ar"/>
        </w:rPr>
        <w:t> </w:t>
      </w:r>
      <w:r>
        <w:rPr>
          <w:rStyle w:val="15"/>
          <w:rFonts w:hint="eastAsia" w:ascii="Microsoft YaHei UI" w:hAnsi="Microsoft YaHei UI" w:eastAsia="Microsoft YaHei UI" w:cs="Microsoft YaHei UI"/>
          <w:i w:val="0"/>
          <w:iCs w:val="0"/>
          <w:caps w:val="0"/>
          <w:color w:val="222222"/>
          <w:spacing w:val="8"/>
          <w:kern w:val="0"/>
          <w:sz w:val="22"/>
          <w:szCs w:val="22"/>
          <w:shd w:val="clear" w:fill="FFFFFF"/>
          <w:lang w:val="en-US" w:eastAsia="zh-CN" w:bidi="ar"/>
        </w:rPr>
        <w:t>2023-01-28 19:22</w:t>
      </w:r>
      <w:r>
        <w:rPr>
          <w:rFonts w:hint="eastAsia" w:ascii="Microsoft YaHei UI" w:hAnsi="Microsoft YaHei UI" w:eastAsia="Microsoft YaHei UI" w:cs="Microsoft YaHei UI"/>
          <w:i w:val="0"/>
          <w:iCs w:val="0"/>
          <w:caps w:val="0"/>
          <w:color w:val="222222"/>
          <w:spacing w:val="8"/>
          <w:kern w:val="0"/>
          <w:sz w:val="0"/>
          <w:szCs w:val="0"/>
          <w:shd w:val="clear" w:fill="FFFFFF"/>
          <w:lang w:val="en-US" w:eastAsia="zh-CN" w:bidi="ar"/>
        </w:rPr>
        <w:t> </w:t>
      </w:r>
      <w:r>
        <w:rPr>
          <w:rStyle w:val="15"/>
          <w:rFonts w:hint="eastAsia" w:ascii="Microsoft YaHei UI" w:hAnsi="Microsoft YaHei UI" w:eastAsia="Microsoft YaHei UI" w:cs="Microsoft YaHei UI"/>
          <w:i w:val="0"/>
          <w:iCs w:val="0"/>
          <w:caps w:val="0"/>
          <w:color w:val="222222"/>
          <w:spacing w:val="8"/>
          <w:kern w:val="0"/>
          <w:sz w:val="22"/>
          <w:szCs w:val="22"/>
          <w:shd w:val="clear" w:fill="FFFFFF"/>
          <w:lang w:val="en-US" w:eastAsia="zh-CN" w:bidi="ar"/>
        </w:rPr>
        <w:t>发表于北京</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592" w:firstLineChars="200"/>
        <w:jc w:val="both"/>
        <w:rPr>
          <w:rFonts w:hint="eastAsia" w:ascii="Microsoft YaHei UI" w:hAnsi="Microsoft YaHei UI" w:eastAsia="Microsoft YaHei UI" w:cs="Microsoft YaHei UI"/>
          <w:color w:val="222222"/>
          <w:spacing w:val="8"/>
        </w:rPr>
      </w:pPr>
      <w:r>
        <w:rPr>
          <w:rFonts w:hint="eastAsia" w:ascii="宋体" w:hAnsi="宋体" w:eastAsia="宋体" w:cs="宋体"/>
          <w:i w:val="0"/>
          <w:iCs w:val="0"/>
          <w:caps w:val="0"/>
          <w:color w:val="000000"/>
          <w:spacing w:val="8"/>
          <w:sz w:val="28"/>
          <w:szCs w:val="28"/>
          <w:shd w:val="clear" w:fill="FFFFFF"/>
        </w:rPr>
        <w:t>2023是中国市场向“后疫情”时代转变的关键之年，也是医药健康行业重塑、企业转型升级的重要窗口期。</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592" w:firstLineChars="200"/>
        <w:jc w:val="both"/>
        <w:rPr>
          <w:rFonts w:hint="eastAsia" w:ascii="宋体" w:hAnsi="宋体" w:eastAsia="宋体" w:cs="宋体"/>
          <w:color w:val="222222"/>
          <w:spacing w:val="8"/>
          <w:sz w:val="28"/>
          <w:szCs w:val="28"/>
        </w:rPr>
      </w:pPr>
      <w:r>
        <w:rPr>
          <w:rFonts w:hint="eastAsia" w:ascii="宋体" w:hAnsi="宋体" w:eastAsia="宋体" w:cs="宋体"/>
          <w:i w:val="0"/>
          <w:iCs w:val="0"/>
          <w:caps w:val="0"/>
          <w:color w:val="000000"/>
          <w:spacing w:val="8"/>
          <w:sz w:val="28"/>
          <w:szCs w:val="28"/>
          <w:shd w:val="clear" w:fill="FFFFFF"/>
        </w:rPr>
        <w:t>关于2023年中国医药健康行业发展趋势，罗兰贝格发布的中国行业趋势报告分析提到几点，其中三点是：</w:t>
      </w:r>
      <w:r>
        <w:rPr>
          <w:rStyle w:val="14"/>
          <w:rFonts w:hint="eastAsia" w:ascii="宋体" w:hAnsi="宋体" w:eastAsia="宋体" w:cs="宋体"/>
          <w:i w:val="0"/>
          <w:iCs w:val="0"/>
          <w:caps w:val="0"/>
          <w:color w:val="0A6EBF"/>
          <w:spacing w:val="8"/>
          <w:sz w:val="28"/>
          <w:szCs w:val="28"/>
          <w:shd w:val="clear" w:fill="FFFFFF"/>
        </w:rPr>
        <w:t>一带量采购政策趋于稳定，领先企业将从产品创新和渠道拓展等维度寻找破局；二医疗新基建与贴息贷款政策持续加码，推动医疗设备市场需求持续高企；三医疗支付仍旧面临压力，支付端结构性优化势在必行。</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592" w:firstLineChars="200"/>
        <w:jc w:val="both"/>
        <w:rPr>
          <w:rFonts w:hint="eastAsia" w:ascii="宋体" w:hAnsi="宋体" w:eastAsia="宋体" w:cs="宋体"/>
          <w:color w:val="222222"/>
          <w:spacing w:val="8"/>
          <w:sz w:val="28"/>
          <w:szCs w:val="28"/>
        </w:rPr>
      </w:pPr>
      <w:r>
        <w:rPr>
          <w:rFonts w:hint="eastAsia" w:ascii="宋体" w:hAnsi="宋体" w:eastAsia="宋体" w:cs="宋体"/>
          <w:i w:val="0"/>
          <w:iCs w:val="0"/>
          <w:caps w:val="0"/>
          <w:color w:val="000000"/>
          <w:spacing w:val="8"/>
          <w:sz w:val="28"/>
          <w:szCs w:val="28"/>
          <w:shd w:val="clear" w:fill="FFFFFF"/>
        </w:rPr>
        <w:t>带量采购中，国家医保局扮演着战略购买角色。2023年1月12日在京召开的全国医疗保障工作会议，将2023年需要实现的国采+省采药品数量定到450个，相比2022年350个的要求，</w:t>
      </w:r>
      <w:r>
        <w:rPr>
          <w:rStyle w:val="14"/>
          <w:rFonts w:hint="eastAsia" w:ascii="宋体" w:hAnsi="宋体" w:eastAsia="宋体" w:cs="宋体"/>
          <w:i w:val="0"/>
          <w:iCs w:val="0"/>
          <w:caps w:val="0"/>
          <w:color w:val="0A6EBF"/>
          <w:spacing w:val="8"/>
          <w:sz w:val="28"/>
          <w:szCs w:val="28"/>
          <w:shd w:val="clear" w:fill="FFFFFF"/>
        </w:rPr>
        <w:t>预计超过100个药品将于2023年被首次纳入集采。</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592" w:firstLineChars="200"/>
        <w:jc w:val="both"/>
        <w:rPr>
          <w:rFonts w:hint="eastAsia" w:ascii="宋体" w:hAnsi="宋体" w:eastAsia="宋体" w:cs="宋体"/>
          <w:color w:val="222222"/>
          <w:spacing w:val="8"/>
          <w:sz w:val="28"/>
          <w:szCs w:val="28"/>
        </w:rPr>
      </w:pPr>
      <w:r>
        <w:rPr>
          <w:rFonts w:hint="eastAsia" w:ascii="宋体" w:hAnsi="宋体" w:eastAsia="宋体" w:cs="宋体"/>
          <w:i w:val="0"/>
          <w:iCs w:val="0"/>
          <w:caps w:val="0"/>
          <w:color w:val="000000"/>
          <w:spacing w:val="8"/>
          <w:sz w:val="28"/>
          <w:szCs w:val="28"/>
          <w:shd w:val="clear" w:fill="FFFFFF"/>
        </w:rPr>
        <w:t>2023年的药品集采工作，率先提上日程的是第八批国采，日前已开始报量，根据文件要求，今年的2月21日（周二）17:00前，各省份全部完成报量以及需求量的审核工作。</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592" w:firstLineChars="200"/>
        <w:jc w:val="both"/>
        <w:rPr>
          <w:rFonts w:hint="eastAsia" w:ascii="宋体" w:hAnsi="宋体" w:eastAsia="宋体" w:cs="宋体"/>
          <w:i w:val="0"/>
          <w:iCs w:val="0"/>
          <w:caps w:val="0"/>
          <w:color w:val="000000"/>
          <w:spacing w:val="8"/>
          <w:sz w:val="28"/>
          <w:szCs w:val="28"/>
          <w:shd w:val="clear" w:fill="FFFFFF"/>
        </w:rPr>
      </w:pPr>
      <w:r>
        <w:rPr>
          <w:rFonts w:hint="eastAsia" w:ascii="宋体" w:hAnsi="宋体" w:eastAsia="宋体" w:cs="宋体"/>
          <w:i w:val="0"/>
          <w:iCs w:val="0"/>
          <w:caps w:val="0"/>
          <w:color w:val="000000"/>
          <w:spacing w:val="8"/>
          <w:sz w:val="28"/>
          <w:szCs w:val="28"/>
          <w:shd w:val="clear" w:fill="FFFFFF"/>
        </w:rPr>
        <w:t>除了第八批，预计2023年内将启动由省级主导的针对第三、第五批国采品种的续约；山东牵头的中药饮片区域联采也将于2023年上半年公布结果。</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592" w:firstLineChars="200"/>
        <w:jc w:val="both"/>
        <w:rPr>
          <w:rFonts w:hint="eastAsia" w:ascii="宋体" w:hAnsi="宋体" w:eastAsia="宋体" w:cs="宋体"/>
          <w:color w:val="222222"/>
          <w:spacing w:val="8"/>
          <w:sz w:val="28"/>
          <w:szCs w:val="28"/>
        </w:rPr>
      </w:pPr>
      <w:r>
        <w:rPr>
          <w:rFonts w:hint="eastAsia" w:ascii="宋体" w:hAnsi="宋体" w:eastAsia="宋体" w:cs="宋体"/>
          <w:i w:val="0"/>
          <w:iCs w:val="0"/>
          <w:caps w:val="0"/>
          <w:color w:val="000000"/>
          <w:spacing w:val="8"/>
          <w:sz w:val="28"/>
          <w:szCs w:val="28"/>
          <w:shd w:val="clear" w:fill="FFFFFF"/>
        </w:rPr>
        <w:t>2023年，医保工作将向农村群众倾斜；实施“乙类乙管”后，新冠病毒感染患者治疗费用的医疗保障工作也被进一步纳进2023年医保重点工作；结合智慧医保，基金监管力度，非现场监管、跨区域监管等将加强；与此同时，谋划门诊高血压、糖尿病“两病”用药保障机制向其他病种扩容；也将通过医保支付等方式，引导分级诊疗。</w:t>
      </w:r>
    </w:p>
    <w:p>
      <w:pPr>
        <w:keepNext w:val="0"/>
        <w:keepLines w:val="0"/>
        <w:widowControl/>
        <w:suppressLineNumbers w:val="0"/>
        <w:spacing w:before="0" w:beforeAutospacing="0" w:after="0" w:afterAutospacing="0"/>
        <w:ind w:left="0" w:right="0"/>
        <w:jc w:val="left"/>
        <w:rPr>
          <w:rFonts w:hint="eastAsia" w:ascii="宋体" w:hAnsi="宋体" w:eastAsia="宋体" w:cs="宋体"/>
          <w:sz w:val="28"/>
          <w:szCs w:val="28"/>
        </w:rPr>
      </w:pPr>
      <w:r>
        <w:rPr>
          <w:rStyle w:val="14"/>
          <w:rFonts w:hint="eastAsia" w:ascii="宋体" w:hAnsi="宋体" w:eastAsia="宋体" w:cs="宋体"/>
          <w:i w:val="0"/>
          <w:iCs w:val="0"/>
          <w:caps w:val="0"/>
          <w:color w:val="0A6EBF"/>
          <w:spacing w:val="8"/>
          <w:kern w:val="0"/>
          <w:sz w:val="28"/>
          <w:szCs w:val="28"/>
          <w:shd w:val="clear" w:fill="FFFFFF"/>
          <w:lang w:val="en-US" w:eastAsia="zh-CN" w:bidi="ar"/>
        </w:rPr>
        <w:t>01国采降幅超50%、国家与区域集采结合</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0" w:right="0"/>
        <w:jc w:val="both"/>
        <w:rPr>
          <w:rFonts w:hint="eastAsia" w:ascii="宋体" w:hAnsi="宋体" w:eastAsia="宋体" w:cs="宋体"/>
          <w:color w:val="222222"/>
          <w:spacing w:val="8"/>
          <w:sz w:val="28"/>
          <w:szCs w:val="28"/>
        </w:rPr>
      </w:pPr>
      <w:r>
        <w:rPr>
          <w:rStyle w:val="14"/>
          <w:rFonts w:hint="eastAsia" w:ascii="宋体" w:hAnsi="宋体" w:eastAsia="宋体" w:cs="宋体"/>
          <w:i w:val="0"/>
          <w:iCs w:val="0"/>
          <w:caps w:val="0"/>
          <w:color w:val="0A6EBF"/>
          <w:spacing w:val="8"/>
          <w:sz w:val="28"/>
          <w:szCs w:val="28"/>
          <w:shd w:val="clear" w:fill="FFFFFF"/>
        </w:rPr>
        <w:t>成新常态</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592" w:firstLineChars="200"/>
        <w:jc w:val="both"/>
        <w:rPr>
          <w:rFonts w:hint="eastAsia" w:ascii="宋体" w:hAnsi="宋体" w:eastAsia="宋体" w:cs="宋体"/>
          <w:color w:val="222222"/>
          <w:spacing w:val="8"/>
          <w:sz w:val="28"/>
          <w:szCs w:val="28"/>
        </w:rPr>
      </w:pPr>
      <w:r>
        <w:rPr>
          <w:rFonts w:hint="eastAsia" w:ascii="宋体" w:hAnsi="宋体" w:eastAsia="宋体" w:cs="宋体"/>
          <w:i w:val="0"/>
          <w:iCs w:val="0"/>
          <w:caps w:val="0"/>
          <w:color w:val="222222"/>
          <w:spacing w:val="8"/>
          <w:sz w:val="28"/>
          <w:szCs w:val="28"/>
          <w:shd w:val="clear" w:fill="FFFFFF"/>
        </w:rPr>
        <w:t>2023年1月12日，在京召开的全国医疗保障工作会议，将“持续挤压药品耗材虚高价格水分”纳入2023年医保工作——“开展新批次国家组织药品和高值医用耗材集采，扩大地方集采覆盖品种，实现国家和省级集采药品数合计达到450个。引导新冠治疗药品合理形成价格。”</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592" w:firstLineChars="200"/>
        <w:jc w:val="both"/>
        <w:rPr>
          <w:rFonts w:hint="eastAsia" w:ascii="宋体" w:hAnsi="宋体" w:eastAsia="宋体" w:cs="宋体"/>
          <w:color w:val="222222"/>
          <w:spacing w:val="8"/>
          <w:sz w:val="28"/>
          <w:szCs w:val="28"/>
        </w:rPr>
      </w:pPr>
      <w:r>
        <w:rPr>
          <w:rFonts w:hint="eastAsia" w:ascii="宋体" w:hAnsi="宋体" w:eastAsia="宋体" w:cs="宋体"/>
          <w:i w:val="0"/>
          <w:iCs w:val="0"/>
          <w:caps w:val="0"/>
          <w:color w:val="222222"/>
          <w:spacing w:val="8"/>
          <w:sz w:val="28"/>
          <w:szCs w:val="28"/>
          <w:shd w:val="clear" w:fill="FFFFFF"/>
        </w:rPr>
        <w:t>时隔一年，回望2022年的医保重点工作，有些许不同。</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592" w:firstLineChars="200"/>
        <w:jc w:val="both"/>
        <w:rPr>
          <w:rFonts w:hint="eastAsia" w:ascii="宋体" w:hAnsi="宋体" w:eastAsia="宋体" w:cs="宋体"/>
          <w:color w:val="222222"/>
          <w:spacing w:val="8"/>
          <w:sz w:val="28"/>
          <w:szCs w:val="28"/>
        </w:rPr>
      </w:pPr>
      <w:r>
        <w:rPr>
          <w:rFonts w:hint="eastAsia" w:ascii="宋体" w:hAnsi="宋体" w:eastAsia="宋体" w:cs="宋体"/>
          <w:i w:val="0"/>
          <w:iCs w:val="0"/>
          <w:caps w:val="0"/>
          <w:color w:val="222222"/>
          <w:spacing w:val="8"/>
          <w:sz w:val="28"/>
          <w:szCs w:val="28"/>
          <w:shd w:val="clear" w:fill="FFFFFF"/>
        </w:rPr>
        <w:t>2022年1月14日的全国医疗保障工作会议，将开展“常态化制度化药品采购”列入2022年医保工作——“常态化制度化开展药品集采，力争年内国家和省级集采药品总数累计达到350个以上，扎实开展脊柱高值医用耗材集采，推动地方积极开展药耗集采，提升医药价格治理能力，实现在化学药、生物药、中成药全方位推进集采的格局，进一步压缩带金销售空间。”</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592" w:firstLineChars="200"/>
        <w:jc w:val="both"/>
        <w:rPr>
          <w:rFonts w:hint="eastAsia" w:ascii="宋体" w:hAnsi="宋体" w:eastAsia="宋体" w:cs="宋体"/>
          <w:color w:val="222222"/>
          <w:spacing w:val="8"/>
          <w:sz w:val="28"/>
          <w:szCs w:val="28"/>
        </w:rPr>
      </w:pPr>
      <w:r>
        <w:rPr>
          <w:rFonts w:hint="eastAsia" w:ascii="宋体" w:hAnsi="宋体" w:eastAsia="宋体" w:cs="宋体"/>
          <w:i w:val="0"/>
          <w:iCs w:val="0"/>
          <w:caps w:val="0"/>
          <w:color w:val="222222"/>
          <w:spacing w:val="8"/>
          <w:sz w:val="28"/>
          <w:szCs w:val="28"/>
          <w:shd w:val="clear" w:fill="FFFFFF"/>
        </w:rPr>
        <w:t>短短百余字，彼时透露多个重点。如今回望，过去一年集采方面已经达成很多举措。</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592" w:firstLineChars="200"/>
        <w:jc w:val="both"/>
        <w:rPr>
          <w:rFonts w:hint="eastAsia" w:ascii="宋体" w:hAnsi="宋体" w:eastAsia="宋体" w:cs="宋体"/>
          <w:color w:val="222222"/>
          <w:spacing w:val="8"/>
          <w:sz w:val="28"/>
          <w:szCs w:val="28"/>
        </w:rPr>
      </w:pPr>
      <w:r>
        <w:rPr>
          <w:rFonts w:hint="eastAsia" w:ascii="宋体" w:hAnsi="宋体" w:eastAsia="宋体" w:cs="宋体"/>
          <w:i w:val="0"/>
          <w:iCs w:val="0"/>
          <w:caps w:val="0"/>
          <w:color w:val="222222"/>
          <w:spacing w:val="8"/>
          <w:sz w:val="28"/>
          <w:szCs w:val="28"/>
          <w:shd w:val="clear" w:fill="FFFFFF"/>
        </w:rPr>
        <w:t>首先，在药品集采数量上，目前前七批集采已纳入294个品种，第八批因疫情推迟；其次，脊柱高值医用耗材集采、种植牙等消费医疗集采也已进行；第三，提升医药价格治理方面，全国统一医保信息平台建成并落地使用，通过全国统一信息招采系统，探寻产品底价，也取得阶段性成果；中成药也已进行区域与国家中成药集采办公室相结合的模式，预计2023年，在中成药国采、中药饮片区域集采上，规则的制定、集采的成熟度等会有所突破。</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592" w:firstLineChars="200"/>
        <w:jc w:val="both"/>
        <w:rPr>
          <w:rFonts w:hint="eastAsia" w:ascii="宋体" w:hAnsi="宋体" w:eastAsia="宋体" w:cs="宋体"/>
          <w:color w:val="222222"/>
          <w:spacing w:val="8"/>
          <w:sz w:val="28"/>
          <w:szCs w:val="28"/>
        </w:rPr>
      </w:pPr>
      <w:r>
        <w:rPr>
          <w:rFonts w:hint="eastAsia" w:ascii="宋体" w:hAnsi="宋体" w:eastAsia="宋体" w:cs="宋体"/>
          <w:i w:val="0"/>
          <w:iCs w:val="0"/>
          <w:caps w:val="0"/>
          <w:color w:val="222222"/>
          <w:spacing w:val="8"/>
          <w:sz w:val="28"/>
          <w:szCs w:val="28"/>
          <w:shd w:val="clear" w:fill="FFFFFF"/>
        </w:rPr>
        <w:t>相比2022年，2023年医保重点工作，除了对集采药品总数达450个提出要求外，新冠治疗药品合理价格机制的形成，成为2023年工作重点之一。日前，相关部门通过发布《新冠治疗药品价格形成指引 (试行)》文件，对新冠治疗药物价格进行初步规范。</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jc w:val="both"/>
        <w:rPr>
          <w:rFonts w:hint="eastAsia" w:ascii="宋体" w:hAnsi="宋体" w:eastAsia="宋体" w:cs="宋体"/>
          <w:color w:val="222222"/>
          <w:spacing w:val="8"/>
          <w:sz w:val="28"/>
          <w:szCs w:val="28"/>
        </w:rPr>
      </w:pPr>
      <w:r>
        <w:rPr>
          <w:rFonts w:hint="eastAsia" w:ascii="宋体" w:hAnsi="宋体" w:eastAsia="宋体" w:cs="宋体"/>
          <w:i w:val="0"/>
          <w:iCs w:val="0"/>
          <w:caps w:val="0"/>
          <w:color w:val="222222"/>
          <w:spacing w:val="8"/>
          <w:sz w:val="28"/>
          <w:szCs w:val="28"/>
          <w:shd w:val="clear" w:fill="FFFFFF"/>
        </w:rPr>
        <w:t>集采方面，无论是价格形成机制，还是保障供应，或是相关配套设施的落实，都在逐步完善——坚持“招采合一、量价挂钩”的价格形成机制；在保障供应方面，第七批国采新增备选企业规则；在对待医疗机构方面，除了使用集采药品的KPI、纳入医院等级绩效考核范围内之外，国家医保局，继续落实医保基金预付，以及结余留用。在精细化运营，以及新的医保支付标准下，结余留用激励作用明显，山东一三甲医院药剂科主任曾向赛柏蓝表示，因为现在一些药品上年度结余留用效果明显，下年度报量有所提升。</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592" w:firstLineChars="200"/>
        <w:jc w:val="both"/>
        <w:rPr>
          <w:rFonts w:hint="eastAsia" w:ascii="宋体" w:hAnsi="宋体" w:eastAsia="宋体" w:cs="宋体"/>
          <w:color w:val="222222"/>
          <w:spacing w:val="8"/>
          <w:sz w:val="28"/>
          <w:szCs w:val="28"/>
        </w:rPr>
      </w:pPr>
      <w:r>
        <w:rPr>
          <w:rFonts w:hint="eastAsia" w:ascii="宋体" w:hAnsi="宋体" w:eastAsia="宋体" w:cs="宋体"/>
          <w:i w:val="0"/>
          <w:iCs w:val="0"/>
          <w:caps w:val="0"/>
          <w:color w:val="222222"/>
          <w:spacing w:val="8"/>
          <w:sz w:val="28"/>
          <w:szCs w:val="28"/>
          <w:shd w:val="clear" w:fill="FFFFFF"/>
        </w:rPr>
        <w:t>回到第八批国采，相较于第七批，规则上预计变化不大，在竞争上，预计成为“最惨烈的一批”。从整体药价降幅来看，超过50%的降幅已成国采新常态；与此同时，在2023年“实现国家和省级集采药品数合计达到450个”的目标下，国家与区域集采结合已成新常态。</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jc w:val="both"/>
        <w:rPr>
          <w:rFonts w:hint="eastAsia" w:ascii="Microsoft YaHei UI" w:hAnsi="Microsoft YaHei UI" w:eastAsia="Microsoft YaHei UI" w:cs="Microsoft YaHei UI"/>
          <w:color w:val="222222"/>
          <w:spacing w:val="8"/>
        </w:rPr>
      </w:pPr>
      <w:r>
        <w:rPr>
          <w:rFonts w:hint="eastAsia" w:ascii="Microsoft YaHei UI" w:hAnsi="Microsoft YaHei UI" w:eastAsia="Microsoft YaHei UI" w:cs="Microsoft YaHei UI"/>
          <w:i w:val="0"/>
          <w:iCs w:val="0"/>
          <w:caps w:val="0"/>
          <w:color w:val="222222"/>
          <w:spacing w:val="8"/>
          <w:sz w:val="25"/>
          <w:szCs w:val="25"/>
          <w:shd w:val="clear" w:fill="FFFFFF"/>
        </w:rPr>
        <w:drawing>
          <wp:inline distT="0" distB="0" distL="114300" distR="114300">
            <wp:extent cx="5290820" cy="2294255"/>
            <wp:effectExtent l="0" t="0" r="5080" b="10795"/>
            <wp:docPr id="20" name="图片 6"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descr="IMG_257"/>
                    <pic:cNvPicPr>
                      <a:picLocks noChangeAspect="1"/>
                    </pic:cNvPicPr>
                  </pic:nvPicPr>
                  <pic:blipFill>
                    <a:blip r:embed="rId10"/>
                    <a:stretch>
                      <a:fillRect/>
                    </a:stretch>
                  </pic:blipFill>
                  <pic:spPr>
                    <a:xfrm>
                      <a:off x="0" y="0"/>
                      <a:ext cx="5290820" cy="2294255"/>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jc w:val="both"/>
        <w:rPr>
          <w:rFonts w:hint="eastAsia" w:ascii="Microsoft YaHei UI" w:hAnsi="Microsoft YaHei UI" w:eastAsia="Microsoft YaHei UI" w:cs="Microsoft YaHei UI"/>
          <w:color w:val="222222"/>
          <w:spacing w:val="8"/>
        </w:rPr>
      </w:pPr>
      <w:r>
        <w:rPr>
          <w:rFonts w:hint="eastAsia" w:ascii="Microsoft YaHei UI" w:hAnsi="Microsoft YaHei UI" w:eastAsia="Microsoft YaHei UI" w:cs="Microsoft YaHei UI"/>
          <w:i w:val="0"/>
          <w:iCs w:val="0"/>
          <w:caps w:val="0"/>
          <w:color w:val="222222"/>
          <w:spacing w:val="8"/>
          <w:sz w:val="22"/>
          <w:szCs w:val="22"/>
          <w:shd w:val="clear" w:fill="FFFFFF"/>
        </w:rPr>
        <w:t>资料来源：国家医保局、招商证券（香港）</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jc w:val="both"/>
        <w:rPr>
          <w:rFonts w:hint="eastAsia" w:ascii="Microsoft YaHei UI" w:hAnsi="Microsoft YaHei UI" w:eastAsia="Microsoft YaHei UI" w:cs="Microsoft YaHei UI"/>
          <w:color w:val="222222"/>
          <w:spacing w:val="8"/>
        </w:rPr>
      </w:pPr>
      <w:r>
        <w:rPr>
          <w:rFonts w:hint="eastAsia" w:ascii="Microsoft YaHei UI" w:hAnsi="Microsoft YaHei UI" w:eastAsia="Microsoft YaHei UI" w:cs="Microsoft YaHei UI"/>
          <w:i w:val="0"/>
          <w:iCs w:val="0"/>
          <w:caps w:val="0"/>
          <w:color w:val="222222"/>
          <w:spacing w:val="8"/>
          <w:sz w:val="22"/>
          <w:szCs w:val="22"/>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jc w:val="both"/>
        <w:rPr>
          <w:rFonts w:hint="eastAsia" w:ascii="Microsoft YaHei UI" w:hAnsi="Microsoft YaHei UI" w:eastAsia="Microsoft YaHei UI" w:cs="Microsoft YaHei UI"/>
          <w:color w:val="222222"/>
          <w:spacing w:val="8"/>
        </w:rPr>
      </w:pPr>
      <w:r>
        <w:rPr>
          <w:rFonts w:hint="eastAsia" w:ascii="Microsoft YaHei UI" w:hAnsi="Microsoft YaHei UI" w:eastAsia="Microsoft YaHei UI" w:cs="Microsoft YaHei UI"/>
          <w:i w:val="0"/>
          <w:iCs w:val="0"/>
          <w:caps w:val="0"/>
          <w:color w:val="222222"/>
          <w:spacing w:val="8"/>
          <w:sz w:val="25"/>
          <w:szCs w:val="25"/>
          <w:shd w:val="clear" w:fill="FFFFFF"/>
        </w:rPr>
        <w:drawing>
          <wp:inline distT="0" distB="0" distL="114300" distR="114300">
            <wp:extent cx="5292090" cy="2826385"/>
            <wp:effectExtent l="0" t="0" r="3810" b="12065"/>
            <wp:docPr id="16" name="图片 7"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descr="IMG_258"/>
                    <pic:cNvPicPr>
                      <a:picLocks noChangeAspect="1"/>
                    </pic:cNvPicPr>
                  </pic:nvPicPr>
                  <pic:blipFill>
                    <a:blip r:embed="rId11"/>
                    <a:stretch>
                      <a:fillRect/>
                    </a:stretch>
                  </pic:blipFill>
                  <pic:spPr>
                    <a:xfrm>
                      <a:off x="0" y="0"/>
                      <a:ext cx="5292090" cy="2826385"/>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jc w:val="both"/>
        <w:rPr>
          <w:rFonts w:hint="eastAsia" w:ascii="Microsoft YaHei UI" w:hAnsi="Microsoft YaHei UI" w:eastAsia="Microsoft YaHei UI" w:cs="Microsoft YaHei UI"/>
          <w:color w:val="222222"/>
          <w:spacing w:val="8"/>
        </w:rPr>
      </w:pPr>
      <w:r>
        <w:rPr>
          <w:rFonts w:hint="eastAsia" w:ascii="Microsoft YaHei UI" w:hAnsi="Microsoft YaHei UI" w:eastAsia="Microsoft YaHei UI" w:cs="Microsoft YaHei UI"/>
          <w:i w:val="0"/>
          <w:iCs w:val="0"/>
          <w:caps w:val="0"/>
          <w:color w:val="222222"/>
          <w:spacing w:val="8"/>
          <w:sz w:val="22"/>
          <w:szCs w:val="22"/>
          <w:shd w:val="clear" w:fill="FFFFFF"/>
        </w:rPr>
        <w:t>资料来源：国家医保局、地方医保局、招商证券（香港）</w:t>
      </w:r>
    </w:p>
    <w:p>
      <w:pPr>
        <w:keepNext w:val="0"/>
        <w:keepLines w:val="0"/>
        <w:widowControl/>
        <w:suppressLineNumbers w:val="0"/>
        <w:spacing w:before="0" w:beforeAutospacing="0" w:after="0" w:afterAutospacing="0"/>
        <w:ind w:left="0" w:right="0"/>
        <w:jc w:val="left"/>
        <w:rPr>
          <w:rFonts w:hint="eastAsia" w:ascii="宋体" w:hAnsi="宋体" w:eastAsia="宋体" w:cs="宋体"/>
          <w:sz w:val="28"/>
          <w:szCs w:val="28"/>
        </w:rPr>
      </w:pPr>
      <w:r>
        <w:rPr>
          <w:rStyle w:val="14"/>
          <w:rFonts w:hint="eastAsia" w:ascii="宋体" w:hAnsi="宋体" w:eastAsia="宋体" w:cs="宋体"/>
          <w:i w:val="0"/>
          <w:iCs w:val="0"/>
          <w:caps w:val="0"/>
          <w:color w:val="0A6EBF"/>
          <w:spacing w:val="8"/>
          <w:kern w:val="0"/>
          <w:sz w:val="28"/>
          <w:szCs w:val="28"/>
          <w:shd w:val="clear" w:fill="FFFFFF"/>
          <w:lang w:val="en-US" w:eastAsia="zh-CN" w:bidi="ar"/>
        </w:rPr>
        <w:t>02</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both"/>
        <w:rPr>
          <w:rFonts w:hint="eastAsia" w:ascii="宋体" w:hAnsi="宋体" w:eastAsia="宋体" w:cs="宋体"/>
          <w:color w:val="222222"/>
          <w:spacing w:val="8"/>
          <w:sz w:val="28"/>
          <w:szCs w:val="28"/>
        </w:rPr>
      </w:pPr>
      <w:r>
        <w:rPr>
          <w:rStyle w:val="14"/>
          <w:rFonts w:hint="eastAsia" w:ascii="宋体" w:hAnsi="宋体" w:eastAsia="宋体" w:cs="宋体"/>
          <w:i w:val="0"/>
          <w:iCs w:val="0"/>
          <w:caps w:val="0"/>
          <w:color w:val="0A6EBF"/>
          <w:spacing w:val="8"/>
          <w:sz w:val="28"/>
          <w:szCs w:val="28"/>
          <w:shd w:val="clear" w:fill="FFFFFF"/>
        </w:rPr>
        <w:t>2023年医保重点工作</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both"/>
        <w:rPr>
          <w:rFonts w:hint="eastAsia" w:ascii="宋体" w:hAnsi="宋体" w:eastAsia="宋体" w:cs="宋体"/>
          <w:color w:val="222222"/>
          <w:spacing w:val="8"/>
          <w:sz w:val="28"/>
          <w:szCs w:val="28"/>
        </w:rPr>
      </w:pPr>
      <w:r>
        <w:rPr>
          <w:rStyle w:val="14"/>
          <w:rFonts w:hint="eastAsia" w:ascii="宋体" w:hAnsi="宋体" w:eastAsia="宋体" w:cs="宋体"/>
          <w:i w:val="0"/>
          <w:iCs w:val="0"/>
          <w:caps w:val="0"/>
          <w:color w:val="0A6EBF"/>
          <w:spacing w:val="8"/>
          <w:sz w:val="28"/>
          <w:szCs w:val="28"/>
          <w:shd w:val="clear" w:fill="FFFFFF"/>
        </w:rPr>
        <w:t>释放多个信号</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592" w:firstLineChars="200"/>
        <w:jc w:val="both"/>
        <w:rPr>
          <w:rFonts w:hint="eastAsia" w:ascii="宋体" w:hAnsi="宋体" w:eastAsia="宋体" w:cs="宋体"/>
          <w:color w:val="222222"/>
          <w:spacing w:val="8"/>
          <w:sz w:val="28"/>
          <w:szCs w:val="28"/>
        </w:rPr>
      </w:pPr>
      <w:r>
        <w:rPr>
          <w:rFonts w:hint="eastAsia" w:ascii="宋体" w:hAnsi="宋体" w:eastAsia="宋体" w:cs="宋体"/>
          <w:i w:val="0"/>
          <w:iCs w:val="0"/>
          <w:caps w:val="0"/>
          <w:color w:val="222222"/>
          <w:spacing w:val="8"/>
          <w:sz w:val="28"/>
          <w:szCs w:val="28"/>
          <w:shd w:val="clear" w:fill="FFFFFF"/>
        </w:rPr>
        <w:t>2023年，是医药健康行业重塑，企业转型升级的重要窗口期，但医疗支付仍面临压力。</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592" w:firstLineChars="200"/>
        <w:jc w:val="both"/>
        <w:rPr>
          <w:rFonts w:hint="eastAsia" w:ascii="宋体" w:hAnsi="宋体" w:eastAsia="宋体" w:cs="宋体"/>
          <w:color w:val="222222"/>
          <w:spacing w:val="8"/>
          <w:sz w:val="28"/>
          <w:szCs w:val="28"/>
        </w:rPr>
      </w:pPr>
      <w:r>
        <w:rPr>
          <w:rFonts w:hint="eastAsia" w:ascii="宋体" w:hAnsi="宋体" w:eastAsia="宋体" w:cs="宋体"/>
          <w:i w:val="0"/>
          <w:iCs w:val="0"/>
          <w:caps w:val="0"/>
          <w:color w:val="222222"/>
          <w:spacing w:val="8"/>
          <w:sz w:val="28"/>
          <w:szCs w:val="28"/>
          <w:shd w:val="clear" w:fill="FFFFFF"/>
        </w:rPr>
        <w:t>这不仅要求持续挤压药品耗材虚高价格水分，更要求加强基金监管力度，不断优化支付结构。</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592" w:firstLineChars="200"/>
        <w:jc w:val="both"/>
        <w:rPr>
          <w:rFonts w:hint="eastAsia" w:ascii="宋体" w:hAnsi="宋体" w:eastAsia="宋体" w:cs="宋体"/>
          <w:color w:val="222222"/>
          <w:spacing w:val="8"/>
          <w:sz w:val="28"/>
          <w:szCs w:val="28"/>
        </w:rPr>
      </w:pPr>
      <w:r>
        <w:rPr>
          <w:rFonts w:hint="eastAsia" w:ascii="宋体" w:hAnsi="宋体" w:eastAsia="宋体" w:cs="宋体"/>
          <w:i w:val="0"/>
          <w:iCs w:val="0"/>
          <w:caps w:val="0"/>
          <w:color w:val="222222"/>
          <w:spacing w:val="8"/>
          <w:sz w:val="28"/>
          <w:szCs w:val="28"/>
          <w:shd w:val="clear" w:fill="FFFFFF"/>
        </w:rPr>
        <w:t>2023年医保重点工作，除了上述提到的“持续挤压药品耗材虚高价格水分，实现国家和省级集采药品数合计达到450个......引导新冠治疗药品合理形成价格”外，还有下面一些工作重点。</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jc w:val="both"/>
        <w:rPr>
          <w:rFonts w:hint="eastAsia" w:ascii="宋体" w:hAnsi="宋体" w:eastAsia="宋体" w:cs="宋体"/>
          <w:color w:val="222222"/>
          <w:spacing w:val="8"/>
          <w:sz w:val="28"/>
          <w:szCs w:val="28"/>
        </w:rPr>
      </w:pPr>
      <w:r>
        <w:rPr>
          <w:rFonts w:hint="eastAsia" w:ascii="宋体" w:hAnsi="宋体" w:eastAsia="宋体" w:cs="宋体"/>
          <w:i w:val="0"/>
          <w:iCs w:val="0"/>
          <w:caps w:val="0"/>
          <w:color w:val="222222"/>
          <w:spacing w:val="8"/>
          <w:sz w:val="28"/>
          <w:szCs w:val="28"/>
          <w:shd w:val="clear" w:fill="FFFFFF"/>
        </w:rPr>
        <w:t>农村群众医疗保障工作；实施“乙类乙管”后，新冠病毒感染患者治疗费用的医疗保障工作；结合智慧医保，加强基金监管力度，进行非现场监管、跨区域监管；与此同时，谋划门诊高血压、糖尿病“两病”用药保障机制向其他病种扩容；通过医保支付等方式，引导分级诊疗。</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592" w:firstLineChars="200"/>
        <w:jc w:val="both"/>
        <w:rPr>
          <w:rFonts w:hint="eastAsia" w:ascii="宋体" w:hAnsi="宋体" w:eastAsia="宋体" w:cs="宋体"/>
          <w:color w:val="222222"/>
          <w:spacing w:val="8"/>
          <w:sz w:val="28"/>
          <w:szCs w:val="28"/>
        </w:rPr>
      </w:pPr>
      <w:r>
        <w:rPr>
          <w:rFonts w:hint="eastAsia" w:ascii="宋体" w:hAnsi="宋体" w:eastAsia="宋体" w:cs="宋体"/>
          <w:i w:val="0"/>
          <w:iCs w:val="0"/>
          <w:caps w:val="0"/>
          <w:color w:val="222222"/>
          <w:spacing w:val="8"/>
          <w:sz w:val="28"/>
          <w:szCs w:val="28"/>
          <w:shd w:val="clear" w:fill="FFFFFF"/>
        </w:rPr>
        <w:t>首先，农村一直是医保关切重点，也是容易因病致贫返贫的地区。2023年医保重点工作已明确将对农村群众的医疗保障工作有所倾斜。</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592" w:firstLineChars="200"/>
        <w:jc w:val="both"/>
        <w:rPr>
          <w:rFonts w:hint="eastAsia" w:ascii="宋体" w:hAnsi="宋体" w:eastAsia="宋体" w:cs="宋体"/>
          <w:color w:val="222222"/>
          <w:spacing w:val="8"/>
          <w:sz w:val="28"/>
          <w:szCs w:val="28"/>
        </w:rPr>
      </w:pPr>
      <w:r>
        <w:rPr>
          <w:rFonts w:hint="eastAsia" w:ascii="宋体" w:hAnsi="宋体" w:eastAsia="宋体" w:cs="宋体"/>
          <w:i w:val="0"/>
          <w:iCs w:val="0"/>
          <w:caps w:val="0"/>
          <w:color w:val="222222"/>
          <w:spacing w:val="8"/>
          <w:sz w:val="28"/>
          <w:szCs w:val="28"/>
          <w:shd w:val="clear" w:fill="FFFFFF"/>
        </w:rPr>
        <w:t>2022年末，药品抢购潮，一线城市也因抢购偏远地区药品登上热搜，面对病毒袭击，农村的老年人，在村卫生室或乡镇卫生院连续输液一周；一些白肺的老年人因没有支付能力，尽管医生建议住院治疗，结果还是回家继续输液。医生说“住院还有救”，中部小县城的一位人士回忆，“年前那一个月，隔三差五都能听到鞭炮声，自从国家不让土葬后，谁家老人去世，村干部第一个跑去，现在没办法，火葬排不上，只能土葬”。</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592" w:firstLineChars="200"/>
        <w:jc w:val="both"/>
        <w:rPr>
          <w:rFonts w:hint="eastAsia" w:ascii="宋体" w:hAnsi="宋体" w:eastAsia="宋体" w:cs="宋体"/>
          <w:color w:val="222222"/>
          <w:spacing w:val="8"/>
          <w:sz w:val="28"/>
          <w:szCs w:val="28"/>
        </w:rPr>
      </w:pPr>
      <w:r>
        <w:rPr>
          <w:rFonts w:hint="eastAsia" w:ascii="宋体" w:hAnsi="宋体" w:eastAsia="宋体" w:cs="宋体"/>
          <w:i w:val="0"/>
          <w:iCs w:val="0"/>
          <w:caps w:val="0"/>
          <w:color w:val="222222"/>
          <w:spacing w:val="8"/>
          <w:sz w:val="28"/>
          <w:szCs w:val="28"/>
          <w:shd w:val="clear" w:fill="FFFFFF"/>
        </w:rPr>
        <w:t>2023年1月24日，国务院联防联控机制农村地区疫情防控工作专班召开调度会，要求点对点盯住农村老幼病残孕等重点人群，通过入户、电话、微信等多种方式及时了解情况，督促把预防、用药、救治、生活等服务落实到位，想方设法把包保责任落下去、服务工作做到家，确保各项措施落实全覆盖无死角。</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592" w:firstLineChars="200"/>
        <w:jc w:val="both"/>
        <w:rPr>
          <w:rFonts w:hint="eastAsia" w:ascii="宋体" w:hAnsi="宋体" w:eastAsia="宋体" w:cs="宋体"/>
          <w:color w:val="222222"/>
          <w:spacing w:val="8"/>
          <w:sz w:val="28"/>
          <w:szCs w:val="28"/>
        </w:rPr>
      </w:pPr>
      <w:r>
        <w:rPr>
          <w:rFonts w:hint="eastAsia" w:ascii="宋体" w:hAnsi="宋体" w:eastAsia="宋体" w:cs="宋体"/>
          <w:i w:val="0"/>
          <w:iCs w:val="0"/>
          <w:caps w:val="0"/>
          <w:color w:val="222222"/>
          <w:spacing w:val="8"/>
          <w:sz w:val="28"/>
          <w:szCs w:val="28"/>
          <w:shd w:val="clear" w:fill="FFFFFF"/>
        </w:rPr>
        <w:t>进一步加强协调，</w:t>
      </w:r>
      <w:r>
        <w:rPr>
          <w:rStyle w:val="14"/>
          <w:rFonts w:hint="eastAsia" w:ascii="宋体" w:hAnsi="宋体" w:eastAsia="宋体" w:cs="宋体"/>
          <w:i w:val="0"/>
          <w:iCs w:val="0"/>
          <w:caps w:val="0"/>
          <w:color w:val="0A6EBF"/>
          <w:spacing w:val="8"/>
          <w:sz w:val="28"/>
          <w:szCs w:val="28"/>
          <w:shd w:val="clear" w:fill="FFFFFF"/>
        </w:rPr>
        <w:t>推动医疗资源更多向村镇倾斜下沉</w:t>
      </w:r>
      <w:r>
        <w:rPr>
          <w:rFonts w:hint="eastAsia" w:ascii="宋体" w:hAnsi="宋体" w:eastAsia="宋体" w:cs="宋体"/>
          <w:i w:val="0"/>
          <w:iCs w:val="0"/>
          <w:caps w:val="0"/>
          <w:color w:val="222222"/>
          <w:spacing w:val="8"/>
          <w:sz w:val="28"/>
          <w:szCs w:val="28"/>
          <w:shd w:val="clear" w:fill="FFFFFF"/>
        </w:rPr>
        <w:t>，调配补齐人员力量，备足药品设备，保障好转诊转运车辆，做到“有药可用、有病能治、有车能转”。</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592" w:firstLineChars="200"/>
        <w:jc w:val="both"/>
        <w:rPr>
          <w:rFonts w:hint="eastAsia" w:ascii="宋体" w:hAnsi="宋体" w:eastAsia="宋体" w:cs="宋体"/>
          <w:color w:val="222222"/>
          <w:spacing w:val="8"/>
          <w:sz w:val="28"/>
          <w:szCs w:val="28"/>
        </w:rPr>
      </w:pPr>
      <w:r>
        <w:rPr>
          <w:rFonts w:hint="eastAsia" w:ascii="宋体" w:hAnsi="宋体" w:eastAsia="宋体" w:cs="宋体"/>
          <w:i w:val="0"/>
          <w:iCs w:val="0"/>
          <w:caps w:val="0"/>
          <w:color w:val="222222"/>
          <w:spacing w:val="8"/>
          <w:sz w:val="28"/>
          <w:szCs w:val="28"/>
          <w:shd w:val="clear" w:fill="FFFFFF"/>
        </w:rPr>
        <w:t>其次，加强基金监管力度。</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592" w:firstLineChars="200"/>
        <w:jc w:val="both"/>
        <w:rPr>
          <w:rFonts w:hint="eastAsia" w:ascii="宋体" w:hAnsi="宋体" w:eastAsia="宋体" w:cs="宋体"/>
          <w:color w:val="222222"/>
          <w:spacing w:val="8"/>
          <w:sz w:val="28"/>
          <w:szCs w:val="28"/>
        </w:rPr>
      </w:pPr>
      <w:r>
        <w:rPr>
          <w:rFonts w:hint="eastAsia" w:ascii="宋体" w:hAnsi="宋体" w:eastAsia="宋体" w:cs="宋体"/>
          <w:i w:val="0"/>
          <w:iCs w:val="0"/>
          <w:caps w:val="0"/>
          <w:color w:val="222222"/>
          <w:spacing w:val="8"/>
          <w:sz w:val="28"/>
          <w:szCs w:val="28"/>
          <w:shd w:val="clear" w:fill="FFFFFF"/>
        </w:rPr>
        <w:t>2023年，结合智慧医保，进行非现场监管、实时监管，不仅如此，也将探索针对新型支付方式的监管机制，新的一年也对企业合规提出了更高要求。</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592" w:firstLineChars="200"/>
        <w:jc w:val="both"/>
        <w:rPr>
          <w:rFonts w:hint="eastAsia" w:ascii="宋体" w:hAnsi="宋体" w:eastAsia="宋体" w:cs="宋体"/>
          <w:color w:val="222222"/>
          <w:spacing w:val="8"/>
          <w:sz w:val="28"/>
          <w:szCs w:val="28"/>
        </w:rPr>
      </w:pPr>
      <w:r>
        <w:rPr>
          <w:rFonts w:hint="eastAsia" w:ascii="宋体" w:hAnsi="宋体" w:eastAsia="宋体" w:cs="宋体"/>
          <w:i w:val="0"/>
          <w:iCs w:val="0"/>
          <w:caps w:val="0"/>
          <w:color w:val="222222"/>
          <w:spacing w:val="8"/>
          <w:sz w:val="28"/>
          <w:szCs w:val="28"/>
          <w:shd w:val="clear" w:fill="FFFFFF"/>
        </w:rPr>
        <w:t>第三，全面建立职工医保普通门诊统筹，谋划门诊高血压、糖尿病“两病”用药保障机制向其他病种扩容。对高血压、糖尿病患者来说，“两病”用药保障机制是一项重大惠民政策，2023年向其他病种扩容的话，预计将释放较大市场。</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592" w:firstLineChars="200"/>
        <w:jc w:val="both"/>
        <w:rPr>
          <w:rFonts w:hint="eastAsia" w:ascii="宋体" w:hAnsi="宋体" w:eastAsia="宋体" w:cs="宋体"/>
          <w:color w:val="222222"/>
          <w:spacing w:val="8"/>
          <w:sz w:val="28"/>
          <w:szCs w:val="28"/>
        </w:rPr>
      </w:pPr>
      <w:r>
        <w:rPr>
          <w:rFonts w:hint="eastAsia" w:ascii="宋体" w:hAnsi="宋体" w:eastAsia="宋体" w:cs="宋体"/>
          <w:i w:val="0"/>
          <w:iCs w:val="0"/>
          <w:caps w:val="0"/>
          <w:color w:val="222222"/>
          <w:spacing w:val="8"/>
          <w:sz w:val="28"/>
          <w:szCs w:val="28"/>
          <w:shd w:val="clear" w:fill="FFFFFF"/>
        </w:rPr>
        <w:t>第四，通过医保支付方式，引导分级诊疗。对于企业来说，对应渠道拓展尤为重要。</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592" w:firstLineChars="200"/>
        <w:jc w:val="both"/>
        <w:rPr>
          <w:rFonts w:hint="eastAsia" w:ascii="宋体" w:hAnsi="宋体" w:eastAsia="宋体" w:cs="宋体"/>
          <w:color w:val="222222"/>
          <w:spacing w:val="8"/>
          <w:sz w:val="28"/>
          <w:szCs w:val="28"/>
        </w:rPr>
      </w:pPr>
      <w:r>
        <w:rPr>
          <w:rFonts w:hint="eastAsia" w:ascii="宋体" w:hAnsi="宋体" w:eastAsia="宋体" w:cs="宋体"/>
          <w:i w:val="0"/>
          <w:iCs w:val="0"/>
          <w:caps w:val="0"/>
          <w:color w:val="222222"/>
          <w:spacing w:val="8"/>
          <w:sz w:val="28"/>
          <w:szCs w:val="28"/>
          <w:shd w:val="clear" w:fill="FFFFFF"/>
        </w:rPr>
        <w:t>从2023年医保重点工作来看，不断挤压医用耗材水分、基金监管、打击骗保、优化支付结构是主旋律。</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jc w:val="both"/>
        <w:rPr>
          <w:rFonts w:hint="eastAsia" w:ascii="宋体" w:hAnsi="宋体" w:eastAsia="宋体" w:cs="宋体"/>
          <w:color w:val="222222"/>
          <w:spacing w:val="8"/>
          <w:sz w:val="28"/>
          <w:szCs w:val="28"/>
        </w:rPr>
      </w:pPr>
    </w:p>
    <w:p>
      <w:pPr>
        <w:keepNext w:val="0"/>
        <w:keepLines w:val="0"/>
        <w:widowControl/>
        <w:suppressLineNumbers w:val="0"/>
        <w:spacing w:before="0" w:beforeAutospacing="0" w:after="0" w:afterAutospacing="0"/>
        <w:ind w:left="0" w:right="0"/>
        <w:jc w:val="left"/>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jc w:val="both"/>
        <w:rPr>
          <w:rFonts w:hint="eastAsia" w:ascii="Microsoft YaHei UI" w:hAnsi="Microsoft YaHei UI" w:eastAsia="Microsoft YaHei UI" w:cs="Microsoft YaHei UI"/>
          <w:color w:val="222222"/>
          <w:spacing w:val="8"/>
        </w:rPr>
      </w:pPr>
    </w:p>
    <w:p>
      <w:pPr>
        <w:keepNext w:val="0"/>
        <w:keepLines w:val="0"/>
        <w:widowControl/>
        <w:suppressLineNumbers w:val="0"/>
        <w:spacing w:before="0" w:beforeAutospacing="0" w:after="0" w:afterAutospacing="0"/>
        <w:ind w:left="0" w:right="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tabs>
          <w:tab w:val="left" w:pos="2293"/>
        </w:tabs>
        <w:spacing w:before="0" w:beforeAutospacing="0" w:after="210" w:afterAutospacing="0" w:line="21" w:lineRule="atLeast"/>
        <w:ind w:left="0" w:right="0"/>
        <w:rPr>
          <w:rFonts w:hint="eastAsia" w:ascii="微软雅黑" w:hAnsi="微软雅黑" w:eastAsia="微软雅黑" w:cs="宋体"/>
          <w:b/>
          <w:color w:val="333333"/>
          <w:kern w:val="36"/>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rFonts w:hint="eastAsia" w:ascii="微软雅黑" w:hAnsi="微软雅黑" w:eastAsia="微软雅黑" w:cs="宋体"/>
          <w:b/>
          <w:color w:val="333333"/>
          <w:kern w:val="36"/>
          <w:sz w:val="24"/>
          <w:szCs w:val="24"/>
          <w:lang w:val="en-US" w:eastAsia="zh-CN"/>
        </w:rPr>
      </w:pPr>
      <w:r>
        <w:rPr>
          <w:rFonts w:hint="eastAsia" w:ascii="微软雅黑" w:hAnsi="微软雅黑" w:eastAsia="微软雅黑" w:cs="宋体"/>
          <w:b/>
          <w:color w:val="333333"/>
          <w:kern w:val="36"/>
          <w:sz w:val="24"/>
          <w:szCs w:val="24"/>
        </w:rPr>
        <w:t>附件</w:t>
      </w:r>
      <w:r>
        <w:rPr>
          <w:rFonts w:hint="eastAsia" w:ascii="微软雅黑" w:hAnsi="微软雅黑" w:eastAsia="微软雅黑" w:cs="宋体"/>
          <w:b/>
          <w:color w:val="333333"/>
          <w:kern w:val="36"/>
          <w:sz w:val="24"/>
          <w:szCs w:val="24"/>
          <w:lang w:val="en-US" w:eastAsia="zh-CN"/>
        </w:rPr>
        <w:t xml:space="preserve">3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hint="default" w:ascii="Microsoft YaHei UI" w:hAnsi="Microsoft YaHei UI" w:eastAsia="Microsoft YaHei UI" w:cs="Microsoft YaHei UI"/>
          <w:i w:val="0"/>
          <w:iCs w:val="0"/>
          <w:caps w:val="0"/>
          <w:color w:val="222222"/>
          <w:spacing w:val="8"/>
          <w:sz w:val="33"/>
          <w:szCs w:val="33"/>
          <w:lang w:val="en-US" w:eastAsia="zh-CN"/>
        </w:rPr>
      </w:pPr>
      <w:r>
        <w:rPr>
          <w:rFonts w:hint="eastAsia" w:ascii="Microsoft YaHei UI" w:hAnsi="Microsoft YaHei UI" w:eastAsia="Microsoft YaHei UI" w:cs="Microsoft YaHei UI"/>
          <w:i w:val="0"/>
          <w:iCs w:val="0"/>
          <w:caps w:val="0"/>
          <w:color w:val="222222"/>
          <w:spacing w:val="8"/>
          <w:sz w:val="33"/>
          <w:szCs w:val="33"/>
          <w:shd w:val="clear" w:fill="FFFFFF"/>
          <w:lang w:eastAsia="zh-CN"/>
        </w:rPr>
        <w:t>新版国家医保目录发布，</w:t>
      </w:r>
      <w:r>
        <w:rPr>
          <w:rFonts w:hint="eastAsia" w:ascii="Microsoft YaHei UI" w:hAnsi="Microsoft YaHei UI" w:eastAsia="Microsoft YaHei UI" w:cs="Microsoft YaHei UI"/>
          <w:i w:val="0"/>
          <w:iCs w:val="0"/>
          <w:caps w:val="0"/>
          <w:color w:val="222222"/>
          <w:spacing w:val="8"/>
          <w:sz w:val="33"/>
          <w:szCs w:val="33"/>
          <w:shd w:val="clear" w:fill="FFFFFF"/>
          <w:lang w:val="en-US" w:eastAsia="zh-CN"/>
        </w:rPr>
        <w:t>3月1日起正式实施</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30" w:afterAutospacing="0" w:line="300" w:lineRule="atLeast"/>
        <w:ind w:left="0" w:right="0" w:firstLine="0"/>
        <w:jc w:val="left"/>
        <w:rPr>
          <w:rFonts w:hint="eastAsia" w:ascii="Microsoft YaHei UI" w:hAnsi="Microsoft YaHei UI" w:eastAsia="Microsoft YaHei UI" w:cs="Microsoft YaHei UI"/>
          <w:i w:val="0"/>
          <w:iCs w:val="0"/>
          <w:caps w:val="0"/>
          <w:color w:val="222222"/>
          <w:spacing w:val="8"/>
          <w:sz w:val="0"/>
          <w:szCs w:val="0"/>
        </w:rPr>
      </w:pPr>
      <w:r>
        <w:rPr>
          <w:rFonts w:hint="eastAsia" w:ascii="Microsoft YaHei UI" w:hAnsi="Microsoft YaHei UI" w:eastAsia="Microsoft YaHei UI" w:cs="Microsoft YaHei UI"/>
          <w:i w:val="0"/>
          <w:iCs w:val="0"/>
          <w:caps w:val="0"/>
          <w:color w:val="222222"/>
          <w:spacing w:val="0"/>
          <w:kern w:val="0"/>
          <w:sz w:val="18"/>
          <w:szCs w:val="18"/>
          <w:shd w:val="clear" w:fill="FFFFFF"/>
          <w:lang w:val="en-US" w:eastAsia="zh-CN" w:bidi="ar"/>
        </w:rPr>
        <w:t>原创</w:t>
      </w:r>
      <w:r>
        <w:rPr>
          <w:rFonts w:hint="eastAsia" w:ascii="Microsoft YaHei UI" w:hAnsi="Microsoft YaHei UI" w:eastAsia="Microsoft YaHei UI" w:cs="Microsoft YaHei UI"/>
          <w:i w:val="0"/>
          <w:iCs w:val="0"/>
          <w:caps w:val="0"/>
          <w:color w:val="222222"/>
          <w:spacing w:val="8"/>
          <w:kern w:val="0"/>
          <w:sz w:val="0"/>
          <w:szCs w:val="0"/>
          <w:shd w:val="clear" w:fill="FFFFFF"/>
          <w:lang w:val="en-US" w:eastAsia="zh-CN" w:bidi="ar"/>
        </w:rPr>
        <w:t> </w:t>
      </w:r>
      <w:r>
        <w:rPr>
          <w:rFonts w:hint="eastAsia" w:ascii="Microsoft YaHei UI" w:hAnsi="Microsoft YaHei UI" w:eastAsia="Microsoft YaHei UI" w:cs="Microsoft YaHei UI"/>
          <w:i w:val="0"/>
          <w:iCs w:val="0"/>
          <w:caps w:val="0"/>
          <w:color w:val="222222"/>
          <w:spacing w:val="8"/>
          <w:kern w:val="0"/>
          <w:sz w:val="22"/>
          <w:szCs w:val="22"/>
          <w:shd w:val="clear" w:fill="FFFFFF"/>
          <w:lang w:val="en-US" w:eastAsia="zh-CN" w:bidi="ar"/>
        </w:rPr>
        <w:t>玲珑 未晞 苍穹</w:t>
      </w:r>
      <w:r>
        <w:rPr>
          <w:rFonts w:hint="eastAsia" w:ascii="Microsoft YaHei UI" w:hAnsi="Microsoft YaHei UI" w:eastAsia="Microsoft YaHei UI" w:cs="Microsoft YaHei UI"/>
          <w:i w:val="0"/>
          <w:iCs w:val="0"/>
          <w:caps w:val="0"/>
          <w:color w:val="222222"/>
          <w:spacing w:val="8"/>
          <w:kern w:val="0"/>
          <w:sz w:val="0"/>
          <w:szCs w:val="0"/>
          <w:shd w:val="clear" w:fill="FFFFFF"/>
          <w:lang w:val="en-US" w:eastAsia="zh-CN" w:bidi="ar"/>
        </w:rPr>
        <w:t> </w:t>
      </w:r>
      <w:r>
        <w:rPr>
          <w:rFonts w:hint="eastAsia" w:ascii="Microsoft YaHei UI" w:hAnsi="Microsoft YaHei UI" w:eastAsia="Microsoft YaHei UI" w:cs="Microsoft YaHei UI"/>
          <w:i w:val="0"/>
          <w:iCs w:val="0"/>
          <w:caps w:val="0"/>
          <w:color w:val="576B95"/>
          <w:spacing w:val="8"/>
          <w:kern w:val="0"/>
          <w:sz w:val="22"/>
          <w:szCs w:val="22"/>
          <w:u w:val="none"/>
          <w:shd w:val="clear" w:fill="FFFFFF"/>
          <w:lang w:val="en-US" w:eastAsia="zh-CN" w:bidi="ar"/>
        </w:rPr>
        <w:fldChar w:fldCharType="begin"/>
      </w:r>
      <w:r>
        <w:rPr>
          <w:rFonts w:hint="eastAsia" w:ascii="Microsoft YaHei UI" w:hAnsi="Microsoft YaHei UI" w:eastAsia="Microsoft YaHei UI" w:cs="Microsoft YaHei UI"/>
          <w:i w:val="0"/>
          <w:iCs w:val="0"/>
          <w:caps w:val="0"/>
          <w:color w:val="576B95"/>
          <w:spacing w:val="8"/>
          <w:kern w:val="0"/>
          <w:sz w:val="22"/>
          <w:szCs w:val="22"/>
          <w:u w:val="none"/>
          <w:shd w:val="clear" w:fill="FFFFFF"/>
          <w:lang w:val="en-US" w:eastAsia="zh-CN" w:bidi="ar"/>
        </w:rPr>
        <w:instrText xml:space="preserve"> HYPERLINK "javascript:void(0);" </w:instrText>
      </w:r>
      <w:r>
        <w:rPr>
          <w:rFonts w:hint="eastAsia" w:ascii="Microsoft YaHei UI" w:hAnsi="Microsoft YaHei UI" w:eastAsia="Microsoft YaHei UI" w:cs="Microsoft YaHei UI"/>
          <w:i w:val="0"/>
          <w:iCs w:val="0"/>
          <w:caps w:val="0"/>
          <w:color w:val="576B95"/>
          <w:spacing w:val="8"/>
          <w:kern w:val="0"/>
          <w:sz w:val="22"/>
          <w:szCs w:val="22"/>
          <w:u w:val="none"/>
          <w:shd w:val="clear" w:fill="FFFFFF"/>
          <w:lang w:val="en-US" w:eastAsia="zh-CN" w:bidi="ar"/>
        </w:rPr>
        <w:fldChar w:fldCharType="separate"/>
      </w:r>
      <w:r>
        <w:rPr>
          <w:rStyle w:val="16"/>
          <w:rFonts w:hint="eastAsia" w:ascii="Microsoft YaHei UI" w:hAnsi="Microsoft YaHei UI" w:eastAsia="Microsoft YaHei UI" w:cs="Microsoft YaHei UI"/>
          <w:i w:val="0"/>
          <w:iCs w:val="0"/>
          <w:caps w:val="0"/>
          <w:color w:val="576B95"/>
          <w:spacing w:val="8"/>
          <w:sz w:val="22"/>
          <w:szCs w:val="22"/>
          <w:u w:val="none"/>
          <w:shd w:val="clear" w:fill="FFFFFF"/>
        </w:rPr>
        <w:t>米内网</w:t>
      </w:r>
      <w:r>
        <w:rPr>
          <w:rFonts w:hint="eastAsia" w:ascii="Microsoft YaHei UI" w:hAnsi="Microsoft YaHei UI" w:eastAsia="Microsoft YaHei UI" w:cs="Microsoft YaHei UI"/>
          <w:i w:val="0"/>
          <w:iCs w:val="0"/>
          <w:caps w:val="0"/>
          <w:color w:val="576B95"/>
          <w:spacing w:val="8"/>
          <w:kern w:val="0"/>
          <w:sz w:val="22"/>
          <w:szCs w:val="22"/>
          <w:u w:val="none"/>
          <w:shd w:val="clear" w:fill="FFFFFF"/>
          <w:lang w:val="en-US" w:eastAsia="zh-CN" w:bidi="ar"/>
        </w:rPr>
        <w:fldChar w:fldCharType="end"/>
      </w:r>
      <w:r>
        <w:rPr>
          <w:rFonts w:hint="eastAsia" w:ascii="Microsoft YaHei UI" w:hAnsi="Microsoft YaHei UI" w:eastAsia="Microsoft YaHei UI" w:cs="Microsoft YaHei UI"/>
          <w:i w:val="0"/>
          <w:iCs w:val="0"/>
          <w:caps w:val="0"/>
          <w:color w:val="222222"/>
          <w:spacing w:val="8"/>
          <w:kern w:val="0"/>
          <w:sz w:val="0"/>
          <w:szCs w:val="0"/>
          <w:shd w:val="clear" w:fill="FFFFFF"/>
          <w:lang w:val="en-US" w:eastAsia="zh-CN" w:bidi="ar"/>
        </w:rPr>
        <w:t> </w:t>
      </w:r>
      <w:r>
        <w:rPr>
          <w:rStyle w:val="15"/>
          <w:rFonts w:hint="eastAsia" w:ascii="Microsoft YaHei UI" w:hAnsi="Microsoft YaHei UI" w:eastAsia="Microsoft YaHei UI" w:cs="Microsoft YaHei UI"/>
          <w:i w:val="0"/>
          <w:iCs w:val="0"/>
          <w:caps w:val="0"/>
          <w:color w:val="222222"/>
          <w:spacing w:val="8"/>
          <w:kern w:val="0"/>
          <w:sz w:val="22"/>
          <w:szCs w:val="22"/>
          <w:shd w:val="clear" w:fill="FFFFFF"/>
          <w:lang w:val="en-US" w:eastAsia="zh-CN" w:bidi="ar"/>
        </w:rPr>
        <w:t>2023-01-19 08:00</w:t>
      </w:r>
      <w:r>
        <w:rPr>
          <w:rFonts w:hint="eastAsia" w:ascii="Microsoft YaHei UI" w:hAnsi="Microsoft YaHei UI" w:eastAsia="Microsoft YaHei UI" w:cs="Microsoft YaHei UI"/>
          <w:i w:val="0"/>
          <w:iCs w:val="0"/>
          <w:caps w:val="0"/>
          <w:color w:val="222222"/>
          <w:spacing w:val="8"/>
          <w:kern w:val="0"/>
          <w:sz w:val="0"/>
          <w:szCs w:val="0"/>
          <w:shd w:val="clear" w:fill="FFFFFF"/>
          <w:lang w:val="en-US" w:eastAsia="zh-CN" w:bidi="ar"/>
        </w:rPr>
        <w:t> </w:t>
      </w:r>
      <w:r>
        <w:rPr>
          <w:rStyle w:val="15"/>
          <w:rFonts w:hint="eastAsia" w:ascii="Microsoft YaHei UI" w:hAnsi="Microsoft YaHei UI" w:eastAsia="Microsoft YaHei UI" w:cs="Microsoft YaHei UI"/>
          <w:i w:val="0"/>
          <w:iCs w:val="0"/>
          <w:caps w:val="0"/>
          <w:color w:val="222222"/>
          <w:spacing w:val="8"/>
          <w:kern w:val="0"/>
          <w:sz w:val="22"/>
          <w:szCs w:val="22"/>
          <w:shd w:val="clear" w:fill="FFFFFF"/>
          <w:lang w:val="en-US" w:eastAsia="zh-CN" w:bidi="ar"/>
        </w:rPr>
        <w:t>发表于广东</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6" w:lineRule="atLeast"/>
        <w:ind w:left="0" w:right="0" w:firstLine="0"/>
        <w:jc w:val="both"/>
        <w:rPr>
          <w:rFonts w:hint="eastAsia" w:ascii="宋体" w:hAnsi="宋体" w:eastAsia="宋体" w:cs="宋体"/>
          <w:i w:val="0"/>
          <w:iCs w:val="0"/>
          <w:caps w:val="0"/>
          <w:color w:val="222222"/>
          <w:spacing w:val="8"/>
          <w:sz w:val="28"/>
          <w:szCs w:val="28"/>
        </w:rPr>
      </w:pPr>
      <w:r>
        <w:rPr>
          <w:rStyle w:val="14"/>
          <w:rFonts w:hint="eastAsia" w:ascii="宋体" w:hAnsi="宋体" w:eastAsia="宋体" w:cs="宋体"/>
          <w:i w:val="0"/>
          <w:iCs w:val="0"/>
          <w:caps w:val="0"/>
          <w:color w:val="1C7B86"/>
          <w:spacing w:val="8"/>
          <w:sz w:val="28"/>
          <w:szCs w:val="28"/>
          <w:shd w:val="clear" w:fill="FFFFFF"/>
        </w:rPr>
        <w:t>精彩内容</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92" w:firstLineChars="200"/>
        <w:jc w:val="both"/>
        <w:rPr>
          <w:rFonts w:hint="eastAsia" w:ascii="宋体" w:hAnsi="宋体" w:eastAsia="宋体" w:cs="宋体"/>
          <w:i w:val="0"/>
          <w:iCs w:val="0"/>
          <w:caps w:val="0"/>
          <w:color w:val="222222"/>
          <w:spacing w:val="8"/>
          <w:sz w:val="28"/>
          <w:szCs w:val="28"/>
          <w:shd w:val="clear" w:fill="FFFFFF"/>
        </w:rPr>
      </w:pPr>
      <w:r>
        <w:rPr>
          <w:rFonts w:hint="eastAsia" w:ascii="宋体" w:hAnsi="宋体" w:eastAsia="宋体" w:cs="宋体"/>
          <w:i w:val="0"/>
          <w:iCs w:val="0"/>
          <w:caps w:val="0"/>
          <w:color w:val="222222"/>
          <w:spacing w:val="8"/>
          <w:sz w:val="28"/>
          <w:szCs w:val="28"/>
          <w:shd w:val="clear" w:fill="FFFFFF"/>
        </w:rPr>
        <w:t>1月18日晚，万众瞩目的2022年医保目录调整工作终于落下了帷幕，新目录正式对外发布。最终121个药品谈判/竞价成功，总成功率达82.3%，平均降幅达60.1%。111个药品新增进入目录，3个国家药监部门注销文号的原目录内药品被调出。2022版医保目录将于2023年3月1日起正式实施。从患者负担看，通过谈判降价和医保报销，本次调整预计未来两年将为患者减负超过900亿元。</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宋体" w:hAnsi="宋体" w:eastAsia="宋体" w:cs="宋体"/>
          <w:sz w:val="28"/>
          <w:szCs w:val="28"/>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宋体" w:hAnsi="宋体" w:eastAsia="宋体" w:cs="宋体"/>
          <w:i w:val="0"/>
          <w:iCs w:val="0"/>
          <w:caps w:val="0"/>
          <w:color w:val="222222"/>
          <w:spacing w:val="8"/>
          <w:sz w:val="28"/>
          <w:szCs w:val="28"/>
          <w:shd w:val="clear" w:fill="FFFFFF"/>
        </w:rPr>
      </w:pPr>
      <w:r>
        <w:rPr>
          <w:rFonts w:hint="eastAsia" w:ascii="宋体" w:hAnsi="宋体" w:eastAsia="宋体" w:cs="宋体"/>
          <w:b/>
          <w:bCs/>
          <w:i w:val="0"/>
          <w:iCs w:val="0"/>
          <w:caps w:val="0"/>
          <w:color w:val="1C7B86"/>
          <w:spacing w:val="8"/>
          <w:sz w:val="28"/>
          <w:szCs w:val="28"/>
          <w:shd w:val="clear" w:fill="FFFFFF"/>
        </w:rPr>
        <w:t>平均降幅60.1%！新增111个药品，3个药品被剔除</w:t>
      </w:r>
      <w:r>
        <w:rPr>
          <w:rFonts w:hint="eastAsia" w:ascii="宋体" w:hAnsi="宋体" w:eastAsia="宋体" w:cs="宋体"/>
          <w:i w:val="0"/>
          <w:iCs w:val="0"/>
          <w:caps w:val="0"/>
          <w:color w:val="222222"/>
          <w:spacing w:val="8"/>
          <w:sz w:val="28"/>
          <w:szCs w:val="28"/>
          <w:shd w:val="clear" w:fill="FFFFFF"/>
        </w:rPr>
        <w:br w:type="textWrapp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92" w:firstLineChars="200"/>
        <w:jc w:val="both"/>
      </w:pPr>
      <w:r>
        <w:rPr>
          <w:rFonts w:hint="eastAsia" w:ascii="宋体" w:hAnsi="宋体" w:eastAsia="宋体" w:cs="宋体"/>
          <w:i w:val="0"/>
          <w:iCs w:val="0"/>
          <w:caps w:val="0"/>
          <w:color w:val="222222"/>
          <w:spacing w:val="8"/>
          <w:sz w:val="28"/>
          <w:szCs w:val="28"/>
          <w:shd w:val="clear" w:fill="FFFFFF"/>
        </w:rPr>
        <w:t>从谈判/竞价情况看，共计147个药品（含目录内药品续约谈判）参加谈判/竞价，最终121个药品谈判/竞价成功，总成功率达82.3%；从降价幅度看，此次医保谈判平均降幅达60.1%，与2021年基本持平，最大降幅超过90%。</w:t>
      </w:r>
      <w:r>
        <w:rPr>
          <w:rFonts w:hint="eastAsia" w:ascii="宋体" w:hAnsi="宋体" w:eastAsia="宋体" w:cs="宋体"/>
          <w:i w:val="0"/>
          <w:iCs w:val="0"/>
          <w:caps w:val="0"/>
          <w:color w:val="222222"/>
          <w:spacing w:val="8"/>
          <w:sz w:val="28"/>
          <w:szCs w:val="28"/>
          <w:shd w:val="clear" w:fill="FFFFFF"/>
        </w:rPr>
        <w:br w:type="textWrapping"/>
      </w:r>
      <w:r>
        <w:rPr>
          <w:rFonts w:hint="eastAsia" w:cs="宋体"/>
          <w:i w:val="0"/>
          <w:iCs w:val="0"/>
          <w:caps w:val="0"/>
          <w:color w:val="222222"/>
          <w:spacing w:val="8"/>
          <w:sz w:val="28"/>
          <w:szCs w:val="28"/>
          <w:shd w:val="clear" w:fill="FFFFFF"/>
          <w:lang w:val="en-US" w:eastAsia="zh-CN"/>
        </w:rPr>
        <w:t xml:space="preserve">    </w:t>
      </w:r>
      <w:r>
        <w:rPr>
          <w:rFonts w:hint="eastAsia" w:ascii="宋体" w:hAnsi="宋体" w:eastAsia="宋体" w:cs="宋体"/>
          <w:i w:val="0"/>
          <w:iCs w:val="0"/>
          <w:caps w:val="0"/>
          <w:color w:val="222222"/>
          <w:spacing w:val="8"/>
          <w:sz w:val="28"/>
          <w:szCs w:val="28"/>
          <w:shd w:val="clear" w:fill="FFFFFF"/>
        </w:rPr>
        <w:t>121个药品中有111个为目录外药品：3个非独家药品直接调入，17个非独家药品通过竞价准入方式被调入；91个独家药品通过谈判准入方式被调入。111个新增药品包括慢病药56个、抗肿瘤药23个、抗感染药17个、罕见病药7个、新冠治疗药2个等。</w:t>
      </w:r>
      <w:r>
        <w:rPr>
          <w:rFonts w:hint="eastAsia" w:ascii="宋体" w:hAnsi="宋体" w:eastAsia="宋体" w:cs="宋体"/>
          <w:i w:val="0"/>
          <w:iCs w:val="0"/>
          <w:caps w:val="0"/>
          <w:color w:val="222222"/>
          <w:spacing w:val="8"/>
          <w:sz w:val="28"/>
          <w:szCs w:val="28"/>
          <w:shd w:val="clear" w:fill="FFFFFF"/>
        </w:rPr>
        <w:br w:type="textWrapping"/>
      </w:r>
      <w:r>
        <w:rPr>
          <w:rFonts w:hint="eastAsia" w:cs="宋体"/>
          <w:i w:val="0"/>
          <w:iCs w:val="0"/>
          <w:caps w:val="0"/>
          <w:color w:val="222222"/>
          <w:spacing w:val="8"/>
          <w:sz w:val="28"/>
          <w:szCs w:val="28"/>
          <w:shd w:val="clear" w:fill="FFFFFF"/>
          <w:lang w:val="en-US" w:eastAsia="zh-CN"/>
        </w:rPr>
        <w:t xml:space="preserve">    </w:t>
      </w:r>
      <w:r>
        <w:rPr>
          <w:rFonts w:hint="eastAsia" w:ascii="宋体" w:hAnsi="宋体" w:eastAsia="宋体" w:cs="宋体"/>
          <w:i w:val="0"/>
          <w:iCs w:val="0"/>
          <w:caps w:val="0"/>
          <w:color w:val="222222"/>
          <w:spacing w:val="8"/>
          <w:sz w:val="28"/>
          <w:szCs w:val="28"/>
          <w:shd w:val="clear" w:fill="FFFFFF"/>
        </w:rPr>
        <w:t>通过本轮调整，国家医保药品目录内药品总数达2967种，其中西药1586种，中成药1381种；中药饮片未作调整，仍为892种。</w:t>
      </w:r>
      <w:r>
        <w:rPr>
          <w:rFonts w:hint="eastAsia" w:ascii="宋体" w:hAnsi="宋体" w:eastAsia="宋体" w:cs="宋体"/>
          <w:i w:val="0"/>
          <w:iCs w:val="0"/>
          <w:caps w:val="0"/>
          <w:color w:val="222222"/>
          <w:spacing w:val="8"/>
          <w:sz w:val="28"/>
          <w:szCs w:val="28"/>
          <w:shd w:val="clear" w:fill="FFFFFF"/>
        </w:rPr>
        <w:br w:type="textWrapping"/>
      </w:r>
      <w:r>
        <w:rPr>
          <w:rFonts w:hint="eastAsia" w:cs="宋体"/>
          <w:i w:val="0"/>
          <w:iCs w:val="0"/>
          <w:caps w:val="0"/>
          <w:color w:val="222222"/>
          <w:spacing w:val="8"/>
          <w:sz w:val="28"/>
          <w:szCs w:val="28"/>
          <w:shd w:val="clear" w:fill="FFFFFF"/>
          <w:lang w:val="en-US" w:eastAsia="zh-CN"/>
        </w:rPr>
        <w:t xml:space="preserve">    </w:t>
      </w:r>
      <w:r>
        <w:rPr>
          <w:rFonts w:hint="eastAsia" w:ascii="宋体" w:hAnsi="宋体" w:eastAsia="宋体" w:cs="宋体"/>
          <w:i w:val="0"/>
          <w:iCs w:val="0"/>
          <w:caps w:val="0"/>
          <w:color w:val="222222"/>
          <w:spacing w:val="8"/>
          <w:sz w:val="28"/>
          <w:szCs w:val="28"/>
          <w:shd w:val="clear" w:fill="FFFFFF"/>
        </w:rPr>
        <w:t>2016年至今，国家医保谈判已经进行了七轮，不断优化目录内药品结构和疗效水平，将肿瘤药、慢病药、罕见病药和儿童用药等保障短板逐步补齐。与往年相比，2022年国谈新增品种数量、谈判成功率等均有质的飞越。</w:t>
      </w:r>
      <w:r>
        <w:rPr>
          <w:rFonts w:hint="eastAsia" w:ascii="宋体" w:hAnsi="宋体" w:eastAsia="宋体" w:cs="宋体"/>
          <w:i w:val="0"/>
          <w:iCs w:val="0"/>
          <w:caps w:val="0"/>
          <w:color w:val="222222"/>
          <w:spacing w:val="8"/>
          <w:sz w:val="28"/>
          <w:szCs w:val="28"/>
          <w:shd w:val="clear" w:fill="FFFFFF"/>
        </w:rPr>
        <w:br w:type="textWrapping"/>
      </w:r>
      <w:r>
        <w:rPr>
          <w:rFonts w:hint="eastAsia" w:ascii="宋体" w:hAnsi="宋体" w:eastAsia="宋体" w:cs="宋体"/>
          <w:i w:val="0"/>
          <w:iCs w:val="0"/>
          <w:caps w:val="0"/>
          <w:color w:val="222222"/>
          <w:spacing w:val="8"/>
          <w:sz w:val="28"/>
          <w:szCs w:val="28"/>
          <w:shd w:val="clear" w:fill="FFFFFF"/>
        </w:rPr>
        <w:br w:type="textWrapping"/>
      </w:r>
      <w:r>
        <w:rPr>
          <w:rFonts w:hint="eastAsia" w:ascii="Microsoft YaHei UI" w:hAnsi="Microsoft YaHei UI" w:eastAsia="Microsoft YaHei UI" w:cs="Microsoft YaHei UI"/>
          <w:i w:val="0"/>
          <w:iCs w:val="0"/>
          <w:caps w:val="0"/>
          <w:color w:val="222222"/>
          <w:spacing w:val="8"/>
          <w:sz w:val="22"/>
          <w:szCs w:val="22"/>
          <w:shd w:val="clear" w:fill="FFFFFF"/>
        </w:rPr>
        <w:t>表1：2016-2022年国家医保药品谈判情况</w:t>
      </w:r>
      <w:r>
        <w:rPr>
          <w:rFonts w:hint="eastAsia" w:ascii="Microsoft YaHei UI" w:hAnsi="Microsoft YaHei UI" w:eastAsia="Microsoft YaHei UI" w:cs="Microsoft YaHei UI"/>
          <w:i w:val="0"/>
          <w:iCs w:val="0"/>
          <w:caps w:val="0"/>
          <w:color w:val="222222"/>
          <w:spacing w:val="8"/>
          <w:sz w:val="22"/>
          <w:szCs w:val="22"/>
          <w:shd w:val="clear" w:fill="FFFFFF"/>
        </w:rPr>
        <w:br w:type="textWrapping"/>
      </w:r>
      <w:r>
        <w:rPr>
          <w:rFonts w:hint="eastAsia" w:ascii="Microsoft YaHei UI" w:hAnsi="Microsoft YaHei UI" w:eastAsia="Microsoft YaHei UI" w:cs="Microsoft YaHei UI"/>
          <w:i w:val="0"/>
          <w:iCs w:val="0"/>
          <w:caps w:val="0"/>
          <w:color w:val="222222"/>
          <w:spacing w:val="8"/>
          <w:sz w:val="25"/>
          <w:szCs w:val="25"/>
          <w:shd w:val="clear" w:fill="FFFFFF"/>
        </w:rPr>
        <w:drawing>
          <wp:inline distT="0" distB="0" distL="114300" distR="114300">
            <wp:extent cx="5327650" cy="2283460"/>
            <wp:effectExtent l="0" t="0" r="6350" b="2540"/>
            <wp:docPr id="22"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descr="IMG_256"/>
                    <pic:cNvPicPr>
                      <a:picLocks noChangeAspect="1"/>
                    </pic:cNvPicPr>
                  </pic:nvPicPr>
                  <pic:blipFill>
                    <a:blip r:embed="rId12"/>
                    <a:stretch>
                      <a:fillRect/>
                    </a:stretch>
                  </pic:blipFill>
                  <pic:spPr>
                    <a:xfrm>
                      <a:off x="0" y="0"/>
                      <a:ext cx="5327650" cy="228346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color w:val="222222"/>
          <w:spacing w:val="8"/>
          <w:sz w:val="25"/>
          <w:szCs w:val="25"/>
          <w:shd w:val="clear" w:fill="FFFFFF"/>
        </w:rPr>
        <w:br w:type="textWrapping"/>
      </w:r>
      <w:r>
        <w:rPr>
          <w:rFonts w:hint="eastAsia" w:ascii="Microsoft YaHei UI" w:hAnsi="Microsoft YaHei UI" w:eastAsia="Microsoft YaHei UI" w:cs="Microsoft YaHei UI"/>
          <w:i w:val="0"/>
          <w:iCs w:val="0"/>
          <w:caps w:val="0"/>
          <w:color w:val="222222"/>
          <w:spacing w:val="8"/>
          <w:sz w:val="21"/>
          <w:szCs w:val="21"/>
          <w:shd w:val="clear" w:fill="FFFFFF"/>
        </w:rPr>
        <w:t>来源：国家医保局、国家人社局等，米内网整理</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宋体" w:hAnsi="宋体" w:eastAsia="宋体" w:cs="宋体"/>
          <w:i w:val="0"/>
          <w:iCs w:val="0"/>
          <w:caps w:val="0"/>
          <w:color w:val="222222"/>
          <w:spacing w:val="8"/>
          <w:sz w:val="28"/>
          <w:szCs w:val="28"/>
          <w:shd w:val="clear" w:fill="FFFFFF"/>
        </w:rPr>
      </w:pPr>
      <w:r>
        <w:rPr>
          <w:rFonts w:hint="eastAsia" w:ascii="宋体" w:hAnsi="宋体" w:eastAsia="宋体" w:cs="宋体"/>
          <w:b/>
          <w:bCs/>
          <w:i w:val="0"/>
          <w:iCs w:val="0"/>
          <w:caps w:val="0"/>
          <w:color w:val="1C7B86"/>
          <w:spacing w:val="8"/>
          <w:sz w:val="28"/>
          <w:szCs w:val="28"/>
          <w:shd w:val="clear" w:fill="FFFFFF"/>
        </w:rPr>
        <w:t>91个独家产品！国产新药、罕见病药、儿童药成绩喜人</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ind w:left="0" w:right="0" w:firstLine="592" w:firstLineChars="200"/>
        <w:jc w:val="both"/>
        <w:rPr>
          <w:rStyle w:val="14"/>
          <w:rFonts w:hint="eastAsia" w:ascii="Microsoft YaHei UI" w:hAnsi="Microsoft YaHei UI" w:eastAsia="Microsoft YaHei UI" w:cs="Microsoft YaHei UI"/>
          <w:i w:val="0"/>
          <w:iCs w:val="0"/>
          <w:caps w:val="0"/>
          <w:color w:val="222222"/>
          <w:spacing w:val="8"/>
          <w:sz w:val="22"/>
          <w:szCs w:val="22"/>
          <w:shd w:val="clear" w:fill="FFFFFF"/>
        </w:rPr>
      </w:pPr>
      <w:r>
        <w:rPr>
          <w:rFonts w:hint="eastAsia" w:ascii="宋体" w:hAnsi="宋体" w:eastAsia="宋体" w:cs="宋体"/>
          <w:i w:val="0"/>
          <w:iCs w:val="0"/>
          <w:caps w:val="0"/>
          <w:color w:val="222222"/>
          <w:spacing w:val="8"/>
          <w:sz w:val="28"/>
          <w:szCs w:val="28"/>
          <w:shd w:val="clear" w:fill="FFFFFF"/>
        </w:rPr>
        <w:t>111个医保新增药品中，有91个为独家产品（含独家剂型）。国产企业中，恒瑞医药、科伦、天士力、以岭药业等表现亮眼；进口药企中，诺华、武田、默沙东、艾伯维、辉瑞等均有2个及以上的独家品种新增进医保。</w:t>
      </w:r>
      <w:r>
        <w:rPr>
          <w:rFonts w:hint="eastAsia" w:ascii="宋体" w:hAnsi="宋体" w:eastAsia="宋体" w:cs="宋体"/>
          <w:i w:val="0"/>
          <w:iCs w:val="0"/>
          <w:caps w:val="0"/>
          <w:color w:val="222222"/>
          <w:spacing w:val="8"/>
          <w:sz w:val="28"/>
          <w:szCs w:val="28"/>
          <w:shd w:val="clear" w:fill="FFFFFF"/>
        </w:rPr>
        <w:br w:type="textWrapping"/>
      </w:r>
      <w:r>
        <w:rPr>
          <w:rFonts w:hint="eastAsia" w:cs="宋体"/>
          <w:i w:val="0"/>
          <w:iCs w:val="0"/>
          <w:caps w:val="0"/>
          <w:color w:val="222222"/>
          <w:spacing w:val="8"/>
          <w:sz w:val="28"/>
          <w:szCs w:val="28"/>
          <w:shd w:val="clear" w:fill="FFFFFF"/>
          <w:lang w:val="en-US" w:eastAsia="zh-CN"/>
        </w:rPr>
        <w:t xml:space="preserve">    </w:t>
      </w:r>
      <w:r>
        <w:rPr>
          <w:rFonts w:hint="eastAsia" w:ascii="宋体" w:hAnsi="宋体" w:eastAsia="宋体" w:cs="宋体"/>
          <w:i w:val="0"/>
          <w:iCs w:val="0"/>
          <w:caps w:val="0"/>
          <w:color w:val="222222"/>
          <w:spacing w:val="8"/>
          <w:sz w:val="28"/>
          <w:szCs w:val="28"/>
          <w:shd w:val="clear" w:fill="FFFFFF"/>
        </w:rPr>
        <w:t>此次国家医保谈判继续支持国产重大创新药品进入目录，并全力支持新冠病毒感染治疗药物。20个国产重大创新药品、2个新冠治疗药新增进入医保，其中阿兹夫定片降至11.58元/片/3mg，第十版新冠病毒感染诊疗方案涉及的25个已上市药品中，21个已被正式纳入国家医保目录。</w:t>
      </w:r>
      <w:r>
        <w:rPr>
          <w:rFonts w:hint="eastAsia" w:ascii="宋体" w:hAnsi="宋体" w:eastAsia="宋体" w:cs="宋体"/>
          <w:i w:val="0"/>
          <w:iCs w:val="0"/>
          <w:caps w:val="0"/>
          <w:color w:val="222222"/>
          <w:spacing w:val="8"/>
          <w:sz w:val="28"/>
          <w:szCs w:val="28"/>
          <w:shd w:val="clear" w:fill="FFFFFF"/>
        </w:rPr>
        <w:br w:type="textWrapping"/>
      </w:r>
      <w:r>
        <w:rPr>
          <w:rFonts w:hint="eastAsia" w:ascii="宋体" w:hAnsi="宋体" w:eastAsia="宋体" w:cs="宋体"/>
          <w:i w:val="0"/>
          <w:iCs w:val="0"/>
          <w:caps w:val="0"/>
          <w:color w:val="222222"/>
          <w:spacing w:val="8"/>
          <w:sz w:val="28"/>
          <w:szCs w:val="28"/>
          <w:shd w:val="clear" w:fill="FFFFFF"/>
        </w:rPr>
        <w:br w:type="textWrapping"/>
      </w:r>
      <w:r>
        <w:rPr>
          <w:rFonts w:hint="eastAsia" w:ascii="Microsoft YaHei UI" w:hAnsi="Microsoft YaHei UI" w:eastAsia="Microsoft YaHei UI" w:cs="Microsoft YaHei UI"/>
          <w:i w:val="0"/>
          <w:iCs w:val="0"/>
          <w:caps w:val="0"/>
          <w:color w:val="222222"/>
          <w:spacing w:val="8"/>
          <w:sz w:val="22"/>
          <w:szCs w:val="22"/>
          <w:shd w:val="clear" w:fill="FFFFFF"/>
        </w:rPr>
        <w:t>表2：新增进入医保的国产1类新药</w:t>
      </w:r>
      <w:r>
        <w:rPr>
          <w:rFonts w:hint="eastAsia" w:ascii="Microsoft YaHei UI" w:hAnsi="Microsoft YaHei UI" w:eastAsia="Microsoft YaHei UI" w:cs="Microsoft YaHei UI"/>
          <w:i w:val="0"/>
          <w:iCs w:val="0"/>
          <w:caps w:val="0"/>
          <w:color w:val="222222"/>
          <w:spacing w:val="8"/>
          <w:sz w:val="22"/>
          <w:szCs w:val="22"/>
          <w:shd w:val="clear" w:fill="FFFFFF"/>
        </w:rPr>
        <w:br w:type="textWrapping"/>
      </w:r>
      <w:r>
        <w:rPr>
          <w:rFonts w:hint="eastAsia" w:ascii="Microsoft YaHei UI" w:hAnsi="Microsoft YaHei UI" w:eastAsia="Microsoft YaHei UI" w:cs="Microsoft YaHei UI"/>
          <w:i w:val="0"/>
          <w:iCs w:val="0"/>
          <w:caps w:val="0"/>
          <w:color w:val="222222"/>
          <w:spacing w:val="8"/>
          <w:sz w:val="25"/>
          <w:szCs w:val="25"/>
          <w:shd w:val="clear" w:fill="FFFFFF"/>
        </w:rPr>
        <w:drawing>
          <wp:inline distT="0" distB="0" distL="114300" distR="114300">
            <wp:extent cx="5327015" cy="4476750"/>
            <wp:effectExtent l="0" t="0" r="6985" b="0"/>
            <wp:docPr id="24" name="图片 16"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6" descr="IMG_257"/>
                    <pic:cNvPicPr>
                      <a:picLocks noChangeAspect="1"/>
                    </pic:cNvPicPr>
                  </pic:nvPicPr>
                  <pic:blipFill>
                    <a:blip r:embed="rId13"/>
                    <a:stretch>
                      <a:fillRect/>
                    </a:stretch>
                  </pic:blipFill>
                  <pic:spPr>
                    <a:xfrm>
                      <a:off x="0" y="0"/>
                      <a:ext cx="5327015" cy="447675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color w:val="222222"/>
          <w:spacing w:val="8"/>
          <w:sz w:val="25"/>
          <w:szCs w:val="25"/>
          <w:shd w:val="clear" w:fill="FFFFFF"/>
        </w:rPr>
        <w:br w:type="textWrapping"/>
      </w:r>
      <w:r>
        <w:rPr>
          <w:rFonts w:hint="eastAsia" w:ascii="Microsoft YaHei UI" w:hAnsi="Microsoft YaHei UI" w:eastAsia="Microsoft YaHei UI" w:cs="Microsoft YaHei UI"/>
          <w:i w:val="0"/>
          <w:iCs w:val="0"/>
          <w:caps w:val="0"/>
          <w:color w:val="222222"/>
          <w:spacing w:val="8"/>
          <w:sz w:val="21"/>
          <w:szCs w:val="21"/>
          <w:shd w:val="clear" w:fill="FFFFFF"/>
        </w:rPr>
        <w:t>来源：国家医保局，米内网整理</w:t>
      </w:r>
      <w:r>
        <w:rPr>
          <w:rFonts w:hint="eastAsia" w:ascii="Microsoft YaHei UI" w:hAnsi="Microsoft YaHei UI" w:eastAsia="Microsoft YaHei UI" w:cs="Microsoft YaHei UI"/>
          <w:i w:val="0"/>
          <w:iCs w:val="0"/>
          <w:caps w:val="0"/>
          <w:color w:val="222222"/>
          <w:spacing w:val="8"/>
          <w:sz w:val="21"/>
          <w:szCs w:val="21"/>
          <w:shd w:val="clear" w:fill="FFFFFF"/>
        </w:rPr>
        <w:br w:type="textWrapping"/>
      </w:r>
      <w:r>
        <w:rPr>
          <w:rStyle w:val="14"/>
          <w:rFonts w:hint="eastAsia" w:ascii="Microsoft YaHei UI" w:hAnsi="Microsoft YaHei UI" w:eastAsia="Microsoft YaHei UI" w:cs="Microsoft YaHei UI"/>
          <w:i w:val="0"/>
          <w:iCs w:val="0"/>
          <w:caps w:val="0"/>
          <w:color w:val="222222"/>
          <w:spacing w:val="8"/>
          <w:sz w:val="22"/>
          <w:szCs w:val="22"/>
          <w:shd w:val="clear" w:fill="FFFFFF"/>
        </w:rPr>
        <w:br w:type="textWrapping"/>
      </w:r>
      <w:r>
        <w:rPr>
          <w:rStyle w:val="14"/>
          <w:rFonts w:hint="eastAsia" w:ascii="Microsoft YaHei UI" w:hAnsi="Microsoft YaHei UI" w:eastAsia="Microsoft YaHei UI" w:cs="Microsoft YaHei UI"/>
          <w:i w:val="0"/>
          <w:iCs w:val="0"/>
          <w:caps w:val="0"/>
          <w:color w:val="222222"/>
          <w:spacing w:val="8"/>
          <w:sz w:val="22"/>
          <w:szCs w:val="22"/>
          <w:shd w:val="clear" w:fill="FFFFFF"/>
          <w:lang w:val="en-US" w:eastAsia="zh-CN"/>
        </w:rPr>
        <w:t xml:space="preserve">    </w:t>
      </w:r>
      <w:r>
        <w:rPr>
          <w:rStyle w:val="14"/>
          <w:rFonts w:hint="eastAsia" w:ascii="宋体" w:hAnsi="宋体" w:eastAsia="宋体" w:cs="宋体"/>
          <w:i w:val="0"/>
          <w:iCs w:val="0"/>
          <w:caps w:val="0"/>
          <w:color w:val="222222"/>
          <w:spacing w:val="8"/>
          <w:sz w:val="28"/>
          <w:szCs w:val="28"/>
          <w:shd w:val="clear" w:fill="FFFFFF"/>
        </w:rPr>
        <w:t>17个国产1类新药成功纳入医保</w:t>
      </w:r>
      <w:r>
        <w:rPr>
          <w:rFonts w:hint="eastAsia" w:ascii="宋体" w:hAnsi="宋体" w:eastAsia="宋体" w:cs="宋体"/>
          <w:i w:val="0"/>
          <w:iCs w:val="0"/>
          <w:caps w:val="0"/>
          <w:color w:val="222222"/>
          <w:spacing w:val="8"/>
          <w:sz w:val="28"/>
          <w:szCs w:val="28"/>
          <w:shd w:val="clear" w:fill="FFFFFF"/>
        </w:rPr>
        <w:t>，其中10个为化学药、6个为中成药、1个为治疗用生物制品，涵盖PPAR、Bcr-ABL、SGLT2、AR、MET等靶点，适应症以抗肿瘤及消化系统治疗领域为主。</w:t>
      </w:r>
      <w:r>
        <w:rPr>
          <w:rFonts w:hint="eastAsia" w:ascii="宋体" w:hAnsi="宋体" w:eastAsia="宋体" w:cs="宋体"/>
          <w:i w:val="0"/>
          <w:iCs w:val="0"/>
          <w:caps w:val="0"/>
          <w:color w:val="222222"/>
          <w:spacing w:val="8"/>
          <w:sz w:val="28"/>
          <w:szCs w:val="28"/>
          <w:shd w:val="clear" w:fill="FFFFFF"/>
        </w:rPr>
        <w:br w:type="textWrapping"/>
      </w:r>
      <w:r>
        <w:rPr>
          <w:rFonts w:hint="eastAsia" w:cs="宋体"/>
          <w:i w:val="0"/>
          <w:iCs w:val="0"/>
          <w:caps w:val="0"/>
          <w:color w:val="222222"/>
          <w:spacing w:val="8"/>
          <w:sz w:val="28"/>
          <w:szCs w:val="28"/>
          <w:shd w:val="clear" w:fill="FFFFFF"/>
          <w:lang w:val="en-US" w:eastAsia="zh-CN"/>
        </w:rPr>
        <w:t xml:space="preserve">    </w:t>
      </w:r>
      <w:r>
        <w:rPr>
          <w:rFonts w:hint="eastAsia" w:ascii="宋体" w:hAnsi="宋体" w:eastAsia="宋体" w:cs="宋体"/>
          <w:i w:val="0"/>
          <w:iCs w:val="0"/>
          <w:caps w:val="0"/>
          <w:color w:val="222222"/>
          <w:spacing w:val="8"/>
          <w:sz w:val="28"/>
          <w:szCs w:val="28"/>
          <w:shd w:val="clear" w:fill="FFFFFF"/>
        </w:rPr>
        <w:t>恒瑞医药领跑，有3款1类新药首次被纳入，其中羟乙磺酸达尔西利片是首个国产的CDK4/6抑制剂，脯氨酸恒格列净片是首个国产的SGLT2抑制剂，瑞维鲁胺片是首个国产AR抑制剂。</w:t>
      </w:r>
      <w:r>
        <w:rPr>
          <w:rFonts w:hint="eastAsia" w:ascii="宋体" w:hAnsi="宋体" w:eastAsia="宋体" w:cs="宋体"/>
          <w:i w:val="0"/>
          <w:iCs w:val="0"/>
          <w:caps w:val="0"/>
          <w:color w:val="222222"/>
          <w:spacing w:val="8"/>
          <w:sz w:val="28"/>
          <w:szCs w:val="28"/>
          <w:shd w:val="clear" w:fill="FFFFFF"/>
        </w:rPr>
        <w:br w:type="textWrapping"/>
      </w:r>
      <w:r>
        <w:rPr>
          <w:rFonts w:hint="eastAsia" w:cs="宋体"/>
          <w:i w:val="0"/>
          <w:iCs w:val="0"/>
          <w:caps w:val="0"/>
          <w:color w:val="222222"/>
          <w:spacing w:val="8"/>
          <w:sz w:val="28"/>
          <w:szCs w:val="28"/>
          <w:shd w:val="clear" w:fill="FFFFFF"/>
          <w:lang w:val="en-US" w:eastAsia="zh-CN"/>
        </w:rPr>
        <w:t xml:space="preserve">    </w:t>
      </w:r>
      <w:r>
        <w:rPr>
          <w:rFonts w:hint="eastAsia" w:ascii="宋体" w:hAnsi="宋体" w:eastAsia="宋体" w:cs="宋体"/>
          <w:i w:val="0"/>
          <w:iCs w:val="0"/>
          <w:caps w:val="0"/>
          <w:color w:val="222222"/>
          <w:spacing w:val="8"/>
          <w:sz w:val="28"/>
          <w:szCs w:val="28"/>
          <w:shd w:val="clear" w:fill="FFFFFF"/>
        </w:rPr>
        <w:t>此外，亚盛医药与信达生物共同开发和商业化推广的奥雷巴替尼片是中国首个、也是目前唯一一款三代Bcr-Abl抑制剂；和记黄埔的赛沃替尼片是国内首个MET抑制剂，也是首个治疗MET外显子14跳跃突变癌症的国产靶向药；罗欣药业的替戈拉生片为国内首个新型钾离子竞争性酸阻滞剂类药物；微芯生物的西格列他钠片为全球首个PPAR全激动剂。</w:t>
      </w:r>
      <w:r>
        <w:rPr>
          <w:rFonts w:hint="eastAsia" w:ascii="宋体" w:hAnsi="宋体" w:eastAsia="宋体" w:cs="宋体"/>
          <w:i w:val="0"/>
          <w:iCs w:val="0"/>
          <w:caps w:val="0"/>
          <w:color w:val="222222"/>
          <w:spacing w:val="8"/>
          <w:sz w:val="28"/>
          <w:szCs w:val="28"/>
          <w:shd w:val="clear" w:fill="FFFFFF"/>
        </w:rPr>
        <w:br w:type="textWrapping"/>
      </w:r>
      <w:r>
        <w:rPr>
          <w:rFonts w:hint="eastAsia" w:ascii="Microsoft YaHei UI" w:hAnsi="Microsoft YaHei UI" w:eastAsia="Microsoft YaHei UI" w:cs="Microsoft YaHei UI"/>
          <w:i w:val="0"/>
          <w:iCs w:val="0"/>
          <w:caps w:val="0"/>
          <w:color w:val="222222"/>
          <w:spacing w:val="8"/>
          <w:sz w:val="22"/>
          <w:szCs w:val="22"/>
          <w:shd w:val="clear" w:fill="FFFFFF"/>
        </w:rPr>
        <w:br w:type="textWrapping"/>
      </w:r>
      <w:r>
        <w:rPr>
          <w:rFonts w:hint="eastAsia" w:ascii="Microsoft YaHei UI" w:hAnsi="Microsoft YaHei UI" w:eastAsia="Microsoft YaHei UI" w:cs="Microsoft YaHei UI"/>
          <w:i w:val="0"/>
          <w:iCs w:val="0"/>
          <w:caps w:val="0"/>
          <w:color w:val="222222"/>
          <w:spacing w:val="8"/>
          <w:sz w:val="22"/>
          <w:szCs w:val="22"/>
          <w:shd w:val="clear" w:fill="FFFFFF"/>
        </w:rPr>
        <w:t>表3：新增进入医保的罕见病药</w:t>
      </w:r>
      <w:r>
        <w:rPr>
          <w:rFonts w:hint="eastAsia" w:ascii="Microsoft YaHei UI" w:hAnsi="Microsoft YaHei UI" w:eastAsia="Microsoft YaHei UI" w:cs="Microsoft YaHei UI"/>
          <w:i w:val="0"/>
          <w:iCs w:val="0"/>
          <w:caps w:val="0"/>
          <w:color w:val="222222"/>
          <w:spacing w:val="8"/>
          <w:sz w:val="22"/>
          <w:szCs w:val="22"/>
          <w:shd w:val="clear" w:fill="FFFFFF"/>
        </w:rPr>
        <w:br w:type="textWrapping"/>
      </w:r>
      <w:r>
        <w:rPr>
          <w:rFonts w:hint="eastAsia" w:ascii="Microsoft YaHei UI" w:hAnsi="Microsoft YaHei UI" w:eastAsia="Microsoft YaHei UI" w:cs="Microsoft YaHei UI"/>
          <w:i w:val="0"/>
          <w:iCs w:val="0"/>
          <w:caps w:val="0"/>
          <w:color w:val="222222"/>
          <w:spacing w:val="8"/>
          <w:sz w:val="25"/>
          <w:szCs w:val="25"/>
          <w:shd w:val="clear" w:fill="FFFFFF"/>
        </w:rPr>
        <w:drawing>
          <wp:inline distT="0" distB="0" distL="114300" distR="114300">
            <wp:extent cx="5320030" cy="1960880"/>
            <wp:effectExtent l="0" t="0" r="13970" b="1270"/>
            <wp:docPr id="26" name="图片 17"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7" descr="IMG_258"/>
                    <pic:cNvPicPr>
                      <a:picLocks noChangeAspect="1"/>
                    </pic:cNvPicPr>
                  </pic:nvPicPr>
                  <pic:blipFill>
                    <a:blip r:embed="rId14"/>
                    <a:stretch>
                      <a:fillRect/>
                    </a:stretch>
                  </pic:blipFill>
                  <pic:spPr>
                    <a:xfrm>
                      <a:off x="0" y="0"/>
                      <a:ext cx="5320030" cy="196088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color w:val="222222"/>
          <w:spacing w:val="8"/>
          <w:sz w:val="25"/>
          <w:szCs w:val="25"/>
          <w:shd w:val="clear" w:fill="FFFFFF"/>
        </w:rPr>
        <w:br w:type="textWrapping"/>
      </w:r>
      <w:r>
        <w:rPr>
          <w:rFonts w:hint="eastAsia" w:ascii="Microsoft YaHei UI" w:hAnsi="Microsoft YaHei UI" w:eastAsia="Microsoft YaHei UI" w:cs="Microsoft YaHei UI"/>
          <w:i w:val="0"/>
          <w:iCs w:val="0"/>
          <w:caps w:val="0"/>
          <w:color w:val="222222"/>
          <w:spacing w:val="8"/>
          <w:sz w:val="21"/>
          <w:szCs w:val="21"/>
          <w:shd w:val="clear" w:fill="FFFFFF"/>
        </w:rPr>
        <w:t>来源：国家医保局，米内网整理</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ind w:right="0" w:firstLine="594" w:firstLineChars="200"/>
        <w:jc w:val="both"/>
        <w:rPr>
          <w:rFonts w:hint="eastAsia" w:ascii="宋体" w:hAnsi="宋体" w:eastAsia="宋体" w:cs="宋体"/>
          <w:sz w:val="28"/>
          <w:szCs w:val="28"/>
        </w:rPr>
      </w:pPr>
      <w:r>
        <w:rPr>
          <w:rStyle w:val="14"/>
          <w:rFonts w:hint="eastAsia" w:ascii="宋体" w:hAnsi="宋体" w:eastAsia="宋体" w:cs="宋体"/>
          <w:i w:val="0"/>
          <w:iCs w:val="0"/>
          <w:caps w:val="0"/>
          <w:color w:val="222222"/>
          <w:spacing w:val="8"/>
          <w:sz w:val="28"/>
          <w:szCs w:val="28"/>
          <w:shd w:val="clear" w:fill="FFFFFF"/>
        </w:rPr>
        <w:t>7个罕见病药新增进入医保</w:t>
      </w:r>
      <w:r>
        <w:rPr>
          <w:rFonts w:hint="eastAsia" w:ascii="宋体" w:hAnsi="宋体" w:eastAsia="宋体" w:cs="宋体"/>
          <w:i w:val="0"/>
          <w:iCs w:val="0"/>
          <w:caps w:val="0"/>
          <w:color w:val="222222"/>
          <w:spacing w:val="8"/>
          <w:sz w:val="28"/>
          <w:szCs w:val="28"/>
          <w:shd w:val="clear" w:fill="FFFFFF"/>
        </w:rPr>
        <w:t>，包括兆科药业的肺动脉高压治疗药曲前列尼尔注射液、豪森药业用于治疗视神经脊髓炎的伊奈利珠单抗注射液、诺华用于复发型多发性硬化的奥法妥木单抗注射液、渤健用于复发型多发性硬化的富马酸二甲酯肠溶胶囊等。</w:t>
      </w:r>
      <w:r>
        <w:rPr>
          <w:rFonts w:hint="eastAsia" w:ascii="宋体" w:hAnsi="宋体" w:eastAsia="宋体" w:cs="宋体"/>
          <w:i w:val="0"/>
          <w:iCs w:val="0"/>
          <w:caps w:val="0"/>
          <w:color w:val="222222"/>
          <w:spacing w:val="8"/>
          <w:sz w:val="28"/>
          <w:szCs w:val="28"/>
          <w:shd w:val="clear" w:fill="FFFFFF"/>
        </w:rPr>
        <w:br w:type="textWrapping"/>
      </w:r>
      <w:r>
        <w:rPr>
          <w:rFonts w:hint="eastAsia" w:ascii="宋体" w:hAnsi="宋体" w:eastAsia="宋体" w:cs="宋体"/>
          <w:i w:val="0"/>
          <w:iCs w:val="0"/>
          <w:caps w:val="0"/>
          <w:color w:val="576B95"/>
          <w:spacing w:val="8"/>
          <w:sz w:val="28"/>
          <w:szCs w:val="28"/>
          <w:u w:val="none"/>
          <w:shd w:val="clear" w:fill="FFFFFF"/>
        </w:rPr>
        <w:fldChar w:fldCharType="begin"/>
      </w:r>
      <w:r>
        <w:rPr>
          <w:rFonts w:hint="eastAsia" w:ascii="宋体" w:hAnsi="宋体" w:eastAsia="宋体" w:cs="宋体"/>
          <w:i w:val="0"/>
          <w:iCs w:val="0"/>
          <w:caps w:val="0"/>
          <w:color w:val="576B95"/>
          <w:spacing w:val="8"/>
          <w:sz w:val="28"/>
          <w:szCs w:val="28"/>
          <w:u w:val="none"/>
          <w:shd w:val="clear" w:fill="FFFFFF"/>
        </w:rPr>
        <w:instrText xml:space="preserve"> HYPERLINK "https://mp.weixin.qq.com/s?__biz=MjM5NzQ4MTg2MQ==&amp;mid=2650406997&amp;idx=1&amp;sn=e8e4b6a5f594a4041fb81c5d26cdf57d&amp;chksm=bed7fcbf89a075a984a101ff1d0b3145b214a0212da4caa7d27447fb4434e104c8ae82ba8c2a&amp;mpshare=1&amp;scene=1&amp;srcid=0128WbN9XifIrrx6bFSL58X6&amp;sharer_sharetime=1674875085270&amp;sharer_shareid=1c26e7acad3d615c7b3d11da3d65844b&amp;key=44457dc618428a7e418da3c0561c1b784ad13819f9e4ee2a4d814428964703f622864f40a85ac88a9f66d40b9269ac4dfe25e2f016ec463ed2e9509fc1144a73cf79a872d68c8c9b6f39b26824dfaf5e77104e8c71012a4e29a96929956243530c599c3be7487551cc9ddcf1242b691fcab63500f2c9aa457a58438b7a9585c8&amp;ascene=1&amp;uin=MjMwNTExODczOA==&amp;devicetype=Windows+7+x64&amp;version=6308011a&amp;lang=zh_CN&amp;exportkey=n_ChQIAhIQ7wFwSgs4BnnUR/HcubPGyRLpAQIE97dBBAEAAAAAAAZCClcwQTgAAAAOpnltbLcz9gKNyK89dVj0S9zmam92uSbEzpnrg1DqM/mYwk7Rwoseqzm9t5xTw+1QZQq+ybLMGvG0OBNSzxL2AX6mC1svNHO4QgQBzqnLHkLPr93/2g6UZG6fAAISqcWWyjxN/KnpxHVh5ibzcaXUYesKrXskWEFmpj1FnMjq2j+7bOTcgPxRkp65XTdZDavX8E8lOfhYgQ6RPbzU0CudCNbFjOmAZBwZZr7FDXNssuvZZTRX2hbqLRBJ721qv65nqasexep6KbMYidzdKHhK1xYG&amp;acctmode=0&amp;pass_ticket=h2g7TvBBR8AKXDJWX4N7I/j30ecB5mm6anmy316+xLudlTLTqNe5nmjSpD0HENJM6pDQ1I7SEyeXrVgdiSxvag==&amp;wx_header=1&amp;fontgear=2" </w:instrText>
      </w:r>
      <w:r>
        <w:rPr>
          <w:rFonts w:hint="eastAsia" w:ascii="宋体" w:hAnsi="宋体" w:eastAsia="宋体" w:cs="宋体"/>
          <w:i w:val="0"/>
          <w:iCs w:val="0"/>
          <w:caps w:val="0"/>
          <w:color w:val="576B95"/>
          <w:spacing w:val="8"/>
          <w:sz w:val="28"/>
          <w:szCs w:val="28"/>
          <w:u w:val="none"/>
          <w:shd w:val="clear" w:fill="FFFFFF"/>
        </w:rPr>
        <w:fldChar w:fldCharType="separate"/>
      </w:r>
      <w:r>
        <w:rPr>
          <w:rStyle w:val="16"/>
          <w:rFonts w:hint="eastAsia" w:ascii="宋体" w:hAnsi="宋体" w:eastAsia="宋体" w:cs="宋体"/>
          <w:i w:val="0"/>
          <w:iCs w:val="0"/>
          <w:caps w:val="0"/>
          <w:color w:val="576B95"/>
          <w:spacing w:val="8"/>
          <w:sz w:val="28"/>
          <w:szCs w:val="28"/>
          <w:u w:val="none"/>
          <w:shd w:val="clear" w:fill="FFFFFF"/>
        </w:rPr>
        <w:t>米内网数据</w:t>
      </w:r>
      <w:r>
        <w:rPr>
          <w:rFonts w:hint="eastAsia" w:ascii="宋体" w:hAnsi="宋体" w:eastAsia="宋体" w:cs="宋体"/>
          <w:i w:val="0"/>
          <w:iCs w:val="0"/>
          <w:caps w:val="0"/>
          <w:color w:val="576B95"/>
          <w:spacing w:val="8"/>
          <w:sz w:val="28"/>
          <w:szCs w:val="28"/>
          <w:u w:val="none"/>
          <w:shd w:val="clear" w:fill="FFFFFF"/>
        </w:rPr>
        <w:fldChar w:fldCharType="end"/>
      </w:r>
      <w:r>
        <w:rPr>
          <w:rFonts w:hint="eastAsia" w:ascii="宋体" w:hAnsi="宋体" w:eastAsia="宋体" w:cs="宋体"/>
          <w:i w:val="0"/>
          <w:iCs w:val="0"/>
          <w:caps w:val="0"/>
          <w:color w:val="222222"/>
          <w:spacing w:val="8"/>
          <w:sz w:val="28"/>
          <w:szCs w:val="28"/>
          <w:shd w:val="clear" w:fill="FFFFFF"/>
        </w:rPr>
        <w:t>显示，近年来曲前列尼尔注射液在中国城市公立医院、县级公立医院、城市社区中心以及乡镇卫生院（简称中国公立医疗机构）终端销售额增速惊人，2021年同比增长186.89%，顺利进入医保后将进一步放量。</w:t>
      </w:r>
      <w:r>
        <w:rPr>
          <w:rFonts w:hint="eastAsia" w:ascii="宋体" w:hAnsi="宋体" w:eastAsia="宋体" w:cs="宋体"/>
          <w:i w:val="0"/>
          <w:iCs w:val="0"/>
          <w:caps w:val="0"/>
          <w:color w:val="222222"/>
          <w:spacing w:val="8"/>
          <w:sz w:val="28"/>
          <w:szCs w:val="28"/>
          <w:shd w:val="clear" w:fill="FFFFFF"/>
        </w:rPr>
        <w:br w:type="textWrapping"/>
      </w:r>
      <w:r>
        <w:rPr>
          <w:rFonts w:hint="eastAsia" w:ascii="宋体" w:hAnsi="宋体" w:eastAsia="宋体" w:cs="宋体"/>
          <w:i w:val="0"/>
          <w:iCs w:val="0"/>
          <w:caps w:val="0"/>
          <w:color w:val="222222"/>
          <w:spacing w:val="8"/>
          <w:sz w:val="28"/>
          <w:szCs w:val="28"/>
          <w:shd w:val="clear" w:fill="FFFFFF"/>
        </w:rPr>
        <w:br w:type="textWrapping"/>
      </w:r>
      <w:r>
        <w:rPr>
          <w:rFonts w:hint="eastAsia" w:ascii="Microsoft YaHei UI" w:hAnsi="Microsoft YaHei UI" w:eastAsia="Microsoft YaHei UI" w:cs="Microsoft YaHei UI"/>
          <w:i w:val="0"/>
          <w:iCs w:val="0"/>
          <w:caps w:val="0"/>
          <w:color w:val="222222"/>
          <w:spacing w:val="8"/>
          <w:sz w:val="22"/>
          <w:szCs w:val="22"/>
          <w:shd w:val="clear" w:fill="FFFFFF"/>
        </w:rPr>
        <w:t>图1：部分罕见病药进保前国内中标价格</w:t>
      </w:r>
      <w:r>
        <w:rPr>
          <w:rFonts w:hint="eastAsia" w:ascii="Microsoft YaHei UI" w:hAnsi="Microsoft YaHei UI" w:eastAsia="Microsoft YaHei UI" w:cs="Microsoft YaHei UI"/>
          <w:i w:val="0"/>
          <w:iCs w:val="0"/>
          <w:caps w:val="0"/>
          <w:color w:val="222222"/>
          <w:spacing w:val="8"/>
          <w:sz w:val="22"/>
          <w:szCs w:val="22"/>
          <w:shd w:val="clear" w:fill="FFFFFF"/>
        </w:rPr>
        <w:br w:type="textWrapping"/>
      </w:r>
      <w:r>
        <w:rPr>
          <w:rFonts w:hint="eastAsia" w:ascii="Microsoft YaHei UI" w:hAnsi="Microsoft YaHei UI" w:eastAsia="Microsoft YaHei UI" w:cs="Microsoft YaHei UI"/>
          <w:i w:val="0"/>
          <w:iCs w:val="0"/>
          <w:caps w:val="0"/>
          <w:color w:val="222222"/>
          <w:spacing w:val="8"/>
          <w:sz w:val="25"/>
          <w:szCs w:val="25"/>
          <w:shd w:val="clear" w:fill="FFFFFF"/>
        </w:rPr>
        <w:drawing>
          <wp:inline distT="0" distB="0" distL="114300" distR="114300">
            <wp:extent cx="5313680" cy="2287270"/>
            <wp:effectExtent l="0" t="0" r="1270" b="17780"/>
            <wp:docPr id="25" name="图片 18"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8" descr="IMG_259"/>
                    <pic:cNvPicPr>
                      <a:picLocks noChangeAspect="1"/>
                    </pic:cNvPicPr>
                  </pic:nvPicPr>
                  <pic:blipFill>
                    <a:blip r:embed="rId15"/>
                    <a:stretch>
                      <a:fillRect/>
                    </a:stretch>
                  </pic:blipFill>
                  <pic:spPr>
                    <a:xfrm>
                      <a:off x="0" y="0"/>
                      <a:ext cx="5313680" cy="228727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color w:val="222222"/>
          <w:spacing w:val="8"/>
          <w:sz w:val="25"/>
          <w:szCs w:val="25"/>
          <w:shd w:val="clear" w:fill="FFFFFF"/>
        </w:rPr>
        <w:br w:type="textWrapping"/>
      </w:r>
      <w:r>
        <w:rPr>
          <w:rFonts w:hint="eastAsia" w:ascii="Microsoft YaHei UI" w:hAnsi="Microsoft YaHei UI" w:eastAsia="Microsoft YaHei UI" w:cs="Microsoft YaHei UI"/>
          <w:i w:val="0"/>
          <w:iCs w:val="0"/>
          <w:caps w:val="0"/>
          <w:color w:val="222222"/>
          <w:spacing w:val="8"/>
          <w:sz w:val="21"/>
          <w:szCs w:val="21"/>
          <w:shd w:val="clear" w:fill="FFFFFF"/>
        </w:rPr>
        <w:t>来源：米内网新版数据库</w:t>
      </w:r>
      <w:r>
        <w:rPr>
          <w:rFonts w:hint="eastAsia" w:ascii="Microsoft YaHei UI" w:hAnsi="Microsoft YaHei UI" w:eastAsia="Microsoft YaHei UI" w:cs="Microsoft YaHei UI"/>
          <w:i w:val="0"/>
          <w:iCs w:val="0"/>
          <w:caps w:val="0"/>
          <w:color w:val="222222"/>
          <w:spacing w:val="8"/>
          <w:sz w:val="21"/>
          <w:szCs w:val="21"/>
          <w:shd w:val="clear" w:fill="FFFFFF"/>
        </w:rPr>
        <w:br w:type="textWrapping"/>
      </w:r>
      <w:r>
        <w:rPr>
          <w:rFonts w:hint="eastAsia" w:ascii="Microsoft YaHei UI" w:hAnsi="Microsoft YaHei UI" w:eastAsia="Microsoft YaHei UI" w:cs="Microsoft YaHei UI"/>
          <w:i w:val="0"/>
          <w:iCs w:val="0"/>
          <w:caps w:val="0"/>
          <w:color w:val="222222"/>
          <w:spacing w:val="8"/>
          <w:sz w:val="22"/>
          <w:szCs w:val="22"/>
          <w:shd w:val="clear" w:fill="FFFFFF"/>
        </w:rPr>
        <w:br w:type="textWrapping"/>
      </w:r>
      <w:r>
        <w:rPr>
          <w:rFonts w:hint="eastAsia" w:ascii="Microsoft YaHei UI" w:hAnsi="Microsoft YaHei UI" w:eastAsia="Microsoft YaHei UI" w:cs="Microsoft YaHei UI"/>
          <w:i w:val="0"/>
          <w:iCs w:val="0"/>
          <w:caps w:val="0"/>
          <w:color w:val="222222"/>
          <w:spacing w:val="8"/>
          <w:sz w:val="22"/>
          <w:szCs w:val="22"/>
          <w:shd w:val="clear" w:fill="FFFFFF"/>
          <w:lang w:val="en-US" w:eastAsia="zh-CN"/>
        </w:rPr>
        <w:t xml:space="preserve">    </w:t>
      </w:r>
      <w:r>
        <w:rPr>
          <w:rFonts w:hint="eastAsia" w:ascii="宋体" w:hAnsi="宋体" w:eastAsia="宋体" w:cs="宋体"/>
          <w:i w:val="0"/>
          <w:iCs w:val="0"/>
          <w:caps w:val="0"/>
          <w:color w:val="222222"/>
          <w:spacing w:val="8"/>
          <w:sz w:val="28"/>
          <w:szCs w:val="28"/>
          <w:shd w:val="clear" w:fill="FFFFFF"/>
        </w:rPr>
        <w:t>豪森药业引进的伊奈利珠单抗注射液是国内首款、也是目前唯一一款获批上市的CD19单抗，用于视神经脊髓炎谱系疾病成人患者的治疗，为该适应症首个纳入国家医保的药品；诺华的奥法妥木单抗注射液属于抗人CD20的全人源免疫球蛋白G1单抗，用于治疗复发型多发性硬化。米内网数据显示，上述2款产品进医保前在国内的最低单价均超过1万元，通过谈判降价进入医保，不仅填补了这些罕见病药的空白市场，更能大幅提高患者的用药可及性。</w:t>
      </w:r>
      <w:r>
        <w:rPr>
          <w:rFonts w:hint="eastAsia" w:ascii="宋体" w:hAnsi="宋体" w:eastAsia="宋体" w:cs="宋体"/>
          <w:i w:val="0"/>
          <w:iCs w:val="0"/>
          <w:caps w:val="0"/>
          <w:color w:val="222222"/>
          <w:spacing w:val="8"/>
          <w:sz w:val="28"/>
          <w:szCs w:val="28"/>
          <w:shd w:val="clear" w:fill="FFFFFF"/>
        </w:rPr>
        <w:br w:type="textWrapping"/>
      </w:r>
      <w:r>
        <w:rPr>
          <w:rFonts w:hint="eastAsia" w:ascii="宋体" w:hAnsi="宋体" w:eastAsia="宋体" w:cs="宋体"/>
          <w:i w:val="0"/>
          <w:iCs w:val="0"/>
          <w:caps w:val="0"/>
          <w:color w:val="222222"/>
          <w:spacing w:val="8"/>
          <w:sz w:val="28"/>
          <w:szCs w:val="28"/>
          <w:shd w:val="clear" w:fill="FFFFFF"/>
        </w:rPr>
        <w:br w:type="textWrapping"/>
      </w:r>
      <w:r>
        <w:rPr>
          <w:rFonts w:hint="eastAsia" w:cs="宋体"/>
          <w:i w:val="0"/>
          <w:iCs w:val="0"/>
          <w:caps w:val="0"/>
          <w:color w:val="222222"/>
          <w:spacing w:val="8"/>
          <w:sz w:val="28"/>
          <w:szCs w:val="28"/>
          <w:shd w:val="clear" w:fill="FFFFFF"/>
          <w:lang w:val="en-US" w:eastAsia="zh-CN"/>
        </w:rPr>
        <w:t xml:space="preserve">    </w:t>
      </w:r>
      <w:r>
        <w:rPr>
          <w:rFonts w:hint="eastAsia" w:ascii="宋体" w:hAnsi="宋体" w:eastAsia="宋体" w:cs="宋体"/>
          <w:i w:val="0"/>
          <w:iCs w:val="0"/>
          <w:caps w:val="0"/>
          <w:color w:val="222222"/>
          <w:spacing w:val="8"/>
          <w:sz w:val="28"/>
          <w:szCs w:val="28"/>
          <w:shd w:val="clear" w:fill="FFFFFF"/>
        </w:rPr>
        <w:t>值得注意的是，尽管罕见病药近两年在医保谈判方面表现出了很高的积极性，但过于高价的药品难题仍然待解，治疗黏多糖贮积症的拉罗尼酶、治疗庞贝病的阿糖苷酶α、治疗戈谢病的伊米苷酶三款年治疗费用超过百万的罕见病药仍无缘医保。</w:t>
      </w:r>
      <w:r>
        <w:rPr>
          <w:rStyle w:val="14"/>
          <w:rFonts w:hint="eastAsia" w:ascii="宋体" w:hAnsi="宋体" w:eastAsia="宋体" w:cs="宋体"/>
          <w:i w:val="0"/>
          <w:iCs w:val="0"/>
          <w:caps w:val="0"/>
          <w:color w:val="222222"/>
          <w:spacing w:val="8"/>
          <w:sz w:val="28"/>
          <w:szCs w:val="28"/>
          <w:shd w:val="clear" w:fill="FFFFFF"/>
        </w:rPr>
        <w:br w:type="textWrapping"/>
      </w:r>
      <w:r>
        <w:rPr>
          <w:rStyle w:val="14"/>
          <w:rFonts w:hint="eastAsia" w:cs="宋体"/>
          <w:i w:val="0"/>
          <w:iCs w:val="0"/>
          <w:caps w:val="0"/>
          <w:color w:val="222222"/>
          <w:spacing w:val="8"/>
          <w:sz w:val="28"/>
          <w:szCs w:val="28"/>
          <w:shd w:val="clear" w:fill="FFFFFF"/>
          <w:lang w:val="en-US" w:eastAsia="zh-CN"/>
        </w:rPr>
        <w:t xml:space="preserve">    </w:t>
      </w:r>
      <w:r>
        <w:rPr>
          <w:rStyle w:val="14"/>
          <w:rFonts w:hint="eastAsia" w:ascii="宋体" w:hAnsi="宋体" w:eastAsia="宋体" w:cs="宋体"/>
          <w:i w:val="0"/>
          <w:iCs w:val="0"/>
          <w:caps w:val="0"/>
          <w:color w:val="222222"/>
          <w:spacing w:val="8"/>
          <w:sz w:val="28"/>
          <w:szCs w:val="28"/>
          <w:shd w:val="clear" w:fill="FFFFFF"/>
        </w:rPr>
        <w:t>2款独家儿童药成功突围（以通过的申报条件计）</w:t>
      </w:r>
      <w:r>
        <w:rPr>
          <w:rFonts w:hint="eastAsia" w:ascii="宋体" w:hAnsi="宋体" w:eastAsia="宋体" w:cs="宋体"/>
          <w:i w:val="0"/>
          <w:iCs w:val="0"/>
          <w:caps w:val="0"/>
          <w:color w:val="222222"/>
          <w:spacing w:val="8"/>
          <w:sz w:val="28"/>
          <w:szCs w:val="28"/>
          <w:shd w:val="clear" w:fill="FFFFFF"/>
        </w:rPr>
        <w:t>，分别为四环药业的咪达唑仑口颊粘膜溶液（用于持续的急性惊厥发作）及兆科药业的曲前列尼尔注射液（用于肺动脉高压），其中曲前列尼尔注射液既为罕见病药，又是儿童药。</w:t>
      </w:r>
      <w:r>
        <w:rPr>
          <w:rFonts w:hint="eastAsia" w:ascii="宋体" w:hAnsi="宋体" w:eastAsia="宋体" w:cs="宋体"/>
          <w:i w:val="0"/>
          <w:iCs w:val="0"/>
          <w:caps w:val="0"/>
          <w:color w:val="222222"/>
          <w:spacing w:val="8"/>
          <w:sz w:val="28"/>
          <w:szCs w:val="28"/>
          <w:shd w:val="clear" w:fill="FFFFFF"/>
        </w:rPr>
        <w:br w:type="textWrapping"/>
      </w:r>
      <w:r>
        <w:rPr>
          <w:rFonts w:hint="eastAsia" w:ascii="宋体" w:hAnsi="宋体" w:eastAsia="宋体" w:cs="宋体"/>
          <w:i w:val="0"/>
          <w:iCs w:val="0"/>
          <w:caps w:val="0"/>
          <w:color w:val="222222"/>
          <w:spacing w:val="8"/>
          <w:sz w:val="28"/>
          <w:szCs w:val="28"/>
          <w:shd w:val="clear" w:fill="FFFFFF"/>
        </w:rPr>
        <w:br w:type="textWrapping"/>
      </w:r>
      <w:r>
        <w:rPr>
          <w:rFonts w:hint="eastAsia" w:ascii="Microsoft YaHei UI" w:hAnsi="Microsoft YaHei UI" w:eastAsia="Microsoft YaHei UI" w:cs="Microsoft YaHei UI"/>
          <w:i w:val="0"/>
          <w:iCs w:val="0"/>
          <w:caps w:val="0"/>
          <w:color w:val="222222"/>
          <w:spacing w:val="8"/>
          <w:sz w:val="22"/>
          <w:szCs w:val="22"/>
          <w:shd w:val="clear" w:fill="FFFFFF"/>
        </w:rPr>
        <w:t>表4：新增进入医保的独家儿童药</w:t>
      </w:r>
      <w:r>
        <w:rPr>
          <w:rFonts w:hint="eastAsia" w:ascii="Microsoft YaHei UI" w:hAnsi="Microsoft YaHei UI" w:eastAsia="Microsoft YaHei UI" w:cs="Microsoft YaHei UI"/>
          <w:i w:val="0"/>
          <w:iCs w:val="0"/>
          <w:caps w:val="0"/>
          <w:color w:val="222222"/>
          <w:spacing w:val="8"/>
          <w:sz w:val="22"/>
          <w:szCs w:val="22"/>
          <w:shd w:val="clear" w:fill="FFFFFF"/>
        </w:rPr>
        <w:br w:type="textWrapping"/>
      </w:r>
      <w:r>
        <w:rPr>
          <w:rFonts w:hint="eastAsia" w:ascii="Microsoft YaHei UI" w:hAnsi="Microsoft YaHei UI" w:eastAsia="Microsoft YaHei UI" w:cs="Microsoft YaHei UI"/>
          <w:i w:val="0"/>
          <w:iCs w:val="0"/>
          <w:caps w:val="0"/>
          <w:color w:val="222222"/>
          <w:spacing w:val="8"/>
          <w:sz w:val="25"/>
          <w:szCs w:val="25"/>
          <w:shd w:val="clear" w:fill="FFFFFF"/>
        </w:rPr>
        <w:drawing>
          <wp:inline distT="0" distB="0" distL="114300" distR="114300">
            <wp:extent cx="5327650" cy="1581150"/>
            <wp:effectExtent l="0" t="0" r="6350" b="0"/>
            <wp:docPr id="23" name="图片 19"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descr="IMG_260"/>
                    <pic:cNvPicPr>
                      <a:picLocks noChangeAspect="1"/>
                    </pic:cNvPicPr>
                  </pic:nvPicPr>
                  <pic:blipFill>
                    <a:blip r:embed="rId16"/>
                    <a:stretch>
                      <a:fillRect/>
                    </a:stretch>
                  </pic:blipFill>
                  <pic:spPr>
                    <a:xfrm>
                      <a:off x="0" y="0"/>
                      <a:ext cx="5327650" cy="158115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color w:val="222222"/>
          <w:spacing w:val="8"/>
          <w:sz w:val="25"/>
          <w:szCs w:val="25"/>
          <w:shd w:val="clear" w:fill="FFFFFF"/>
        </w:rPr>
        <w:br w:type="textWrapping"/>
      </w:r>
      <w:r>
        <w:rPr>
          <w:rFonts w:hint="eastAsia" w:ascii="Microsoft YaHei UI" w:hAnsi="Microsoft YaHei UI" w:eastAsia="Microsoft YaHei UI" w:cs="Microsoft YaHei UI"/>
          <w:i w:val="0"/>
          <w:iCs w:val="0"/>
          <w:caps w:val="0"/>
          <w:color w:val="222222"/>
          <w:spacing w:val="8"/>
          <w:sz w:val="21"/>
          <w:szCs w:val="21"/>
          <w:shd w:val="clear" w:fill="FFFFFF"/>
        </w:rPr>
        <w:t>来源：国家医保局，米内网整理</w:t>
      </w:r>
      <w:r>
        <w:rPr>
          <w:rFonts w:hint="eastAsia" w:ascii="Microsoft YaHei UI" w:hAnsi="Microsoft YaHei UI" w:eastAsia="Microsoft YaHei UI" w:cs="Microsoft YaHei UI"/>
          <w:i w:val="0"/>
          <w:iCs w:val="0"/>
          <w:caps w:val="0"/>
          <w:color w:val="222222"/>
          <w:spacing w:val="8"/>
          <w:sz w:val="21"/>
          <w:szCs w:val="21"/>
          <w:shd w:val="clear" w:fill="FFFFFF"/>
        </w:rPr>
        <w:br w:type="textWrapping"/>
      </w:r>
      <w:r>
        <w:rPr>
          <w:rFonts w:hint="eastAsia" w:ascii="Microsoft YaHei UI" w:hAnsi="Microsoft YaHei UI" w:eastAsia="Microsoft YaHei UI" w:cs="Microsoft YaHei UI"/>
          <w:i w:val="0"/>
          <w:iCs w:val="0"/>
          <w:caps w:val="0"/>
          <w:color w:val="222222"/>
          <w:spacing w:val="8"/>
          <w:sz w:val="22"/>
          <w:szCs w:val="22"/>
          <w:shd w:val="clear" w:fill="FFFFFF"/>
        </w:rPr>
        <w:br w:type="textWrapping"/>
      </w:r>
      <w:r>
        <w:rPr>
          <w:rFonts w:hint="eastAsia" w:ascii="Microsoft YaHei UI" w:hAnsi="Microsoft YaHei UI" w:eastAsia="Microsoft YaHei UI" w:cs="Microsoft YaHei UI"/>
          <w:i w:val="0"/>
          <w:iCs w:val="0"/>
          <w:caps w:val="0"/>
          <w:color w:val="222222"/>
          <w:spacing w:val="8"/>
          <w:sz w:val="22"/>
          <w:szCs w:val="22"/>
          <w:shd w:val="clear" w:fill="FFFFFF"/>
          <w:lang w:val="en-US" w:eastAsia="zh-CN"/>
        </w:rPr>
        <w:t xml:space="preserve">     </w:t>
      </w:r>
      <w:r>
        <w:rPr>
          <w:rFonts w:hint="eastAsia" w:ascii="宋体" w:hAnsi="宋体" w:eastAsia="宋体" w:cs="宋体"/>
          <w:i w:val="0"/>
          <w:iCs w:val="0"/>
          <w:caps w:val="0"/>
          <w:color w:val="222222"/>
          <w:spacing w:val="8"/>
          <w:sz w:val="28"/>
          <w:szCs w:val="28"/>
          <w:shd w:val="clear" w:fill="FFFFFF"/>
        </w:rPr>
        <w:t>米内网数据显示，咪达唑仑2021年在中国公立医疗机构终端销售额超过7亿元，获批剂型包括片剂、注射剂及口服溶液剂。随着越来越多的适合儿童治疗的专用制剂通过谈判进入医保，无疑是更多儿童患者的一大福音。</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Microsoft YaHei UI" w:hAnsi="Microsoft YaHei UI" w:eastAsia="Microsoft YaHei UI" w:cs="Microsoft YaHei UI"/>
          <w:i w:val="0"/>
          <w:iCs w:val="0"/>
          <w:caps w:val="0"/>
          <w:color w:val="222222"/>
          <w:spacing w:val="8"/>
          <w:sz w:val="22"/>
          <w:szCs w:val="22"/>
          <w:shd w:val="clear" w:fill="FFFFFF"/>
        </w:rPr>
      </w:pPr>
      <w:r>
        <w:rPr>
          <w:rFonts w:hint="eastAsia" w:ascii="宋体" w:hAnsi="宋体" w:eastAsia="宋体" w:cs="宋体"/>
          <w:b/>
          <w:bCs/>
          <w:i w:val="0"/>
          <w:iCs w:val="0"/>
          <w:caps w:val="0"/>
          <w:color w:val="1C7B86"/>
          <w:spacing w:val="8"/>
          <w:sz w:val="28"/>
          <w:szCs w:val="28"/>
          <w:shd w:val="clear" w:fill="FFFFFF"/>
        </w:rPr>
        <w:t>20个非独家产品竞价“入保”，7个“亿级”爆款风云再起</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ind w:left="0" w:right="0" w:firstLine="592" w:firstLineChars="200"/>
        <w:jc w:val="both"/>
      </w:pPr>
      <w:r>
        <w:rPr>
          <w:rFonts w:hint="eastAsia" w:ascii="宋体" w:hAnsi="宋体" w:eastAsia="宋体" w:cs="宋体"/>
          <w:i w:val="0"/>
          <w:iCs w:val="0"/>
          <w:caps w:val="0"/>
          <w:color w:val="222222"/>
          <w:spacing w:val="8"/>
          <w:sz w:val="28"/>
          <w:szCs w:val="28"/>
          <w:shd w:val="clear" w:fill="FFFFFF"/>
        </w:rPr>
        <w:t>“非独家药品竞价”是本次医保谈判的新亮点，引发业界热烈讨论，曾有专家表示结果或将“堪比集采”。早前公布的通过初审名单涉及目录外的非独家产品有41个，最终3个目录外非独家产品直接调入目录，而通过竞价进入目录的目录外非独家产品有17个。</w:t>
      </w:r>
      <w:r>
        <w:rPr>
          <w:rFonts w:hint="eastAsia" w:ascii="宋体" w:hAnsi="宋体" w:eastAsia="宋体" w:cs="宋体"/>
          <w:i w:val="0"/>
          <w:iCs w:val="0"/>
          <w:caps w:val="0"/>
          <w:color w:val="222222"/>
          <w:spacing w:val="8"/>
          <w:sz w:val="28"/>
          <w:szCs w:val="28"/>
          <w:shd w:val="clear" w:fill="FFFFFF"/>
        </w:rPr>
        <w:br w:type="textWrapping"/>
      </w:r>
      <w:r>
        <w:rPr>
          <w:rFonts w:hint="eastAsia" w:cs="宋体"/>
          <w:i w:val="0"/>
          <w:iCs w:val="0"/>
          <w:caps w:val="0"/>
          <w:color w:val="222222"/>
          <w:spacing w:val="8"/>
          <w:sz w:val="28"/>
          <w:szCs w:val="28"/>
          <w:shd w:val="clear" w:fill="FFFFFF"/>
          <w:lang w:val="en-US" w:eastAsia="zh-CN"/>
        </w:rPr>
        <w:t xml:space="preserve">    </w:t>
      </w:r>
      <w:r>
        <w:rPr>
          <w:rFonts w:hint="eastAsia" w:ascii="宋体" w:hAnsi="宋体" w:eastAsia="宋体" w:cs="宋体"/>
          <w:i w:val="0"/>
          <w:iCs w:val="0"/>
          <w:caps w:val="0"/>
          <w:color w:val="222222"/>
          <w:spacing w:val="8"/>
          <w:sz w:val="28"/>
          <w:szCs w:val="28"/>
          <w:shd w:val="clear" w:fill="FFFFFF"/>
        </w:rPr>
        <w:t>直接调入的非独家产品有盐酸美金刚缓释胶囊、依达拉奉注射液以及注射用替莫唑胺，3个产品均已纳入第七批国采目录。其中，依达拉奉注射液目前已获得批文的企业超过20家，2021年在中国公立医疗机构终端的销售额超过7亿元。随着第七批国采在2022年四季度落地执行，叠加新版医保目录在2023年3月1日起实施，依达拉奉注射液这个昔日爆款即将迎来新的命运转折点。</w:t>
      </w:r>
      <w:r>
        <w:rPr>
          <w:rFonts w:hint="eastAsia" w:ascii="宋体" w:hAnsi="宋体" w:eastAsia="宋体" w:cs="宋体"/>
          <w:i w:val="0"/>
          <w:iCs w:val="0"/>
          <w:caps w:val="0"/>
          <w:color w:val="222222"/>
          <w:spacing w:val="8"/>
          <w:sz w:val="28"/>
          <w:szCs w:val="28"/>
          <w:shd w:val="clear" w:fill="FFFFFF"/>
        </w:rPr>
        <w:br w:type="textWrapping"/>
      </w:r>
      <w:r>
        <w:rPr>
          <w:rFonts w:hint="eastAsia" w:cs="宋体"/>
          <w:i w:val="0"/>
          <w:iCs w:val="0"/>
          <w:caps w:val="0"/>
          <w:color w:val="222222"/>
          <w:spacing w:val="8"/>
          <w:sz w:val="28"/>
          <w:szCs w:val="28"/>
          <w:shd w:val="clear" w:fill="FFFFFF"/>
          <w:lang w:val="en-US" w:eastAsia="zh-CN"/>
        </w:rPr>
        <w:t xml:space="preserve">    </w:t>
      </w:r>
      <w:r>
        <w:rPr>
          <w:rFonts w:hint="eastAsia" w:ascii="宋体" w:hAnsi="宋体" w:eastAsia="宋体" w:cs="宋体"/>
          <w:i w:val="0"/>
          <w:iCs w:val="0"/>
          <w:caps w:val="0"/>
          <w:color w:val="222222"/>
          <w:spacing w:val="8"/>
          <w:sz w:val="28"/>
          <w:szCs w:val="28"/>
          <w:shd w:val="clear" w:fill="FFFFFF"/>
        </w:rPr>
        <w:t>17个竞价“入保”的非独家产品中，泊沙康唑肠溶片、泊沙康唑注射液以及注射用福沙匹坦双葡甲胺均是《第一批鼓励仿制药品目录》产品，而复合磷酸氢钾注射液则是基药目录产品。</w:t>
      </w:r>
      <w:r>
        <w:rPr>
          <w:rFonts w:hint="eastAsia" w:ascii="宋体" w:hAnsi="宋体" w:eastAsia="宋体" w:cs="宋体"/>
          <w:i w:val="0"/>
          <w:iCs w:val="0"/>
          <w:caps w:val="0"/>
          <w:color w:val="222222"/>
          <w:spacing w:val="8"/>
          <w:sz w:val="28"/>
          <w:szCs w:val="28"/>
          <w:shd w:val="clear" w:fill="FFFFFF"/>
        </w:rPr>
        <w:br w:type="textWrapping"/>
      </w:r>
      <w:r>
        <w:rPr>
          <w:rFonts w:hint="eastAsia" w:cs="宋体"/>
          <w:i w:val="0"/>
          <w:iCs w:val="0"/>
          <w:caps w:val="0"/>
          <w:color w:val="222222"/>
          <w:spacing w:val="8"/>
          <w:sz w:val="28"/>
          <w:szCs w:val="28"/>
          <w:shd w:val="clear" w:fill="FFFFFF"/>
          <w:lang w:val="en-US" w:eastAsia="zh-CN"/>
        </w:rPr>
        <w:t xml:space="preserve">    </w:t>
      </w:r>
      <w:r>
        <w:rPr>
          <w:rFonts w:hint="eastAsia" w:ascii="宋体" w:hAnsi="宋体" w:eastAsia="宋体" w:cs="宋体"/>
          <w:i w:val="0"/>
          <w:iCs w:val="0"/>
          <w:caps w:val="0"/>
          <w:color w:val="222222"/>
          <w:spacing w:val="8"/>
          <w:sz w:val="28"/>
          <w:szCs w:val="28"/>
          <w:shd w:val="clear" w:fill="FFFFFF"/>
        </w:rPr>
        <w:t>从销售情况来看，复合磷酸氢钾注射液、哌柏西利胶囊、舒更葡糖钠注射液、碳酸氢钠林格注射液、托伐普坦片、注射用福沙匹坦双葡甲胺6个产品2021年在中国公立医疗机构终端均是销售额超过1亿元的畅销产品，其中复合磷酸氢钾注射液涉及企业达10家，舒更葡糖钠注射液涉及9家企业，本次竞价“入保”后各企业间的市场争夺战将愈加激烈。</w:t>
      </w:r>
      <w:r>
        <w:rPr>
          <w:rFonts w:hint="eastAsia" w:ascii="Microsoft YaHei UI" w:hAnsi="Microsoft YaHei UI" w:eastAsia="Microsoft YaHei UI" w:cs="Microsoft YaHei UI"/>
          <w:i w:val="0"/>
          <w:iCs w:val="0"/>
          <w:caps w:val="0"/>
          <w:color w:val="222222"/>
          <w:spacing w:val="8"/>
          <w:sz w:val="22"/>
          <w:szCs w:val="22"/>
          <w:shd w:val="clear" w:fill="FFFFFF"/>
        </w:rPr>
        <w:br w:type="textWrapping"/>
      </w:r>
      <w:r>
        <w:rPr>
          <w:rFonts w:hint="eastAsia" w:ascii="Microsoft YaHei UI" w:hAnsi="Microsoft YaHei UI" w:eastAsia="Microsoft YaHei UI" w:cs="Microsoft YaHei UI"/>
          <w:i w:val="0"/>
          <w:iCs w:val="0"/>
          <w:caps w:val="0"/>
          <w:color w:val="222222"/>
          <w:spacing w:val="8"/>
          <w:sz w:val="22"/>
          <w:szCs w:val="22"/>
          <w:shd w:val="clear" w:fill="FFFFFF"/>
        </w:rPr>
        <w:br w:type="textWrapping"/>
      </w:r>
      <w:r>
        <w:rPr>
          <w:rFonts w:hint="eastAsia" w:ascii="Microsoft YaHei UI" w:hAnsi="Microsoft YaHei UI" w:eastAsia="Microsoft YaHei UI" w:cs="Microsoft YaHei UI"/>
          <w:i w:val="0"/>
          <w:iCs w:val="0"/>
          <w:caps w:val="0"/>
          <w:color w:val="222222"/>
          <w:spacing w:val="8"/>
          <w:sz w:val="25"/>
          <w:szCs w:val="25"/>
          <w:shd w:val="clear" w:fill="FFFFFF"/>
        </w:rPr>
        <w:br w:type="textWrapping"/>
      </w:r>
      <w:r>
        <w:rPr>
          <w:rFonts w:hint="eastAsia" w:ascii="Microsoft YaHei UI" w:hAnsi="Microsoft YaHei UI" w:eastAsia="Microsoft YaHei UI" w:cs="Microsoft YaHei UI"/>
          <w:i w:val="0"/>
          <w:iCs w:val="0"/>
          <w:caps w:val="0"/>
          <w:color w:val="222222"/>
          <w:spacing w:val="8"/>
          <w:sz w:val="22"/>
          <w:szCs w:val="22"/>
          <w:shd w:val="clear" w:fill="FFFFFF"/>
        </w:rPr>
        <w:br w:type="textWrapping"/>
      </w:r>
      <w:r>
        <w:rPr>
          <w:rFonts w:hint="eastAsia" w:ascii="Microsoft YaHei UI" w:hAnsi="Microsoft YaHei UI" w:eastAsia="Microsoft YaHei UI" w:cs="Microsoft YaHei UI"/>
          <w:i w:val="0"/>
          <w:iCs w:val="0"/>
          <w:caps w:val="0"/>
          <w:color w:val="222222"/>
          <w:spacing w:val="8"/>
          <w:sz w:val="22"/>
          <w:szCs w:val="22"/>
          <w:shd w:val="clear" w:fill="FFFFFF"/>
          <w:lang w:val="en-US" w:eastAsia="zh-CN"/>
        </w:rPr>
        <w:t xml:space="preserve">     </w:t>
      </w:r>
      <w:r>
        <w:rPr>
          <w:rFonts w:hint="eastAsia" w:ascii="宋体" w:hAnsi="宋体" w:eastAsia="宋体" w:cs="宋体"/>
          <w:i w:val="0"/>
          <w:iCs w:val="0"/>
          <w:caps w:val="0"/>
          <w:color w:val="222222"/>
          <w:spacing w:val="8"/>
          <w:sz w:val="28"/>
          <w:szCs w:val="28"/>
          <w:shd w:val="clear" w:fill="FFFFFF"/>
        </w:rPr>
        <w:t>整体来看，20个新“入保”的非独家产品若按集团统计，</w:t>
      </w:r>
      <w:r>
        <w:rPr>
          <w:rStyle w:val="14"/>
          <w:rFonts w:hint="eastAsia" w:ascii="宋体" w:hAnsi="宋体" w:eastAsia="宋体" w:cs="宋体"/>
          <w:i w:val="0"/>
          <w:iCs w:val="0"/>
          <w:caps w:val="0"/>
          <w:color w:val="222222"/>
          <w:spacing w:val="8"/>
          <w:sz w:val="28"/>
          <w:szCs w:val="28"/>
          <w:shd w:val="clear" w:fill="FFFFFF"/>
        </w:rPr>
        <w:t>科伦药业涉及6个产品，齐鲁制药涉及5个产品，扬子江药业、奥赛康、正大制药均涉及4个产品。</w:t>
      </w:r>
      <w:r>
        <w:rPr>
          <w:rStyle w:val="14"/>
          <w:rFonts w:hint="eastAsia" w:ascii="宋体" w:hAnsi="宋体" w:eastAsia="宋体" w:cs="宋体"/>
          <w:i w:val="0"/>
          <w:iCs w:val="0"/>
          <w:caps w:val="0"/>
          <w:color w:val="222222"/>
          <w:spacing w:val="8"/>
          <w:sz w:val="28"/>
          <w:szCs w:val="28"/>
          <w:shd w:val="clear" w:fill="FFFFFF"/>
        </w:rPr>
        <w:br w:type="textWrapping"/>
      </w:r>
      <w:r>
        <w:rPr>
          <w:rFonts w:hint="eastAsia" w:ascii="宋体" w:hAnsi="宋体" w:eastAsia="宋体" w:cs="宋体"/>
          <w:i w:val="0"/>
          <w:iCs w:val="0"/>
          <w:caps w:val="0"/>
          <w:color w:val="222222"/>
          <w:spacing w:val="8"/>
          <w:sz w:val="28"/>
          <w:szCs w:val="28"/>
          <w:shd w:val="clear" w:fill="FFFFFF"/>
        </w:rPr>
        <w:br w:type="textWrapping"/>
      </w:r>
      <w:r>
        <w:rPr>
          <w:rFonts w:hint="eastAsia" w:ascii="Microsoft YaHei UI" w:hAnsi="Microsoft YaHei UI" w:eastAsia="Microsoft YaHei UI" w:cs="Microsoft YaHei UI"/>
          <w:i w:val="0"/>
          <w:iCs w:val="0"/>
          <w:caps w:val="0"/>
          <w:color w:val="222222"/>
          <w:spacing w:val="8"/>
          <w:sz w:val="22"/>
          <w:szCs w:val="22"/>
          <w:shd w:val="clear" w:fill="FFFFFF"/>
        </w:rPr>
        <w:t>附表：2022年国家医保药品目录新增产品情况</w:t>
      </w:r>
      <w:r>
        <w:rPr>
          <w:rFonts w:hint="eastAsia" w:ascii="Microsoft YaHei UI" w:hAnsi="Microsoft YaHei UI" w:eastAsia="Microsoft YaHei UI" w:cs="Microsoft YaHei UI"/>
          <w:i w:val="0"/>
          <w:iCs w:val="0"/>
          <w:caps w:val="0"/>
          <w:color w:val="222222"/>
          <w:spacing w:val="8"/>
          <w:sz w:val="22"/>
          <w:szCs w:val="22"/>
          <w:shd w:val="clear" w:fill="FFFFFF"/>
        </w:rPr>
        <w:br w:type="textWrapping"/>
      </w:r>
      <w:r>
        <w:rPr>
          <w:rFonts w:hint="eastAsia" w:ascii="Microsoft YaHei UI" w:hAnsi="Microsoft YaHei UI" w:eastAsia="Microsoft YaHei UI" w:cs="Microsoft YaHei UI"/>
          <w:i w:val="0"/>
          <w:iCs w:val="0"/>
          <w:caps w:val="0"/>
          <w:color w:val="222222"/>
          <w:spacing w:val="8"/>
          <w:sz w:val="25"/>
          <w:szCs w:val="25"/>
          <w:shd w:val="clear" w:fill="FFFFFF"/>
        </w:rPr>
        <w:drawing>
          <wp:inline distT="0" distB="0" distL="114300" distR="114300">
            <wp:extent cx="5327015" cy="8958580"/>
            <wp:effectExtent l="0" t="0" r="6985" b="13970"/>
            <wp:docPr id="30" name="图片 21"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1" descr="IMG_262"/>
                    <pic:cNvPicPr>
                      <a:picLocks noChangeAspect="1"/>
                    </pic:cNvPicPr>
                  </pic:nvPicPr>
                  <pic:blipFill>
                    <a:blip r:embed="rId17"/>
                    <a:stretch>
                      <a:fillRect/>
                    </a:stretch>
                  </pic:blipFill>
                  <pic:spPr>
                    <a:xfrm>
                      <a:off x="0" y="0"/>
                      <a:ext cx="5327015" cy="895858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color w:val="222222"/>
          <w:spacing w:val="8"/>
          <w:sz w:val="25"/>
          <w:szCs w:val="25"/>
          <w:shd w:val="clear" w:fill="FFFFFF"/>
        </w:rPr>
        <w:br w:type="textWrapping"/>
      </w:r>
      <w:r>
        <w:rPr>
          <w:rFonts w:hint="eastAsia" w:ascii="Microsoft YaHei UI" w:hAnsi="Microsoft YaHei UI" w:eastAsia="Microsoft YaHei UI" w:cs="Microsoft YaHei UI"/>
          <w:i w:val="0"/>
          <w:iCs w:val="0"/>
          <w:caps w:val="0"/>
          <w:color w:val="222222"/>
          <w:spacing w:val="8"/>
          <w:sz w:val="25"/>
          <w:szCs w:val="25"/>
          <w:shd w:val="clear" w:fill="FFFFFF"/>
        </w:rPr>
        <w:drawing>
          <wp:inline distT="0" distB="0" distL="114300" distR="114300">
            <wp:extent cx="5327015" cy="8897620"/>
            <wp:effectExtent l="0" t="0" r="6985" b="17780"/>
            <wp:docPr id="27" name="图片 22"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descr="IMG_263"/>
                    <pic:cNvPicPr>
                      <a:picLocks noChangeAspect="1"/>
                    </pic:cNvPicPr>
                  </pic:nvPicPr>
                  <pic:blipFill>
                    <a:blip r:embed="rId18"/>
                    <a:stretch>
                      <a:fillRect/>
                    </a:stretch>
                  </pic:blipFill>
                  <pic:spPr>
                    <a:xfrm>
                      <a:off x="0" y="0"/>
                      <a:ext cx="5327015" cy="889762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color w:val="222222"/>
          <w:spacing w:val="8"/>
          <w:sz w:val="25"/>
          <w:szCs w:val="25"/>
          <w:shd w:val="clear" w:fill="FFFFFF"/>
        </w:rPr>
        <w:br w:type="textWrapping"/>
      </w:r>
      <w:r>
        <w:rPr>
          <w:rFonts w:hint="eastAsia" w:ascii="Microsoft YaHei UI" w:hAnsi="Microsoft YaHei UI" w:eastAsia="Microsoft YaHei UI" w:cs="Microsoft YaHei UI"/>
          <w:i w:val="0"/>
          <w:iCs w:val="0"/>
          <w:caps w:val="0"/>
          <w:color w:val="222222"/>
          <w:spacing w:val="8"/>
          <w:sz w:val="25"/>
          <w:szCs w:val="25"/>
          <w:shd w:val="clear" w:fill="FFFFFF"/>
        </w:rPr>
        <w:drawing>
          <wp:inline distT="0" distB="0" distL="114300" distR="114300">
            <wp:extent cx="5320665" cy="8932545"/>
            <wp:effectExtent l="0" t="0" r="13335" b="1905"/>
            <wp:docPr id="28" name="图片 23"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descr="IMG_264"/>
                    <pic:cNvPicPr>
                      <a:picLocks noChangeAspect="1"/>
                    </pic:cNvPicPr>
                  </pic:nvPicPr>
                  <pic:blipFill>
                    <a:blip r:embed="rId19"/>
                    <a:stretch>
                      <a:fillRect/>
                    </a:stretch>
                  </pic:blipFill>
                  <pic:spPr>
                    <a:xfrm>
                      <a:off x="0" y="0"/>
                      <a:ext cx="5320665" cy="893254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color w:val="222222"/>
          <w:spacing w:val="8"/>
          <w:sz w:val="25"/>
          <w:szCs w:val="25"/>
          <w:shd w:val="clear" w:fill="FFFFFF"/>
        </w:rPr>
        <w:br w:type="textWrapping"/>
      </w:r>
      <w:r>
        <w:rPr>
          <w:rFonts w:hint="eastAsia" w:ascii="Microsoft YaHei UI" w:hAnsi="Microsoft YaHei UI" w:eastAsia="Microsoft YaHei UI" w:cs="Microsoft YaHei UI"/>
          <w:i w:val="0"/>
          <w:iCs w:val="0"/>
          <w:caps w:val="0"/>
          <w:color w:val="222222"/>
          <w:spacing w:val="8"/>
          <w:sz w:val="25"/>
          <w:szCs w:val="25"/>
          <w:shd w:val="clear" w:fill="FFFFFF"/>
        </w:rPr>
        <w:drawing>
          <wp:inline distT="0" distB="0" distL="114300" distR="114300">
            <wp:extent cx="5326380" cy="4250055"/>
            <wp:effectExtent l="0" t="0" r="7620" b="17145"/>
            <wp:docPr id="31" name="图片 24"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4" descr="IMG_265"/>
                    <pic:cNvPicPr>
                      <a:picLocks noChangeAspect="1"/>
                    </pic:cNvPicPr>
                  </pic:nvPicPr>
                  <pic:blipFill>
                    <a:blip r:embed="rId20"/>
                    <a:stretch>
                      <a:fillRect/>
                    </a:stretch>
                  </pic:blipFill>
                  <pic:spPr>
                    <a:xfrm>
                      <a:off x="0" y="0"/>
                      <a:ext cx="5326380" cy="4250055"/>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ind w:left="0" w:right="0"/>
        <w:jc w:val="both"/>
      </w:pPr>
      <w:r>
        <w:rPr>
          <w:rFonts w:hint="eastAsia" w:ascii="Microsoft YaHei UI" w:hAnsi="Microsoft YaHei UI" w:eastAsia="Microsoft YaHei UI" w:cs="Microsoft YaHei UI"/>
          <w:i w:val="0"/>
          <w:iCs w:val="0"/>
          <w:caps w:val="0"/>
          <w:color w:val="222222"/>
          <w:spacing w:val="8"/>
          <w:sz w:val="22"/>
          <w:szCs w:val="22"/>
          <w:shd w:val="clear" w:fill="FFFFFF"/>
        </w:rPr>
        <w:t>来源：国家医保局官网、米内网数据库</w:t>
      </w:r>
    </w:p>
    <w:p>
      <w:pPr>
        <w:pStyle w:val="3"/>
        <w:keepNext w:val="0"/>
        <w:keepLines w:val="0"/>
        <w:widowControl/>
        <w:suppressLineNumbers w:val="0"/>
        <w:pBdr>
          <w:top w:val="none" w:color="auto" w:sz="0" w:space="0"/>
          <w:left w:val="none" w:color="auto" w:sz="0" w:space="0"/>
          <w:bottom w:val="none" w:color="auto" w:sz="0" w:space="0"/>
          <w:right w:val="none" w:color="auto" w:sz="0" w:space="0"/>
        </w:pBdr>
        <w:tabs>
          <w:tab w:val="left" w:pos="2293"/>
        </w:tabs>
        <w:spacing w:before="0" w:beforeAutospacing="0" w:after="210" w:afterAutospacing="0" w:line="21" w:lineRule="atLeast"/>
        <w:ind w:left="0" w:right="0"/>
        <w:rPr>
          <w:rFonts w:hint="eastAsia" w:ascii="微软雅黑" w:hAnsi="微软雅黑" w:eastAsia="微软雅黑" w:cs="宋体"/>
          <w:b/>
          <w:color w:val="333333"/>
          <w:kern w:val="36"/>
          <w:sz w:val="24"/>
          <w:szCs w:val="24"/>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tabs>
          <w:tab w:val="left" w:pos="2293"/>
        </w:tabs>
        <w:spacing w:before="0" w:beforeAutospacing="0" w:after="210" w:afterAutospacing="0" w:line="21" w:lineRule="atLeast"/>
        <w:ind w:left="0" w:right="0"/>
        <w:rPr>
          <w:rFonts w:hint="eastAsia" w:ascii="微软雅黑" w:hAnsi="微软雅黑" w:eastAsia="微软雅黑" w:cs="宋体"/>
          <w:b/>
          <w:color w:val="333333"/>
          <w:kern w:val="36"/>
          <w:sz w:val="24"/>
          <w:szCs w:val="24"/>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tabs>
          <w:tab w:val="left" w:pos="2293"/>
        </w:tabs>
        <w:spacing w:before="0" w:beforeAutospacing="0" w:after="210" w:afterAutospacing="0" w:line="21" w:lineRule="atLeast"/>
        <w:ind w:left="0" w:right="0"/>
        <w:rPr>
          <w:rFonts w:hint="eastAsia" w:ascii="微软雅黑" w:hAnsi="微软雅黑" w:eastAsia="微软雅黑" w:cs="宋体"/>
          <w:b/>
          <w:color w:val="333333"/>
          <w:kern w:val="36"/>
          <w:sz w:val="24"/>
          <w:szCs w:val="24"/>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tabs>
          <w:tab w:val="left" w:pos="2293"/>
        </w:tabs>
        <w:spacing w:before="0" w:beforeAutospacing="0" w:after="210" w:afterAutospacing="0" w:line="21" w:lineRule="atLeast"/>
        <w:ind w:left="0" w:right="0"/>
        <w:rPr>
          <w:rFonts w:hint="eastAsia" w:ascii="微软雅黑" w:hAnsi="微软雅黑" w:eastAsia="微软雅黑" w:cs="宋体"/>
          <w:b/>
          <w:color w:val="333333"/>
          <w:kern w:val="36"/>
          <w:sz w:val="24"/>
          <w:szCs w:val="24"/>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tabs>
          <w:tab w:val="left" w:pos="2293"/>
        </w:tabs>
        <w:spacing w:before="0" w:beforeAutospacing="0" w:after="210" w:afterAutospacing="0" w:line="21" w:lineRule="atLeast"/>
        <w:ind w:left="0" w:right="0"/>
        <w:rPr>
          <w:rFonts w:hint="eastAsia" w:ascii="微软雅黑" w:hAnsi="微软雅黑" w:eastAsia="微软雅黑" w:cs="宋体"/>
          <w:b/>
          <w:color w:val="333333"/>
          <w:kern w:val="36"/>
          <w:sz w:val="24"/>
          <w:szCs w:val="24"/>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tabs>
          <w:tab w:val="left" w:pos="2293"/>
        </w:tabs>
        <w:spacing w:before="0" w:beforeAutospacing="0" w:after="210" w:afterAutospacing="0" w:line="21" w:lineRule="atLeast"/>
        <w:ind w:left="0" w:right="0"/>
        <w:rPr>
          <w:rFonts w:hint="eastAsia" w:ascii="微软雅黑" w:hAnsi="微软雅黑" w:eastAsia="微软雅黑" w:cs="宋体"/>
          <w:b/>
          <w:color w:val="333333"/>
          <w:kern w:val="36"/>
          <w:sz w:val="24"/>
          <w:szCs w:val="24"/>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tabs>
          <w:tab w:val="left" w:pos="2293"/>
        </w:tabs>
        <w:spacing w:before="0" w:beforeAutospacing="0" w:after="210" w:afterAutospacing="0" w:line="21" w:lineRule="atLeast"/>
        <w:ind w:left="0" w:right="0"/>
        <w:rPr>
          <w:rFonts w:hint="eastAsia" w:ascii="微软雅黑" w:hAnsi="微软雅黑" w:eastAsia="微软雅黑" w:cs="宋体"/>
          <w:b/>
          <w:color w:val="333333"/>
          <w:kern w:val="36"/>
          <w:sz w:val="24"/>
          <w:szCs w:val="24"/>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tabs>
          <w:tab w:val="left" w:pos="2293"/>
        </w:tabs>
        <w:spacing w:before="0" w:beforeAutospacing="0" w:after="210" w:afterAutospacing="0" w:line="21" w:lineRule="atLeast"/>
        <w:ind w:left="0" w:right="0"/>
        <w:rPr>
          <w:rFonts w:hint="eastAsia"/>
          <w:lang w:eastAsia="zh-CN"/>
        </w:rPr>
      </w:pPr>
      <w:r>
        <w:rPr>
          <w:rFonts w:hint="eastAsia" w:ascii="微软雅黑" w:hAnsi="微软雅黑" w:eastAsia="微软雅黑" w:cs="宋体"/>
          <w:b/>
          <w:color w:val="333333"/>
          <w:kern w:val="36"/>
          <w:sz w:val="24"/>
          <w:szCs w:val="24"/>
        </w:rPr>
        <w:t>附件</w:t>
      </w:r>
      <w:r>
        <w:rPr>
          <w:rFonts w:hint="eastAsia" w:ascii="微软雅黑" w:hAnsi="微软雅黑" w:eastAsia="微软雅黑" w:cs="宋体"/>
          <w:b/>
          <w:color w:val="333333"/>
          <w:kern w:val="36"/>
          <w:sz w:val="24"/>
          <w:szCs w:val="24"/>
          <w:lang w:val="en-US" w:eastAsia="zh-CN"/>
        </w:rPr>
        <w:t>4</w:t>
      </w:r>
      <w:r>
        <w:rPr>
          <w:rFonts w:hint="eastAsia" w:ascii="微软雅黑" w:hAnsi="微软雅黑" w:eastAsia="微软雅黑" w:cs="宋体"/>
          <w:b/>
          <w:color w:val="333333"/>
          <w:kern w:val="36"/>
          <w:sz w:val="24"/>
          <w:szCs w:val="24"/>
        </w:rPr>
        <w:t xml:space="preserve"> </w:t>
      </w:r>
      <w:r>
        <w:rPr>
          <w:rFonts w:hint="eastAsia" w:ascii="微软雅黑" w:hAnsi="微软雅黑" w:eastAsia="微软雅黑" w:cs="宋体"/>
          <w:b/>
          <w:color w:val="333333"/>
          <w:kern w:val="36"/>
          <w:sz w:val="24"/>
          <w:szCs w:val="24"/>
          <w:lang w:eastAsia="zh-CN"/>
        </w:rPr>
        <w:tab/>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ascii="Microsoft YaHei UI" w:hAnsi="Microsoft YaHei UI" w:eastAsia="Microsoft YaHei UI" w:cs="Microsoft YaHei UI"/>
          <w:i w:val="0"/>
          <w:iCs w:val="0"/>
          <w:caps w:val="0"/>
          <w:color w:val="222222"/>
          <w:spacing w:val="8"/>
          <w:sz w:val="33"/>
          <w:szCs w:val="33"/>
        </w:rPr>
      </w:pPr>
      <w:r>
        <w:rPr>
          <w:rFonts w:hint="eastAsia" w:ascii="Microsoft YaHei UI" w:hAnsi="Microsoft YaHei UI" w:eastAsia="Microsoft YaHei UI" w:cs="Microsoft YaHei UI"/>
          <w:i w:val="0"/>
          <w:iCs w:val="0"/>
          <w:caps w:val="0"/>
          <w:color w:val="222222"/>
          <w:spacing w:val="8"/>
          <w:sz w:val="33"/>
          <w:szCs w:val="33"/>
          <w:shd w:val="clear" w:fill="FFFFFF"/>
        </w:rPr>
        <w:t xml:space="preserve"> 2022年Q4中国零售药店市场数据上线</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30" w:afterAutospacing="0" w:line="300" w:lineRule="atLeast"/>
        <w:ind w:left="0" w:right="0" w:firstLine="0"/>
        <w:jc w:val="left"/>
      </w:pPr>
      <w:r>
        <w:rPr>
          <w:rFonts w:hint="eastAsia" w:ascii="Microsoft YaHei UI" w:hAnsi="Microsoft YaHei UI" w:eastAsia="Microsoft YaHei UI" w:cs="Microsoft YaHei UI"/>
          <w:i w:val="0"/>
          <w:iCs w:val="0"/>
          <w:caps w:val="0"/>
          <w:color w:val="576B95"/>
          <w:spacing w:val="8"/>
          <w:kern w:val="0"/>
          <w:sz w:val="22"/>
          <w:szCs w:val="22"/>
          <w:u w:val="none"/>
          <w:shd w:val="clear" w:fill="FFFFFF"/>
          <w:lang w:val="en-US" w:eastAsia="zh-CN" w:bidi="ar"/>
        </w:rPr>
        <w:fldChar w:fldCharType="begin"/>
      </w:r>
      <w:r>
        <w:rPr>
          <w:rFonts w:hint="eastAsia" w:ascii="Microsoft YaHei UI" w:hAnsi="Microsoft YaHei UI" w:eastAsia="Microsoft YaHei UI" w:cs="Microsoft YaHei UI"/>
          <w:i w:val="0"/>
          <w:iCs w:val="0"/>
          <w:caps w:val="0"/>
          <w:color w:val="576B95"/>
          <w:spacing w:val="8"/>
          <w:kern w:val="0"/>
          <w:sz w:val="22"/>
          <w:szCs w:val="22"/>
          <w:u w:val="none"/>
          <w:shd w:val="clear" w:fill="FFFFFF"/>
          <w:lang w:val="en-US" w:eastAsia="zh-CN" w:bidi="ar"/>
        </w:rPr>
        <w:instrText xml:space="preserve"> HYPERLINK "javascript:void(0);" </w:instrText>
      </w:r>
      <w:r>
        <w:rPr>
          <w:rFonts w:hint="eastAsia" w:ascii="Microsoft YaHei UI" w:hAnsi="Microsoft YaHei UI" w:eastAsia="Microsoft YaHei UI" w:cs="Microsoft YaHei UI"/>
          <w:i w:val="0"/>
          <w:iCs w:val="0"/>
          <w:caps w:val="0"/>
          <w:color w:val="576B95"/>
          <w:spacing w:val="8"/>
          <w:kern w:val="0"/>
          <w:sz w:val="22"/>
          <w:szCs w:val="22"/>
          <w:u w:val="none"/>
          <w:shd w:val="clear" w:fill="FFFFFF"/>
          <w:lang w:val="en-US" w:eastAsia="zh-CN" w:bidi="ar"/>
        </w:rPr>
        <w:fldChar w:fldCharType="separate"/>
      </w:r>
      <w:r>
        <w:rPr>
          <w:rStyle w:val="16"/>
          <w:rFonts w:hint="eastAsia" w:ascii="Microsoft YaHei UI" w:hAnsi="Microsoft YaHei UI" w:eastAsia="Microsoft YaHei UI" w:cs="Microsoft YaHei UI"/>
          <w:i w:val="0"/>
          <w:iCs w:val="0"/>
          <w:caps w:val="0"/>
          <w:color w:val="576B95"/>
          <w:spacing w:val="8"/>
          <w:sz w:val="22"/>
          <w:szCs w:val="22"/>
          <w:u w:val="none"/>
          <w:shd w:val="clear" w:fill="FFFFFF"/>
        </w:rPr>
        <w:t>医药地理</w:t>
      </w:r>
      <w:r>
        <w:rPr>
          <w:rFonts w:hint="eastAsia" w:ascii="Microsoft YaHei UI" w:hAnsi="Microsoft YaHei UI" w:eastAsia="Microsoft YaHei UI" w:cs="Microsoft YaHei UI"/>
          <w:i w:val="0"/>
          <w:iCs w:val="0"/>
          <w:caps w:val="0"/>
          <w:color w:val="576B95"/>
          <w:spacing w:val="8"/>
          <w:kern w:val="0"/>
          <w:sz w:val="22"/>
          <w:szCs w:val="22"/>
          <w:u w:val="none"/>
          <w:shd w:val="clear" w:fill="FFFFFF"/>
          <w:lang w:val="en-US" w:eastAsia="zh-CN" w:bidi="ar"/>
        </w:rPr>
        <w:fldChar w:fldCharType="end"/>
      </w:r>
      <w:r>
        <w:rPr>
          <w:rFonts w:hint="eastAsia" w:ascii="Microsoft YaHei UI" w:hAnsi="Microsoft YaHei UI" w:eastAsia="Microsoft YaHei UI" w:cs="Microsoft YaHei UI"/>
          <w:i w:val="0"/>
          <w:iCs w:val="0"/>
          <w:caps w:val="0"/>
          <w:color w:val="222222"/>
          <w:spacing w:val="8"/>
          <w:kern w:val="0"/>
          <w:sz w:val="0"/>
          <w:szCs w:val="0"/>
          <w:shd w:val="clear" w:fill="FFFFFF"/>
          <w:lang w:val="en-US" w:eastAsia="zh-CN" w:bidi="ar"/>
        </w:rPr>
        <w:t> </w:t>
      </w:r>
      <w:r>
        <w:rPr>
          <w:rStyle w:val="15"/>
          <w:rFonts w:hint="eastAsia" w:ascii="Microsoft YaHei UI" w:hAnsi="Microsoft YaHei UI" w:eastAsia="Microsoft YaHei UI" w:cs="Microsoft YaHei UI"/>
          <w:i w:val="0"/>
          <w:iCs w:val="0"/>
          <w:caps w:val="0"/>
          <w:color w:val="222222"/>
          <w:spacing w:val="8"/>
          <w:kern w:val="0"/>
          <w:sz w:val="22"/>
          <w:szCs w:val="22"/>
          <w:shd w:val="clear" w:fill="FFFFFF"/>
          <w:lang w:val="en-US" w:eastAsia="zh-CN" w:bidi="ar"/>
        </w:rPr>
        <w:t>2023-01-21 14:35</w:t>
      </w:r>
      <w:r>
        <w:rPr>
          <w:rFonts w:hint="eastAsia" w:ascii="Microsoft YaHei UI" w:hAnsi="Microsoft YaHei UI" w:eastAsia="Microsoft YaHei UI" w:cs="Microsoft YaHei UI"/>
          <w:i w:val="0"/>
          <w:iCs w:val="0"/>
          <w:caps w:val="0"/>
          <w:color w:val="222222"/>
          <w:spacing w:val="8"/>
          <w:kern w:val="0"/>
          <w:sz w:val="0"/>
          <w:szCs w:val="0"/>
          <w:shd w:val="clear" w:fill="FFFFFF"/>
          <w:lang w:val="en-US" w:eastAsia="zh-CN" w:bidi="ar"/>
        </w:rPr>
        <w:t> </w:t>
      </w:r>
      <w:r>
        <w:rPr>
          <w:rStyle w:val="15"/>
          <w:rFonts w:hint="eastAsia" w:ascii="Microsoft YaHei UI" w:hAnsi="Microsoft YaHei UI" w:eastAsia="Microsoft YaHei UI" w:cs="Microsoft YaHei UI"/>
          <w:i w:val="0"/>
          <w:iCs w:val="0"/>
          <w:caps w:val="0"/>
          <w:color w:val="222222"/>
          <w:spacing w:val="8"/>
          <w:kern w:val="0"/>
          <w:sz w:val="22"/>
          <w:szCs w:val="22"/>
          <w:shd w:val="clear" w:fill="FFFFFF"/>
          <w:lang w:val="en-US" w:eastAsia="zh-CN" w:bidi="ar"/>
        </w:rPr>
        <w:t>发表于上海</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76" w:afterAutospacing="0" w:line="368" w:lineRule="atLeast"/>
        <w:ind w:left="0" w:right="0"/>
        <w:jc w:val="center"/>
      </w:pPr>
      <w:r>
        <w:rPr>
          <w:rFonts w:hint="eastAsia" w:ascii="Microsoft YaHei UI" w:hAnsi="Microsoft YaHei UI" w:eastAsia="Microsoft YaHei UI" w:cs="Microsoft YaHei UI"/>
          <w:i w:val="0"/>
          <w:iCs w:val="0"/>
          <w:caps w:val="0"/>
          <w:color w:val="222222"/>
          <w:spacing w:val="8"/>
          <w:sz w:val="25"/>
          <w:szCs w:val="25"/>
          <w:shd w:val="clear" w:fill="FFFFFF"/>
        </w:rPr>
        <w:drawing>
          <wp:inline distT="0" distB="0" distL="114300" distR="114300">
            <wp:extent cx="5341620" cy="1924685"/>
            <wp:effectExtent l="0" t="0" r="11430" b="18415"/>
            <wp:docPr id="32" name="图片 26"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6" descr="IMG_257"/>
                    <pic:cNvPicPr>
                      <a:picLocks noChangeAspect="1"/>
                    </pic:cNvPicPr>
                  </pic:nvPicPr>
                  <pic:blipFill>
                    <a:blip r:embed="rId21"/>
                    <a:stretch>
                      <a:fillRect/>
                    </a:stretch>
                  </pic:blipFill>
                  <pic:spPr>
                    <a:xfrm>
                      <a:off x="0" y="0"/>
                      <a:ext cx="5341620" cy="1924685"/>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both"/>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line="368" w:lineRule="atLeast"/>
        <w:ind w:left="226" w:right="226" w:firstLine="592" w:firstLineChars="200"/>
        <w:jc w:val="both"/>
        <w:rPr>
          <w:rFonts w:hint="eastAsia" w:ascii="宋体" w:hAnsi="宋体" w:eastAsia="宋体" w:cs="宋体"/>
          <w:sz w:val="28"/>
          <w:szCs w:val="28"/>
        </w:rPr>
      </w:pPr>
      <w:r>
        <w:rPr>
          <w:rFonts w:hint="eastAsia" w:ascii="宋体" w:hAnsi="宋体" w:eastAsia="宋体" w:cs="宋体"/>
          <w:i w:val="0"/>
          <w:iCs w:val="0"/>
          <w:caps w:val="0"/>
          <w:color w:val="222222"/>
          <w:spacing w:val="8"/>
          <w:sz w:val="28"/>
          <w:szCs w:val="28"/>
          <w:shd w:val="clear" w:fill="FFFFFF"/>
        </w:rPr>
        <w:t>1月19日，中国医药工业信息中心</w:t>
      </w:r>
      <w:r>
        <w:rPr>
          <w:rStyle w:val="14"/>
          <w:rFonts w:hint="eastAsia" w:ascii="宋体" w:hAnsi="宋体" w:eastAsia="宋体" w:cs="宋体"/>
          <w:i w:val="0"/>
          <w:iCs w:val="0"/>
          <w:caps w:val="0"/>
          <w:color w:val="008DCB"/>
          <w:spacing w:val="8"/>
          <w:sz w:val="28"/>
          <w:szCs w:val="28"/>
          <w:shd w:val="clear" w:fill="FFFFFF"/>
        </w:rPr>
        <w:t>RPDB药品零售数据库</w:t>
      </w:r>
      <w:r>
        <w:rPr>
          <w:rFonts w:hint="eastAsia" w:ascii="宋体" w:hAnsi="宋体" w:eastAsia="宋体" w:cs="宋体"/>
          <w:i w:val="0"/>
          <w:iCs w:val="0"/>
          <w:caps w:val="0"/>
          <w:color w:val="222222"/>
          <w:spacing w:val="8"/>
          <w:sz w:val="28"/>
          <w:szCs w:val="28"/>
          <w:shd w:val="clear" w:fill="FFFFFF"/>
        </w:rPr>
        <w:t>2022年四季度数据新鲜出炉。为了更好地理解2022年第四季度零售药店市场的特点，本期我们将从几个方面来看零售药店市场药品的销售格局。文中提到的RPDB药品零售数据库</w:t>
      </w:r>
      <w:r>
        <w:rPr>
          <w:rStyle w:val="14"/>
          <w:rFonts w:hint="eastAsia" w:ascii="宋体" w:hAnsi="宋体" w:eastAsia="宋体" w:cs="宋体"/>
          <w:i w:val="0"/>
          <w:iCs w:val="0"/>
          <w:caps w:val="0"/>
          <w:color w:val="008DCB"/>
          <w:spacing w:val="8"/>
          <w:sz w:val="28"/>
          <w:szCs w:val="28"/>
          <w:shd w:val="clear" w:fill="FFFFFF"/>
        </w:rPr>
        <w:t>样本数据涵盖中国29个省级行政区304个地级市的实体药店药品销售数据</w:t>
      </w:r>
      <w:r>
        <w:rPr>
          <w:rFonts w:hint="eastAsia" w:ascii="宋体" w:hAnsi="宋体" w:eastAsia="宋体" w:cs="宋体"/>
          <w:i w:val="0"/>
          <w:iCs w:val="0"/>
          <w:caps w:val="0"/>
          <w:color w:val="008DCB"/>
          <w:spacing w:val="8"/>
          <w:sz w:val="28"/>
          <w:szCs w:val="28"/>
          <w:shd w:val="clear" w:fill="FFFFFF"/>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6" w:afterAutospacing="0" w:line="368" w:lineRule="atLeast"/>
        <w:ind w:left="226" w:right="226"/>
        <w:jc w:val="center"/>
        <w:rPr>
          <w:rFonts w:hint="eastAsia" w:ascii="宋体" w:hAnsi="宋体" w:eastAsia="宋体" w:cs="宋体"/>
          <w:spacing w:val="8"/>
          <w:sz w:val="28"/>
          <w:szCs w:val="28"/>
        </w:rPr>
      </w:pPr>
      <w:r>
        <w:rPr>
          <w:rStyle w:val="14"/>
          <w:rFonts w:hint="eastAsia" w:ascii="宋体" w:hAnsi="宋体" w:eastAsia="宋体" w:cs="宋体"/>
          <w:i w:val="0"/>
          <w:iCs w:val="0"/>
          <w:caps w:val="0"/>
          <w:color w:val="022C89"/>
          <w:spacing w:val="8"/>
          <w:sz w:val="28"/>
          <w:szCs w:val="28"/>
          <w:shd w:val="clear" w:fill="FFFFFF"/>
        </w:rPr>
        <w:t>国内零售药店市场整体趋势有所回升</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592" w:firstLineChars="200"/>
        <w:jc w:val="both"/>
        <w:rPr>
          <w:rFonts w:hint="eastAsia" w:ascii="宋体" w:hAnsi="宋体" w:eastAsia="宋体" w:cs="宋体"/>
          <w:i w:val="0"/>
          <w:iCs w:val="0"/>
          <w:caps w:val="0"/>
          <w:color w:val="222222"/>
          <w:spacing w:val="8"/>
          <w:kern w:val="0"/>
          <w:sz w:val="28"/>
          <w:szCs w:val="28"/>
          <w:shd w:val="clear" w:fill="FFFFFF"/>
          <w:lang w:val="en-US" w:eastAsia="zh-CN" w:bidi="ar-SA"/>
        </w:rPr>
      </w:pPr>
      <w:r>
        <w:rPr>
          <w:rFonts w:hint="eastAsia" w:ascii="宋体" w:hAnsi="宋体" w:eastAsia="宋体" w:cs="宋体"/>
          <w:i w:val="0"/>
          <w:iCs w:val="0"/>
          <w:caps w:val="0"/>
          <w:color w:val="222222"/>
          <w:spacing w:val="8"/>
          <w:kern w:val="0"/>
          <w:sz w:val="28"/>
          <w:szCs w:val="28"/>
          <w:shd w:val="clear" w:fill="FFFFFF"/>
          <w:lang w:val="en-US" w:eastAsia="zh-CN" w:bidi="ar-SA"/>
        </w:rPr>
        <w:t>2022年全年国内样本零售药店市场总销售额达629.33亿元，同比去年下降12.36%；2022年四季度样本零售药店销售额为179.68亿元，较2022年前三月有明显回升，与去年同期对比有略微下降，这与2022年的疫情防控和开放情况密切相关。</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color w:val="222222"/>
          <w:spacing w:val="8"/>
          <w:sz w:val="25"/>
          <w:szCs w:val="25"/>
          <w:shd w:val="clear" w:fill="FFFFFF"/>
        </w:rPr>
        <w:drawing>
          <wp:inline distT="0" distB="0" distL="114300" distR="114300">
            <wp:extent cx="5305425" cy="3248660"/>
            <wp:effectExtent l="0" t="0" r="9525" b="8890"/>
            <wp:docPr id="42" name="图片 28"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8" descr="IMG_259"/>
                    <pic:cNvPicPr>
                      <a:picLocks noChangeAspect="1"/>
                    </pic:cNvPicPr>
                  </pic:nvPicPr>
                  <pic:blipFill>
                    <a:blip r:embed="rId22"/>
                    <a:stretch>
                      <a:fillRect/>
                    </a:stretch>
                  </pic:blipFill>
                  <pic:spPr>
                    <a:xfrm>
                      <a:off x="0" y="0"/>
                      <a:ext cx="5305425" cy="3248660"/>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pPr>
      <w:r>
        <w:rPr>
          <w:rFonts w:hint="eastAsia" w:ascii="微软雅黑" w:hAnsi="微软雅黑" w:eastAsia="微软雅黑" w:cs="微软雅黑"/>
          <w:i w:val="0"/>
          <w:iCs w:val="0"/>
          <w:caps w:val="0"/>
          <w:color w:val="4B4B4B"/>
          <w:spacing w:val="8"/>
          <w:sz w:val="18"/>
          <w:szCs w:val="18"/>
          <w:shd w:val="clear" w:fill="FFFFFF"/>
        </w:rPr>
        <w:t>图1：国内样本零售药店市场销售额趋势</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pPr>
      <w:r>
        <w:rPr>
          <w:rFonts w:hint="eastAsia" w:ascii="微软雅黑" w:hAnsi="微软雅黑" w:eastAsia="微软雅黑" w:cs="微软雅黑"/>
          <w:i w:val="0"/>
          <w:iCs w:val="0"/>
          <w:caps w:val="0"/>
          <w:color w:val="4B4B4B"/>
          <w:spacing w:val="8"/>
          <w:sz w:val="18"/>
          <w:szCs w:val="18"/>
          <w:shd w:val="clear" w:fill="FFFFFF"/>
        </w:rPr>
        <w:t>数据来源：RPDB药品零售数据库-样本市场数据</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pPr>
      <w:r>
        <w:rPr>
          <w:rFonts w:hint="eastAsia" w:ascii="微软雅黑" w:hAnsi="微软雅黑" w:eastAsia="微软雅黑" w:cs="微软雅黑"/>
          <w:i w:val="0"/>
          <w:iCs w:val="0"/>
          <w:caps w:val="0"/>
          <w:color w:val="4B4B4B"/>
          <w:spacing w:val="8"/>
          <w:sz w:val="18"/>
          <w:szCs w:val="18"/>
          <w:shd w:val="clear" w:fill="FFFFFF"/>
        </w:rPr>
        <w:t>中国医药工业信息中心</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pPr>
      <w:r>
        <w:rPr>
          <w:rFonts w:hint="eastAsia" w:ascii="微软雅黑" w:hAnsi="微软雅黑" w:eastAsia="微软雅黑" w:cs="微软雅黑"/>
          <w:i w:val="0"/>
          <w:iCs w:val="0"/>
          <w:caps w:val="0"/>
          <w:color w:val="4B4B4B"/>
          <w:spacing w:val="8"/>
          <w:sz w:val="18"/>
          <w:szCs w:val="18"/>
          <w:shd w:val="clear" w:fill="FFFFFF"/>
        </w:rPr>
        <w:t>MAT（Moving Annual Total），Bn：十亿</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226" w:right="226"/>
        <w:jc w:val="both"/>
      </w:pPr>
      <w:r>
        <w:rPr>
          <w:rFonts w:hint="eastAsia" w:ascii="Microsoft YaHei UI" w:hAnsi="Microsoft YaHei UI" w:eastAsia="Microsoft YaHei UI" w:cs="Microsoft YaHei UI"/>
          <w:i w:val="0"/>
          <w:iCs w:val="0"/>
          <w:caps w:val="0"/>
          <w:color w:val="4B4B4B"/>
          <w:spacing w:val="8"/>
          <w:sz w:val="22"/>
          <w:szCs w:val="22"/>
          <w:shd w:val="clear" w:fill="FFFFFF"/>
        </w:rPr>
        <w:drawing>
          <wp:inline distT="0" distB="0" distL="114300" distR="114300">
            <wp:extent cx="10287000" cy="771525"/>
            <wp:effectExtent l="0" t="0" r="0" b="9525"/>
            <wp:docPr id="41" name="图片 29" descr="pic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9" descr="pic02.jpeg"/>
                    <pic:cNvPicPr>
                      <a:picLocks noChangeAspect="1"/>
                    </pic:cNvPicPr>
                  </pic:nvPicPr>
                  <pic:blipFill>
                    <a:blip r:embed="rId23"/>
                    <a:stretch>
                      <a:fillRect/>
                    </a:stretch>
                  </pic:blipFill>
                  <pic:spPr>
                    <a:xfrm>
                      <a:off x="0" y="0"/>
                      <a:ext cx="10287000" cy="771525"/>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76" w:afterAutospacing="0" w:line="240" w:lineRule="auto"/>
        <w:ind w:left="226" w:right="226"/>
        <w:jc w:val="center"/>
        <w:rPr>
          <w:rFonts w:hint="eastAsia" w:ascii="宋体" w:hAnsi="宋体" w:eastAsia="宋体" w:cs="宋体"/>
          <w:spacing w:val="8"/>
          <w:sz w:val="28"/>
          <w:szCs w:val="28"/>
        </w:rPr>
      </w:pPr>
      <w:r>
        <w:rPr>
          <w:rStyle w:val="14"/>
          <w:rFonts w:hint="eastAsia" w:ascii="宋体" w:hAnsi="宋体" w:eastAsia="宋体" w:cs="宋体"/>
          <w:i w:val="0"/>
          <w:iCs w:val="0"/>
          <w:caps w:val="0"/>
          <w:color w:val="022C89"/>
          <w:spacing w:val="8"/>
          <w:sz w:val="28"/>
          <w:szCs w:val="28"/>
          <w:shd w:val="clear" w:fill="FFFFFF"/>
        </w:rPr>
        <w:t>化药和生物药负增长</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6" w:afterAutospacing="0" w:line="240" w:lineRule="auto"/>
        <w:ind w:left="226" w:right="226"/>
        <w:jc w:val="center"/>
        <w:rPr>
          <w:rFonts w:hint="eastAsia" w:ascii="宋体" w:hAnsi="宋体" w:eastAsia="宋体" w:cs="宋体"/>
          <w:spacing w:val="8"/>
          <w:sz w:val="28"/>
          <w:szCs w:val="28"/>
        </w:rPr>
      </w:pPr>
      <w:r>
        <w:rPr>
          <w:rStyle w:val="14"/>
          <w:rFonts w:hint="eastAsia" w:ascii="宋体" w:hAnsi="宋体" w:eastAsia="宋体" w:cs="宋体"/>
          <w:i w:val="0"/>
          <w:iCs w:val="0"/>
          <w:caps w:val="0"/>
          <w:color w:val="022C89"/>
          <w:spacing w:val="8"/>
          <w:sz w:val="28"/>
          <w:szCs w:val="28"/>
          <w:shd w:val="clear" w:fill="FFFFFF"/>
        </w:rPr>
        <w:t>中药成为主要增长带动力</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592" w:firstLineChars="200"/>
        <w:jc w:val="both"/>
        <w:rPr>
          <w:rFonts w:hint="eastAsia" w:ascii="宋体" w:hAnsi="宋体" w:eastAsia="宋体" w:cs="宋体"/>
          <w:i w:val="0"/>
          <w:iCs w:val="0"/>
          <w:caps w:val="0"/>
          <w:color w:val="222222"/>
          <w:spacing w:val="8"/>
          <w:kern w:val="0"/>
          <w:sz w:val="28"/>
          <w:szCs w:val="28"/>
          <w:shd w:val="clear" w:fill="FFFFFF"/>
          <w:lang w:val="en-US" w:eastAsia="zh-CN" w:bidi="ar-SA"/>
        </w:rPr>
      </w:pPr>
      <w:r>
        <w:rPr>
          <w:rFonts w:hint="eastAsia" w:ascii="宋体" w:hAnsi="宋体" w:eastAsia="宋体" w:cs="宋体"/>
          <w:i w:val="0"/>
          <w:iCs w:val="0"/>
          <w:caps w:val="0"/>
          <w:color w:val="222222"/>
          <w:spacing w:val="8"/>
          <w:kern w:val="0"/>
          <w:sz w:val="28"/>
          <w:szCs w:val="28"/>
          <w:shd w:val="clear" w:fill="FFFFFF"/>
          <w:lang w:val="en-US" w:eastAsia="zh-CN" w:bidi="ar-SA"/>
        </w:rPr>
        <w:t>聚焦2022年四季度零售市场，化学药品（-11.50%）和生物制品（-24.45%）均呈负增长，中药及天然产物同比去年当季有显著增长（+11.10%），为全年增长的主要推动力，诊断试剂季度同比增长16771.61%，远远高于2022年全年增长率（+3028.02%）。</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iCs w:val="0"/>
          <w:caps w:val="0"/>
          <w:color w:val="4B4B4B"/>
          <w:spacing w:val="8"/>
          <w:kern w:val="0"/>
          <w:sz w:val="18"/>
          <w:szCs w:val="18"/>
          <w:shd w:val="clear" w:fill="FFFFFF"/>
          <w:lang w:val="en-US" w:eastAsia="zh-CN" w:bidi="ar"/>
        </w:rPr>
        <w:t>表1：国内样本零售药店-药品及非药品增长率数据来源：RPDB药品零售数据库-样本市场数据中国医药工业信息中心</w:t>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drawing>
          <wp:inline distT="0" distB="0" distL="114300" distR="114300">
            <wp:extent cx="5320665" cy="2795905"/>
            <wp:effectExtent l="0" t="0" r="13335" b="4445"/>
            <wp:docPr id="44" name="图片 30"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0" descr="IMG_261"/>
                    <pic:cNvPicPr>
                      <a:picLocks noChangeAspect="1"/>
                    </pic:cNvPicPr>
                  </pic:nvPicPr>
                  <pic:blipFill>
                    <a:blip r:embed="rId24"/>
                    <a:stretch>
                      <a:fillRect/>
                    </a:stretch>
                  </pic:blipFill>
                  <pic:spPr>
                    <a:xfrm>
                      <a:off x="0" y="0"/>
                      <a:ext cx="5320665" cy="279590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592" w:firstLineChars="200"/>
        <w:jc w:val="both"/>
        <w:rPr>
          <w:rFonts w:hint="eastAsia" w:ascii="宋体" w:hAnsi="宋体" w:eastAsia="宋体" w:cs="宋体"/>
          <w:i w:val="0"/>
          <w:iCs w:val="0"/>
          <w:caps w:val="0"/>
          <w:color w:val="222222"/>
          <w:spacing w:val="8"/>
          <w:kern w:val="0"/>
          <w:sz w:val="28"/>
          <w:szCs w:val="28"/>
          <w:shd w:val="clear" w:fill="FFFFFF"/>
          <w:lang w:val="en-US" w:eastAsia="zh-CN" w:bidi="ar-SA"/>
        </w:rPr>
      </w:pPr>
      <w:r>
        <w:rPr>
          <w:rFonts w:hint="eastAsia" w:ascii="宋体" w:hAnsi="宋体" w:eastAsia="宋体" w:cs="宋体"/>
          <w:i w:val="0"/>
          <w:iCs w:val="0"/>
          <w:caps w:val="0"/>
          <w:color w:val="222222"/>
          <w:spacing w:val="8"/>
          <w:kern w:val="0"/>
          <w:sz w:val="28"/>
          <w:szCs w:val="28"/>
          <w:shd w:val="clear" w:fill="FFFFFF"/>
          <w:lang w:val="en-US" w:eastAsia="zh-CN" w:bidi="ar-SA"/>
        </w:rPr>
        <w:t>从化药、生物药和中药及天然产物来看，近两年化药、生物药和中药及天然产物均呈现下降趋势，2022年四季度，化药和中药及天然产业在零售药店的销售额增速有所回升，中药及天然产物在四季度呈现正向增长，是零售药店市场销售额呈现回弹的主要带动力。</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color w:val="222222"/>
          <w:spacing w:val="8"/>
          <w:sz w:val="25"/>
          <w:szCs w:val="25"/>
          <w:shd w:val="clear" w:fill="FFFFFF"/>
        </w:rPr>
        <w:drawing>
          <wp:inline distT="0" distB="0" distL="114300" distR="114300">
            <wp:extent cx="5327650" cy="3175000"/>
            <wp:effectExtent l="0" t="0" r="6350" b="6350"/>
            <wp:docPr id="34" name="图片 31"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1" descr="IMG_262"/>
                    <pic:cNvPicPr>
                      <a:picLocks noChangeAspect="1"/>
                    </pic:cNvPicPr>
                  </pic:nvPicPr>
                  <pic:blipFill>
                    <a:blip r:embed="rId25"/>
                    <a:stretch>
                      <a:fillRect/>
                    </a:stretch>
                  </pic:blipFill>
                  <pic:spPr>
                    <a:xfrm>
                      <a:off x="0" y="0"/>
                      <a:ext cx="5327650" cy="3175000"/>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pPr>
      <w:r>
        <w:rPr>
          <w:rFonts w:hint="eastAsia" w:ascii="微软雅黑" w:hAnsi="微软雅黑" w:eastAsia="微软雅黑" w:cs="微软雅黑"/>
          <w:i w:val="0"/>
          <w:iCs w:val="0"/>
          <w:caps w:val="0"/>
          <w:color w:val="4B4B4B"/>
          <w:spacing w:val="8"/>
          <w:sz w:val="18"/>
          <w:szCs w:val="18"/>
          <w:shd w:val="clear" w:fill="FFFFFF"/>
        </w:rPr>
        <w:t>图2：国内样本零售药店药品类型销售额增速（%）</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iCs w:val="0"/>
          <w:caps w:val="0"/>
          <w:color w:val="4B4B4B"/>
          <w:spacing w:val="8"/>
          <w:kern w:val="0"/>
          <w:sz w:val="18"/>
          <w:szCs w:val="18"/>
          <w:shd w:val="clear" w:fill="FFFFFF"/>
          <w:lang w:val="en-US" w:eastAsia="zh-CN" w:bidi="ar"/>
        </w:rPr>
        <w:t>数据来源：RPDB药品零售数据库-样本市场数据</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line="240" w:lineRule="auto"/>
        <w:ind w:left="0" w:right="0"/>
        <w:jc w:val="center"/>
      </w:pPr>
      <w:r>
        <w:rPr>
          <w:rFonts w:hint="eastAsia" w:ascii="微软雅黑" w:hAnsi="微软雅黑" w:eastAsia="微软雅黑" w:cs="微软雅黑"/>
          <w:i w:val="0"/>
          <w:iCs w:val="0"/>
          <w:caps w:val="0"/>
          <w:color w:val="4B4B4B"/>
          <w:spacing w:val="8"/>
          <w:sz w:val="18"/>
          <w:szCs w:val="18"/>
          <w:shd w:val="clear" w:fill="FFFFFF"/>
        </w:rPr>
        <w:t>中国医药工业信息中心</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color w:val="222222"/>
          <w:spacing w:val="8"/>
          <w:sz w:val="25"/>
          <w:szCs w:val="25"/>
          <w:shd w:val="clear" w:fill="FFFFFF"/>
        </w:rPr>
        <w:drawing>
          <wp:inline distT="0" distB="0" distL="114300" distR="114300">
            <wp:extent cx="10287000" cy="771525"/>
            <wp:effectExtent l="0" t="0" r="0" b="9525"/>
            <wp:docPr id="39" name="图片 32" descr="pic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2" descr="pic02.jpeg"/>
                    <pic:cNvPicPr>
                      <a:picLocks noChangeAspect="1"/>
                    </pic:cNvPicPr>
                  </pic:nvPicPr>
                  <pic:blipFill>
                    <a:blip r:embed="rId23"/>
                    <a:stretch>
                      <a:fillRect/>
                    </a:stretch>
                  </pic:blipFill>
                  <pic:spPr>
                    <a:xfrm>
                      <a:off x="0" y="0"/>
                      <a:ext cx="10287000" cy="771525"/>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eastAsia" w:ascii="宋体" w:hAnsi="宋体" w:eastAsia="宋体" w:cs="宋体"/>
          <w:sz w:val="28"/>
          <w:szCs w:val="28"/>
        </w:rPr>
      </w:pPr>
      <w:r>
        <w:rPr>
          <w:rStyle w:val="14"/>
          <w:rFonts w:hint="eastAsia" w:ascii="宋体" w:hAnsi="宋体" w:eastAsia="宋体" w:cs="宋体"/>
          <w:i w:val="0"/>
          <w:iCs w:val="0"/>
          <w:caps w:val="0"/>
          <w:color w:val="022C89"/>
          <w:spacing w:val="8"/>
          <w:sz w:val="28"/>
          <w:szCs w:val="28"/>
          <w:shd w:val="clear" w:fill="FFFFFF"/>
        </w:rPr>
        <w:t>处方药和OTC销售额增速同步上涨</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line="360" w:lineRule="atLeast"/>
        <w:ind w:left="0" w:right="0"/>
        <w:jc w:val="center"/>
        <w:rPr>
          <w:rFonts w:hint="eastAsia" w:ascii="宋体" w:hAnsi="宋体" w:eastAsia="宋体" w:cs="宋体"/>
          <w:sz w:val="28"/>
          <w:szCs w:val="28"/>
        </w:rPr>
      </w:pPr>
      <w:r>
        <w:rPr>
          <w:rStyle w:val="14"/>
          <w:rFonts w:hint="eastAsia" w:ascii="宋体" w:hAnsi="宋体" w:eastAsia="宋体" w:cs="宋体"/>
          <w:i w:val="0"/>
          <w:iCs w:val="0"/>
          <w:caps w:val="0"/>
          <w:color w:val="022C89"/>
          <w:spacing w:val="8"/>
          <w:sz w:val="28"/>
          <w:szCs w:val="28"/>
          <w:shd w:val="clear" w:fill="FFFFFF"/>
        </w:rPr>
        <w:t>OTC明显高于处方药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592" w:firstLineChars="200"/>
        <w:jc w:val="both"/>
        <w:rPr>
          <w:rFonts w:hint="eastAsia" w:ascii="宋体" w:hAnsi="宋体" w:eastAsia="宋体" w:cs="宋体"/>
          <w:i w:val="0"/>
          <w:iCs w:val="0"/>
          <w:caps w:val="0"/>
          <w:color w:val="222222"/>
          <w:spacing w:val="8"/>
          <w:kern w:val="0"/>
          <w:sz w:val="28"/>
          <w:szCs w:val="28"/>
          <w:shd w:val="clear" w:fill="FFFFFF"/>
          <w:lang w:val="en-US" w:eastAsia="zh-CN" w:bidi="ar-SA"/>
        </w:rPr>
      </w:pPr>
      <w:r>
        <w:rPr>
          <w:rFonts w:hint="eastAsia" w:ascii="宋体" w:hAnsi="宋体" w:eastAsia="宋体" w:cs="宋体"/>
          <w:i w:val="0"/>
          <w:iCs w:val="0"/>
          <w:caps w:val="0"/>
          <w:color w:val="222222"/>
          <w:spacing w:val="8"/>
          <w:kern w:val="0"/>
          <w:sz w:val="28"/>
          <w:szCs w:val="28"/>
          <w:shd w:val="clear" w:fill="FFFFFF"/>
          <w:lang w:val="en-US" w:eastAsia="zh-CN" w:bidi="ar-SA"/>
        </w:rPr>
        <w:t>从零售药店市场的药品处方性质来看，零售药店市场处方药、OTC类药品和双跨药品的销售额结构占比约为6.5：2：1.5，该结构在2021Q4之前相对稳定，自2022Q2起，处方药销售占比下滑较大。</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color w:val="222222"/>
          <w:spacing w:val="8"/>
          <w:sz w:val="25"/>
          <w:szCs w:val="25"/>
          <w:shd w:val="clear" w:fill="FFFFFF"/>
        </w:rPr>
        <w:drawing>
          <wp:inline distT="0" distB="0" distL="114300" distR="114300">
            <wp:extent cx="5297805" cy="3263900"/>
            <wp:effectExtent l="0" t="0" r="17145" b="12700"/>
            <wp:docPr id="36" name="图片 33"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3" descr="IMG_264"/>
                    <pic:cNvPicPr>
                      <a:picLocks noChangeAspect="1"/>
                    </pic:cNvPicPr>
                  </pic:nvPicPr>
                  <pic:blipFill>
                    <a:blip r:embed="rId26"/>
                    <a:stretch>
                      <a:fillRect/>
                    </a:stretch>
                  </pic:blipFill>
                  <pic:spPr>
                    <a:xfrm>
                      <a:off x="0" y="0"/>
                      <a:ext cx="5297805" cy="3263900"/>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pPr>
      <w:r>
        <w:rPr>
          <w:rFonts w:hint="eastAsia" w:ascii="微软雅黑" w:hAnsi="微软雅黑" w:eastAsia="微软雅黑" w:cs="微软雅黑"/>
          <w:i w:val="0"/>
          <w:iCs w:val="0"/>
          <w:caps w:val="0"/>
          <w:color w:val="7F7F7F"/>
          <w:spacing w:val="8"/>
          <w:sz w:val="18"/>
          <w:szCs w:val="18"/>
          <w:shd w:val="clear" w:fill="FFFFFF"/>
        </w:rPr>
        <w:t>图3：国内零售药店市场药品处方性质销售额占比趋势</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iCs w:val="0"/>
          <w:caps w:val="0"/>
          <w:color w:val="7F7F7F"/>
          <w:spacing w:val="8"/>
          <w:kern w:val="0"/>
          <w:sz w:val="18"/>
          <w:szCs w:val="18"/>
          <w:shd w:val="clear" w:fill="FFFFFF"/>
          <w:lang w:val="en-US" w:eastAsia="zh-CN" w:bidi="ar"/>
        </w:rPr>
        <w:t>数据来源：RPDB药品零售数据库-样本市场数据</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line="240" w:lineRule="auto"/>
        <w:ind w:left="0" w:right="0"/>
        <w:jc w:val="center"/>
      </w:pPr>
      <w:r>
        <w:rPr>
          <w:rFonts w:hint="eastAsia" w:ascii="微软雅黑" w:hAnsi="微软雅黑" w:eastAsia="微软雅黑" w:cs="微软雅黑"/>
          <w:i w:val="0"/>
          <w:iCs w:val="0"/>
          <w:caps w:val="0"/>
          <w:color w:val="7F7F7F"/>
          <w:spacing w:val="8"/>
          <w:sz w:val="18"/>
          <w:szCs w:val="18"/>
          <w:shd w:val="clear" w:fill="FFFFFF"/>
        </w:rPr>
        <w:t>中国医药工业信息中心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592" w:firstLineChars="200"/>
        <w:jc w:val="both"/>
        <w:rPr>
          <w:rFonts w:hint="eastAsia" w:ascii="宋体" w:hAnsi="宋体" w:eastAsia="宋体" w:cs="宋体"/>
          <w:i w:val="0"/>
          <w:iCs w:val="0"/>
          <w:caps w:val="0"/>
          <w:color w:val="222222"/>
          <w:spacing w:val="8"/>
          <w:kern w:val="0"/>
          <w:sz w:val="28"/>
          <w:szCs w:val="28"/>
          <w:shd w:val="clear" w:fill="FFFFFF"/>
          <w:lang w:val="en-US" w:eastAsia="zh-CN" w:bidi="ar-SA"/>
        </w:rPr>
      </w:pPr>
      <w:r>
        <w:rPr>
          <w:rFonts w:hint="eastAsia" w:ascii="宋体" w:hAnsi="宋体" w:eastAsia="宋体" w:cs="宋体"/>
          <w:i w:val="0"/>
          <w:iCs w:val="0"/>
          <w:caps w:val="0"/>
          <w:color w:val="222222"/>
          <w:spacing w:val="8"/>
          <w:kern w:val="0"/>
          <w:sz w:val="28"/>
          <w:szCs w:val="28"/>
          <w:shd w:val="clear" w:fill="FFFFFF"/>
          <w:lang w:val="en-US" w:eastAsia="zh-CN" w:bidi="ar-SA"/>
        </w:rPr>
        <w:t>自2021Q1到2022Q2期间处方药、非处方药和双跨类药品在零售药店的销售额同比增速趋势长期保持一致，2022Q3至2022Q4三者销售额同比增速拉开差距，其中非处方药增速明显快于处方药和双跨类药品。这与非处方药不需要凭借医师开具的处方进行购买，在零售药店的患者购药路径上更为便捷有关。</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color w:val="222222"/>
          <w:spacing w:val="8"/>
          <w:sz w:val="25"/>
          <w:szCs w:val="25"/>
          <w:shd w:val="clear" w:fill="FFFFFF"/>
        </w:rPr>
        <w:drawing>
          <wp:inline distT="0" distB="0" distL="114300" distR="114300">
            <wp:extent cx="5305425" cy="3863975"/>
            <wp:effectExtent l="0" t="0" r="9525" b="3175"/>
            <wp:docPr id="33" name="图片 34"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4" descr="IMG_265"/>
                    <pic:cNvPicPr>
                      <a:picLocks noChangeAspect="1"/>
                    </pic:cNvPicPr>
                  </pic:nvPicPr>
                  <pic:blipFill>
                    <a:blip r:embed="rId27"/>
                    <a:stretch>
                      <a:fillRect/>
                    </a:stretch>
                  </pic:blipFill>
                  <pic:spPr>
                    <a:xfrm>
                      <a:off x="0" y="0"/>
                      <a:ext cx="5305425" cy="3863975"/>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pPr>
      <w:r>
        <w:rPr>
          <w:rFonts w:hint="eastAsia" w:ascii="微软雅黑" w:hAnsi="微软雅黑" w:eastAsia="微软雅黑" w:cs="微软雅黑"/>
          <w:i w:val="0"/>
          <w:iCs w:val="0"/>
          <w:caps w:val="0"/>
          <w:color w:val="7F7F7F"/>
          <w:spacing w:val="8"/>
          <w:sz w:val="18"/>
          <w:szCs w:val="18"/>
          <w:shd w:val="clear" w:fill="FFFFFF"/>
        </w:rPr>
        <w:t>图4：国内零售药店市场药品处方性质销售额同比增速</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iCs w:val="0"/>
          <w:caps w:val="0"/>
          <w:color w:val="7F7F7F"/>
          <w:spacing w:val="8"/>
          <w:kern w:val="0"/>
          <w:sz w:val="18"/>
          <w:szCs w:val="18"/>
          <w:shd w:val="clear" w:fill="FFFFFF"/>
          <w:lang w:val="en-US" w:eastAsia="zh-CN" w:bidi="ar"/>
        </w:rPr>
        <w:t>数据来源：RPDB药品零售数据库-样本市场数据</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line="240" w:lineRule="auto"/>
        <w:ind w:left="0" w:right="0"/>
        <w:jc w:val="center"/>
      </w:pPr>
      <w:r>
        <w:rPr>
          <w:rFonts w:hint="eastAsia" w:ascii="微软雅黑" w:hAnsi="微软雅黑" w:eastAsia="微软雅黑" w:cs="微软雅黑"/>
          <w:i w:val="0"/>
          <w:iCs w:val="0"/>
          <w:caps w:val="0"/>
          <w:color w:val="7F7F7F"/>
          <w:spacing w:val="8"/>
          <w:sz w:val="18"/>
          <w:szCs w:val="18"/>
          <w:shd w:val="clear" w:fill="FFFFFF"/>
        </w:rPr>
        <w:t>中国医药工业信息中心</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color w:val="222222"/>
          <w:spacing w:val="8"/>
          <w:sz w:val="25"/>
          <w:szCs w:val="25"/>
          <w:shd w:val="clear" w:fill="FFFFFF"/>
        </w:rPr>
        <w:drawing>
          <wp:inline distT="0" distB="0" distL="114300" distR="114300">
            <wp:extent cx="10287000" cy="771525"/>
            <wp:effectExtent l="0" t="0" r="0" b="9525"/>
            <wp:docPr id="35" name="图片 35" descr="pic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pic02.jpeg"/>
                    <pic:cNvPicPr>
                      <a:picLocks noChangeAspect="1"/>
                    </pic:cNvPicPr>
                  </pic:nvPicPr>
                  <pic:blipFill>
                    <a:blip r:embed="rId23"/>
                    <a:stretch>
                      <a:fillRect/>
                    </a:stretch>
                  </pic:blipFill>
                  <pic:spPr>
                    <a:xfrm>
                      <a:off x="0" y="0"/>
                      <a:ext cx="10287000" cy="771525"/>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sz w:val="28"/>
          <w:szCs w:val="28"/>
        </w:rPr>
      </w:pPr>
      <w:r>
        <w:rPr>
          <w:rStyle w:val="14"/>
          <w:rFonts w:hint="eastAsia" w:ascii="宋体" w:hAnsi="宋体" w:eastAsia="宋体" w:cs="宋体"/>
          <w:i w:val="0"/>
          <w:iCs w:val="0"/>
          <w:caps w:val="0"/>
          <w:color w:val="022C89"/>
          <w:spacing w:val="8"/>
          <w:sz w:val="28"/>
          <w:szCs w:val="28"/>
          <w:shd w:val="clear" w:fill="FFFFFF"/>
        </w:rPr>
        <w:t>疫情防控相关品类零售药店市场表现</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jc w:val="center"/>
        <w:rPr>
          <w:rFonts w:hint="eastAsia" w:ascii="宋体" w:hAnsi="宋体" w:eastAsia="宋体" w:cs="宋体"/>
          <w:sz w:val="28"/>
          <w:szCs w:val="28"/>
        </w:rPr>
      </w:pPr>
      <w:r>
        <w:rPr>
          <w:rStyle w:val="14"/>
          <w:rFonts w:hint="eastAsia" w:ascii="宋体" w:hAnsi="宋体" w:eastAsia="宋体" w:cs="宋体"/>
          <w:i w:val="0"/>
          <w:iCs w:val="0"/>
          <w:caps w:val="0"/>
          <w:color w:val="022C89"/>
          <w:spacing w:val="8"/>
          <w:sz w:val="28"/>
          <w:szCs w:val="28"/>
          <w:shd w:val="clear" w:fill="FFFFFF"/>
        </w:rPr>
        <w:t>连花清瘟、布洛芬增长强劲</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0" w:afterAutospacing="0" w:line="368" w:lineRule="atLeast"/>
        <w:ind w:left="226" w:right="226" w:firstLine="592" w:firstLineChars="200"/>
        <w:jc w:val="both"/>
        <w:rPr>
          <w:rFonts w:hint="eastAsia" w:ascii="宋体" w:hAnsi="宋体" w:eastAsia="宋体" w:cs="宋体"/>
          <w:sz w:val="28"/>
          <w:szCs w:val="28"/>
        </w:rPr>
      </w:pPr>
      <w:r>
        <w:rPr>
          <w:rFonts w:hint="eastAsia" w:ascii="宋体" w:hAnsi="宋体" w:eastAsia="宋体" w:cs="宋体"/>
          <w:i w:val="0"/>
          <w:iCs w:val="0"/>
          <w:caps w:val="0"/>
          <w:color w:val="222222"/>
          <w:spacing w:val="8"/>
          <w:kern w:val="0"/>
          <w:sz w:val="28"/>
          <w:szCs w:val="28"/>
          <w:shd w:val="clear" w:fill="FFFFFF"/>
          <w:lang w:val="en-US" w:eastAsia="zh-CN" w:bidi="ar-SA"/>
        </w:rPr>
        <w:t>从2022Q4排名前20的品类来看，中药、全身用抗菌药、咳嗽和感冒用药、抗炎药及抗风湿药、抗病毒药这五类均是正增长，是否2022Q4的国内零售药店销售额增长主要靠疫情防控相关品类的销售额带动呢？</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jc w:val="both"/>
      </w:pPr>
      <w:bookmarkStart w:id="0" w:name="_GoBack"/>
      <w:bookmarkEnd w:id="0"/>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0" w:afterAutospacing="0" w:line="368" w:lineRule="atLeast"/>
        <w:ind w:left="226" w:right="226" w:firstLine="592" w:firstLineChars="200"/>
        <w:jc w:val="both"/>
        <w:rPr>
          <w:rFonts w:hint="eastAsia" w:ascii="宋体" w:hAnsi="宋体" w:eastAsia="宋体" w:cs="宋体"/>
          <w:i w:val="0"/>
          <w:iCs w:val="0"/>
          <w:caps w:val="0"/>
          <w:color w:val="222222"/>
          <w:spacing w:val="8"/>
          <w:kern w:val="0"/>
          <w:sz w:val="28"/>
          <w:szCs w:val="28"/>
          <w:shd w:val="clear" w:fill="FFFFFF"/>
          <w:lang w:val="en-US" w:eastAsia="zh-CN" w:bidi="ar-SA"/>
        </w:rPr>
      </w:pPr>
      <w:r>
        <w:rPr>
          <w:rFonts w:hint="eastAsia" w:ascii="宋体" w:hAnsi="宋体" w:eastAsia="宋体" w:cs="宋体"/>
          <w:i w:val="0"/>
          <w:iCs w:val="0"/>
          <w:caps w:val="0"/>
          <w:color w:val="222222"/>
          <w:spacing w:val="8"/>
          <w:kern w:val="0"/>
          <w:sz w:val="28"/>
          <w:szCs w:val="28"/>
          <w:shd w:val="clear" w:fill="FFFFFF"/>
          <w:lang w:val="en-US" w:eastAsia="zh-CN" w:bidi="ar-SA"/>
        </w:rPr>
        <w:t>自2020年起，由于各地新冠疫情反复发生导致了药品区域封控及防疫品类管控，中药、全身用抗菌药、咳嗽和感冒用药、抗炎药及抗风湿药、抗病毒药这五类药在零售药店市场的销售额增长都受到了限制。2022年四季度，上述五类药的销售额迅速反弹，样本零售药店总销售额高达106.57亿元，超过以往所有季度的销售额。</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color w:val="222222"/>
          <w:spacing w:val="8"/>
          <w:sz w:val="25"/>
          <w:szCs w:val="25"/>
          <w:shd w:val="clear" w:fill="FFFFFF"/>
        </w:rPr>
        <w:drawing>
          <wp:inline distT="0" distB="0" distL="114300" distR="114300">
            <wp:extent cx="5328285" cy="3124200"/>
            <wp:effectExtent l="0" t="0" r="5715" b="0"/>
            <wp:docPr id="37" name="图片 37"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268"/>
                    <pic:cNvPicPr>
                      <a:picLocks noChangeAspect="1"/>
                    </pic:cNvPicPr>
                  </pic:nvPicPr>
                  <pic:blipFill>
                    <a:blip r:embed="rId28"/>
                    <a:stretch>
                      <a:fillRect/>
                    </a:stretch>
                  </pic:blipFill>
                  <pic:spPr>
                    <a:xfrm>
                      <a:off x="0" y="0"/>
                      <a:ext cx="5328285" cy="3124200"/>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pPr>
      <w:r>
        <w:rPr>
          <w:rFonts w:hint="eastAsia" w:ascii="微软雅黑" w:hAnsi="微软雅黑" w:eastAsia="微软雅黑" w:cs="微软雅黑"/>
          <w:i w:val="0"/>
          <w:iCs w:val="0"/>
          <w:caps w:val="0"/>
          <w:color w:val="7F7F7F"/>
          <w:spacing w:val="8"/>
          <w:sz w:val="18"/>
          <w:szCs w:val="18"/>
          <w:shd w:val="clear" w:fill="FFFFFF"/>
        </w:rPr>
        <w:t>图5：国内样本零售药店市场“五类药”销售额增长趋势</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iCs w:val="0"/>
          <w:caps w:val="0"/>
          <w:color w:val="7F7F7F"/>
          <w:spacing w:val="8"/>
          <w:kern w:val="0"/>
          <w:sz w:val="18"/>
          <w:szCs w:val="18"/>
          <w:shd w:val="clear" w:fill="FFFFFF"/>
          <w:lang w:val="en-US" w:eastAsia="zh-CN" w:bidi="ar"/>
        </w:rPr>
        <w:t>数据来源：RPDB药品零售数据库-样本市场数据</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line="240" w:lineRule="auto"/>
        <w:ind w:left="0" w:right="0"/>
        <w:jc w:val="center"/>
      </w:pPr>
      <w:r>
        <w:rPr>
          <w:rFonts w:hint="eastAsia" w:ascii="微软雅黑" w:hAnsi="微软雅黑" w:eastAsia="微软雅黑" w:cs="微软雅黑"/>
          <w:i w:val="0"/>
          <w:iCs w:val="0"/>
          <w:caps w:val="0"/>
          <w:color w:val="7F7F7F"/>
          <w:spacing w:val="8"/>
          <w:sz w:val="18"/>
          <w:szCs w:val="18"/>
          <w:shd w:val="clear" w:fill="FFFFFF"/>
        </w:rPr>
        <w:t>中国医药工业信息中心</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0" w:afterAutospacing="0" w:line="368" w:lineRule="atLeast"/>
        <w:ind w:left="226" w:right="226" w:firstLine="592" w:firstLineChars="200"/>
        <w:jc w:val="both"/>
        <w:rPr>
          <w:rFonts w:hint="eastAsia" w:ascii="宋体" w:hAnsi="宋体" w:eastAsia="宋体" w:cs="宋体"/>
          <w:i w:val="0"/>
          <w:iCs w:val="0"/>
          <w:caps w:val="0"/>
          <w:color w:val="222222"/>
          <w:spacing w:val="8"/>
          <w:kern w:val="0"/>
          <w:sz w:val="28"/>
          <w:szCs w:val="28"/>
          <w:shd w:val="clear" w:fill="FFFFFF"/>
          <w:lang w:val="en-US" w:eastAsia="zh-CN" w:bidi="ar-SA"/>
        </w:rPr>
      </w:pPr>
      <w:r>
        <w:rPr>
          <w:rFonts w:hint="eastAsia" w:ascii="宋体" w:hAnsi="宋体" w:eastAsia="宋体" w:cs="宋体"/>
          <w:i w:val="0"/>
          <w:iCs w:val="0"/>
          <w:caps w:val="0"/>
          <w:color w:val="222222"/>
          <w:spacing w:val="8"/>
          <w:kern w:val="0"/>
          <w:sz w:val="28"/>
          <w:szCs w:val="28"/>
          <w:shd w:val="clear" w:fill="FFFFFF"/>
          <w:lang w:val="en-US" w:eastAsia="zh-CN" w:bidi="ar-SA"/>
        </w:rPr>
        <w:t>2022Q4样本零售药店TOP20品类中，连花清瘟、布洛芬、感冒灵、藿香正气和抗病毒对比本轮疫情前均有显著增长，连花清瘟同比增长率高达356.52%，布洛芬同比增长209.55%，感冒灵同比增长107.07%，藿香正气同比增长218.44%，抗病毒同比增长132.84%。其中，连花清瘟和布洛芬的增长尤其强劲。</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color w:val="222222"/>
          <w:spacing w:val="8"/>
          <w:sz w:val="25"/>
          <w:szCs w:val="25"/>
          <w:shd w:val="clear" w:fill="FFFFFF"/>
        </w:rPr>
        <w:drawing>
          <wp:inline distT="0" distB="0" distL="114300" distR="114300">
            <wp:extent cx="5305425" cy="3330575"/>
            <wp:effectExtent l="0" t="0" r="9525" b="3175"/>
            <wp:docPr id="38" name="图片 38"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269"/>
                    <pic:cNvPicPr>
                      <a:picLocks noChangeAspect="1"/>
                    </pic:cNvPicPr>
                  </pic:nvPicPr>
                  <pic:blipFill>
                    <a:blip r:embed="rId29"/>
                    <a:stretch>
                      <a:fillRect/>
                    </a:stretch>
                  </pic:blipFill>
                  <pic:spPr>
                    <a:xfrm>
                      <a:off x="0" y="0"/>
                      <a:ext cx="5305425" cy="3330575"/>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pPr>
      <w:r>
        <w:rPr>
          <w:rFonts w:hint="eastAsia" w:ascii="微软雅黑" w:hAnsi="微软雅黑" w:eastAsia="微软雅黑" w:cs="微软雅黑"/>
          <w:i w:val="0"/>
          <w:iCs w:val="0"/>
          <w:caps w:val="0"/>
          <w:color w:val="7F7F7F"/>
          <w:spacing w:val="8"/>
          <w:sz w:val="18"/>
          <w:szCs w:val="18"/>
          <w:shd w:val="clear" w:fill="FFFFFF"/>
        </w:rPr>
        <w:t>图6：国内样本零售药店市场Top20品类销售额增速</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iCs w:val="0"/>
          <w:caps w:val="0"/>
          <w:color w:val="7F7F7F"/>
          <w:spacing w:val="8"/>
          <w:kern w:val="0"/>
          <w:sz w:val="18"/>
          <w:szCs w:val="18"/>
          <w:shd w:val="clear" w:fill="FFFFFF"/>
          <w:lang w:val="en-US" w:eastAsia="zh-CN" w:bidi="ar"/>
        </w:rPr>
        <w:t>数据来源：RPDB药品零售数据库-样本市场数据</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line="240" w:lineRule="auto"/>
        <w:ind w:left="0" w:right="0"/>
        <w:jc w:val="center"/>
      </w:pPr>
      <w:r>
        <w:rPr>
          <w:rFonts w:hint="eastAsia" w:ascii="微软雅黑" w:hAnsi="微软雅黑" w:eastAsia="微软雅黑" w:cs="微软雅黑"/>
          <w:i w:val="0"/>
          <w:iCs w:val="0"/>
          <w:caps w:val="0"/>
          <w:color w:val="7F7F7F"/>
          <w:spacing w:val="8"/>
          <w:sz w:val="18"/>
          <w:szCs w:val="18"/>
          <w:shd w:val="clear" w:fill="FFFFFF"/>
        </w:rPr>
        <w:t>中国医药工业信息中心</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rFonts w:hint="eastAsia" w:ascii="微软雅黑" w:hAnsi="微软雅黑" w:eastAsia="微软雅黑" w:cs="宋体"/>
          <w:b/>
          <w:color w:val="333333"/>
          <w:kern w:val="36"/>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宋体"/>
          <w:b/>
          <w:color w:val="333333"/>
          <w:kern w:val="36"/>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宋体"/>
          <w:b/>
          <w:color w:val="333333"/>
          <w:kern w:val="36"/>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宋体"/>
          <w:b/>
          <w:color w:val="333333"/>
          <w:kern w:val="36"/>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宋体"/>
          <w:b/>
          <w:color w:val="333333"/>
          <w:kern w:val="36"/>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宋体"/>
          <w:b/>
          <w:color w:val="333333"/>
          <w:kern w:val="36"/>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宋体"/>
          <w:b/>
          <w:color w:val="333333"/>
          <w:kern w:val="36"/>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宋体"/>
          <w:b/>
          <w:color w:val="333333"/>
          <w:kern w:val="36"/>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宋体"/>
          <w:b/>
          <w:color w:val="333333"/>
          <w:kern w:val="36"/>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宋体"/>
          <w:b/>
          <w:color w:val="333333"/>
          <w:kern w:val="36"/>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宋体"/>
          <w:b/>
          <w:color w:val="333333"/>
          <w:kern w:val="36"/>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宋体"/>
          <w:b/>
          <w:color w:val="333333"/>
          <w:kern w:val="36"/>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宋体" w:hAnsi="宋体" w:eastAsia="宋体" w:cs="宋体"/>
          <w:b/>
          <w:kern w:val="0"/>
          <w:sz w:val="33"/>
          <w:szCs w:val="33"/>
          <w:lang w:val="en-US" w:eastAsia="zh-CN" w:bidi="ar"/>
        </w:rPr>
      </w:pPr>
      <w:r>
        <w:rPr>
          <w:rFonts w:hint="eastAsia" w:ascii="微软雅黑" w:hAnsi="微软雅黑" w:eastAsia="微软雅黑" w:cs="宋体"/>
          <w:b/>
          <w:color w:val="333333"/>
          <w:kern w:val="36"/>
          <w:sz w:val="24"/>
          <w:szCs w:val="24"/>
        </w:rPr>
        <w:t>附件</w:t>
      </w:r>
      <w:r>
        <w:rPr>
          <w:rFonts w:hint="eastAsia" w:ascii="微软雅黑" w:hAnsi="微软雅黑" w:eastAsia="微软雅黑" w:cs="宋体"/>
          <w:b/>
          <w:color w:val="333333"/>
          <w:kern w:val="36"/>
          <w:sz w:val="24"/>
          <w:szCs w:val="24"/>
          <w:lang w:val="en-US" w:eastAsia="zh-CN"/>
        </w:rPr>
        <w:t>5</w:t>
      </w:r>
      <w:r>
        <w:rPr>
          <w:rFonts w:hint="eastAsia" w:ascii="宋体" w:hAnsi="宋体" w:eastAsia="宋体" w:cs="宋体"/>
          <w:b/>
          <w:kern w:val="0"/>
          <w:sz w:val="33"/>
          <w:szCs w:val="33"/>
          <w:lang w:val="en-US" w:eastAsia="zh-CN" w:bidi="ar"/>
        </w:rPr>
        <w:t xml:space="preserve">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hint="eastAsia" w:ascii="Microsoft YaHei UI" w:hAnsi="Microsoft YaHei UI" w:eastAsia="Microsoft YaHei UI" w:cs="Microsoft YaHei UI"/>
          <w:i w:val="0"/>
          <w:iCs w:val="0"/>
          <w:caps w:val="0"/>
          <w:color w:val="222222"/>
          <w:spacing w:val="8"/>
          <w:sz w:val="33"/>
          <w:szCs w:val="33"/>
          <w:lang w:eastAsia="zh-CN"/>
        </w:rPr>
      </w:pPr>
      <w:r>
        <w:rPr>
          <w:rFonts w:hint="eastAsia" w:ascii="Microsoft YaHei UI" w:hAnsi="Microsoft YaHei UI" w:eastAsia="Microsoft YaHei UI" w:cs="Microsoft YaHei UI"/>
          <w:i w:val="0"/>
          <w:iCs w:val="0"/>
          <w:caps w:val="0"/>
          <w:color w:val="222222"/>
          <w:spacing w:val="8"/>
          <w:sz w:val="33"/>
          <w:szCs w:val="33"/>
          <w:shd w:val="clear" w:fill="FFFFFF"/>
        </w:rPr>
        <w:t>2023年老百姓</w:t>
      </w:r>
      <w:r>
        <w:rPr>
          <w:rFonts w:hint="eastAsia" w:ascii="Microsoft YaHei UI" w:hAnsi="Microsoft YaHei UI" w:eastAsia="Microsoft YaHei UI" w:cs="Microsoft YaHei UI"/>
          <w:i w:val="0"/>
          <w:iCs w:val="0"/>
          <w:caps w:val="0"/>
          <w:color w:val="222222"/>
          <w:spacing w:val="8"/>
          <w:sz w:val="33"/>
          <w:szCs w:val="33"/>
          <w:shd w:val="clear" w:fill="FFFFFF"/>
          <w:lang w:eastAsia="zh-CN"/>
        </w:rPr>
        <w:t>扩张规划</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30" w:afterAutospacing="0" w:line="300" w:lineRule="atLeast"/>
        <w:ind w:left="0" w:right="0" w:firstLine="0"/>
        <w:jc w:val="left"/>
      </w:pPr>
      <w:r>
        <w:rPr>
          <w:rFonts w:hint="eastAsia" w:ascii="Microsoft YaHei UI" w:hAnsi="Microsoft YaHei UI" w:eastAsia="Microsoft YaHei UI" w:cs="Microsoft YaHei UI"/>
          <w:i w:val="0"/>
          <w:iCs w:val="0"/>
          <w:caps w:val="0"/>
          <w:color w:val="222222"/>
          <w:spacing w:val="8"/>
          <w:kern w:val="0"/>
          <w:sz w:val="22"/>
          <w:szCs w:val="22"/>
          <w:shd w:val="clear" w:fill="FFFFFF"/>
          <w:lang w:val="en-US" w:eastAsia="zh-CN" w:bidi="ar"/>
        </w:rPr>
        <w:t>采编中心</w:t>
      </w:r>
      <w:r>
        <w:rPr>
          <w:rFonts w:hint="eastAsia" w:ascii="Microsoft YaHei UI" w:hAnsi="Microsoft YaHei UI" w:eastAsia="Microsoft YaHei UI" w:cs="Microsoft YaHei UI"/>
          <w:i w:val="0"/>
          <w:iCs w:val="0"/>
          <w:caps w:val="0"/>
          <w:color w:val="222222"/>
          <w:spacing w:val="8"/>
          <w:kern w:val="0"/>
          <w:sz w:val="0"/>
          <w:szCs w:val="0"/>
          <w:shd w:val="clear" w:fill="FFFFFF"/>
          <w:lang w:val="en-US" w:eastAsia="zh-CN" w:bidi="ar"/>
        </w:rPr>
        <w:t> </w:t>
      </w:r>
      <w:r>
        <w:rPr>
          <w:rFonts w:hint="eastAsia" w:ascii="Microsoft YaHei UI" w:hAnsi="Microsoft YaHei UI" w:eastAsia="Microsoft YaHei UI" w:cs="Microsoft YaHei UI"/>
          <w:i w:val="0"/>
          <w:iCs w:val="0"/>
          <w:caps w:val="0"/>
          <w:color w:val="576B95"/>
          <w:spacing w:val="8"/>
          <w:kern w:val="0"/>
          <w:sz w:val="22"/>
          <w:szCs w:val="22"/>
          <w:u w:val="none"/>
          <w:shd w:val="clear" w:fill="FFFFFF"/>
          <w:lang w:val="en-US" w:eastAsia="zh-CN" w:bidi="ar"/>
        </w:rPr>
        <w:fldChar w:fldCharType="begin"/>
      </w:r>
      <w:r>
        <w:rPr>
          <w:rFonts w:hint="eastAsia" w:ascii="Microsoft YaHei UI" w:hAnsi="Microsoft YaHei UI" w:eastAsia="Microsoft YaHei UI" w:cs="Microsoft YaHei UI"/>
          <w:i w:val="0"/>
          <w:iCs w:val="0"/>
          <w:caps w:val="0"/>
          <w:color w:val="576B95"/>
          <w:spacing w:val="8"/>
          <w:kern w:val="0"/>
          <w:sz w:val="22"/>
          <w:szCs w:val="22"/>
          <w:u w:val="none"/>
          <w:shd w:val="clear" w:fill="FFFFFF"/>
          <w:lang w:val="en-US" w:eastAsia="zh-CN" w:bidi="ar"/>
        </w:rPr>
        <w:instrText xml:space="preserve"> HYPERLINK "javascript:void(0);" </w:instrText>
      </w:r>
      <w:r>
        <w:rPr>
          <w:rFonts w:hint="eastAsia" w:ascii="Microsoft YaHei UI" w:hAnsi="Microsoft YaHei UI" w:eastAsia="Microsoft YaHei UI" w:cs="Microsoft YaHei UI"/>
          <w:i w:val="0"/>
          <w:iCs w:val="0"/>
          <w:caps w:val="0"/>
          <w:color w:val="576B95"/>
          <w:spacing w:val="8"/>
          <w:kern w:val="0"/>
          <w:sz w:val="22"/>
          <w:szCs w:val="22"/>
          <w:u w:val="none"/>
          <w:shd w:val="clear" w:fill="FFFFFF"/>
          <w:lang w:val="en-US" w:eastAsia="zh-CN" w:bidi="ar"/>
        </w:rPr>
        <w:fldChar w:fldCharType="separate"/>
      </w:r>
      <w:r>
        <w:rPr>
          <w:rStyle w:val="16"/>
          <w:rFonts w:hint="eastAsia" w:ascii="Microsoft YaHei UI" w:hAnsi="Microsoft YaHei UI" w:eastAsia="Microsoft YaHei UI" w:cs="Microsoft YaHei UI"/>
          <w:i w:val="0"/>
          <w:iCs w:val="0"/>
          <w:caps w:val="0"/>
          <w:color w:val="576B95"/>
          <w:spacing w:val="8"/>
          <w:sz w:val="22"/>
          <w:szCs w:val="22"/>
          <w:u w:val="none"/>
          <w:shd w:val="clear" w:fill="FFFFFF"/>
        </w:rPr>
        <w:t>米内零售观察</w:t>
      </w:r>
      <w:r>
        <w:rPr>
          <w:rFonts w:hint="eastAsia" w:ascii="Microsoft YaHei UI" w:hAnsi="Microsoft YaHei UI" w:eastAsia="Microsoft YaHei UI" w:cs="Microsoft YaHei UI"/>
          <w:i w:val="0"/>
          <w:iCs w:val="0"/>
          <w:caps w:val="0"/>
          <w:color w:val="576B95"/>
          <w:spacing w:val="8"/>
          <w:kern w:val="0"/>
          <w:sz w:val="22"/>
          <w:szCs w:val="22"/>
          <w:u w:val="none"/>
          <w:shd w:val="clear" w:fill="FFFFFF"/>
          <w:lang w:val="en-US" w:eastAsia="zh-CN" w:bidi="ar"/>
        </w:rPr>
        <w:fldChar w:fldCharType="end"/>
      </w:r>
      <w:r>
        <w:rPr>
          <w:rFonts w:hint="eastAsia" w:ascii="Microsoft YaHei UI" w:hAnsi="Microsoft YaHei UI" w:eastAsia="Microsoft YaHei UI" w:cs="Microsoft YaHei UI"/>
          <w:i w:val="0"/>
          <w:iCs w:val="0"/>
          <w:caps w:val="0"/>
          <w:color w:val="222222"/>
          <w:spacing w:val="8"/>
          <w:kern w:val="0"/>
          <w:sz w:val="0"/>
          <w:szCs w:val="0"/>
          <w:shd w:val="clear" w:fill="FFFFFF"/>
          <w:lang w:val="en-US" w:eastAsia="zh-CN" w:bidi="ar"/>
        </w:rPr>
        <w:t> </w:t>
      </w:r>
      <w:r>
        <w:rPr>
          <w:rStyle w:val="15"/>
          <w:rFonts w:hint="eastAsia" w:ascii="Microsoft YaHei UI" w:hAnsi="Microsoft YaHei UI" w:eastAsia="Microsoft YaHei UI" w:cs="Microsoft YaHei UI"/>
          <w:i w:val="0"/>
          <w:iCs w:val="0"/>
          <w:caps w:val="0"/>
          <w:color w:val="222222"/>
          <w:spacing w:val="8"/>
          <w:kern w:val="0"/>
          <w:sz w:val="22"/>
          <w:szCs w:val="22"/>
          <w:shd w:val="clear" w:fill="FFFFFF"/>
          <w:lang w:val="en-US" w:eastAsia="zh-CN" w:bidi="ar"/>
        </w:rPr>
        <w:t>2023-01-18 17:30</w:t>
      </w:r>
      <w:r>
        <w:rPr>
          <w:rFonts w:hint="eastAsia" w:ascii="Microsoft YaHei UI" w:hAnsi="Microsoft YaHei UI" w:eastAsia="Microsoft YaHei UI" w:cs="Microsoft YaHei UI"/>
          <w:i w:val="0"/>
          <w:iCs w:val="0"/>
          <w:caps w:val="0"/>
          <w:color w:val="222222"/>
          <w:spacing w:val="8"/>
          <w:kern w:val="0"/>
          <w:sz w:val="0"/>
          <w:szCs w:val="0"/>
          <w:shd w:val="clear" w:fill="FFFFFF"/>
          <w:lang w:val="en-US" w:eastAsia="zh-CN" w:bidi="ar"/>
        </w:rPr>
        <w:t> </w:t>
      </w:r>
      <w:r>
        <w:rPr>
          <w:rStyle w:val="15"/>
          <w:rFonts w:hint="eastAsia" w:ascii="Microsoft YaHei UI" w:hAnsi="Microsoft YaHei UI" w:eastAsia="Microsoft YaHei UI" w:cs="Microsoft YaHei UI"/>
          <w:i w:val="0"/>
          <w:iCs w:val="0"/>
          <w:caps w:val="0"/>
          <w:color w:val="222222"/>
          <w:spacing w:val="8"/>
          <w:kern w:val="0"/>
          <w:sz w:val="22"/>
          <w:szCs w:val="22"/>
          <w:shd w:val="clear" w:fill="FFFFFF"/>
          <w:lang w:val="en-US" w:eastAsia="zh-CN" w:bidi="ar"/>
        </w:rPr>
        <w:t>发表于广东</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0" w:afterAutospacing="0" w:line="368" w:lineRule="atLeast"/>
        <w:ind w:left="226" w:right="226" w:firstLine="592" w:firstLineChars="200"/>
        <w:jc w:val="both"/>
        <w:rPr>
          <w:rFonts w:hint="eastAsia" w:ascii="宋体" w:hAnsi="宋体" w:eastAsia="宋体" w:cs="宋体"/>
          <w:i w:val="0"/>
          <w:iCs w:val="0"/>
          <w:caps w:val="0"/>
          <w:color w:val="222222"/>
          <w:spacing w:val="8"/>
          <w:kern w:val="0"/>
          <w:sz w:val="28"/>
          <w:szCs w:val="28"/>
          <w:shd w:val="clear" w:fill="FFFFFF"/>
          <w:lang w:val="en-US" w:eastAsia="zh-CN" w:bidi="ar-SA"/>
        </w:rPr>
      </w:pPr>
      <w:r>
        <w:rPr>
          <w:rFonts w:hint="eastAsia" w:ascii="宋体" w:hAnsi="宋体" w:eastAsia="宋体" w:cs="宋体"/>
          <w:i w:val="0"/>
          <w:iCs w:val="0"/>
          <w:caps w:val="0"/>
          <w:color w:val="222222"/>
          <w:spacing w:val="8"/>
          <w:kern w:val="0"/>
          <w:sz w:val="28"/>
          <w:szCs w:val="28"/>
          <w:shd w:val="clear" w:fill="FFFFFF"/>
          <w:lang w:val="en-US" w:eastAsia="zh-CN" w:bidi="ar-SA"/>
        </w:rPr>
        <w:t>“公司未来并购依然聚焦于优势的‘9+7’省域市场，持续提升市占率， 夯实领先优势。”日前，在老百姓大药房连锁股份有限公司（以下简称“老百姓”）披露的机构投资者交流活动会议纪要中，老百姓谈及了未来的扩张规划。</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宋体" w:hAnsi="宋体" w:eastAsia="宋体" w:cs="宋体"/>
          <w:i w:val="0"/>
          <w:iCs w:val="0"/>
          <w:caps w:val="0"/>
          <w:color w:val="222222"/>
          <w:spacing w:val="8"/>
          <w:sz w:val="28"/>
          <w:szCs w:val="28"/>
        </w:rPr>
      </w:pPr>
      <w:r>
        <w:rPr>
          <w:rStyle w:val="14"/>
          <w:rFonts w:hint="eastAsia" w:ascii="宋体" w:hAnsi="宋体" w:eastAsia="宋体" w:cs="宋体"/>
          <w:i w:val="0"/>
          <w:iCs w:val="0"/>
          <w:caps w:val="0"/>
          <w:color w:val="222222"/>
          <w:spacing w:val="8"/>
          <w:kern w:val="0"/>
          <w:sz w:val="28"/>
          <w:szCs w:val="28"/>
          <w:shd w:val="clear" w:fill="FFFFFF"/>
          <w:lang w:val="en-US" w:eastAsia="zh-CN" w:bidi="ar"/>
        </w:rPr>
        <w:t>PART1谈拓展未来更倾向于加盟、联盟模式</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0" w:afterAutospacing="0" w:line="368" w:lineRule="atLeast"/>
        <w:ind w:left="226" w:right="226" w:firstLine="592" w:firstLineChars="200"/>
        <w:jc w:val="both"/>
        <w:rPr>
          <w:rFonts w:hint="eastAsia" w:ascii="宋体" w:hAnsi="宋体" w:eastAsia="宋体" w:cs="宋体"/>
          <w:i w:val="0"/>
          <w:iCs w:val="0"/>
          <w:caps w:val="0"/>
          <w:color w:val="222222"/>
          <w:spacing w:val="8"/>
          <w:kern w:val="0"/>
          <w:sz w:val="28"/>
          <w:szCs w:val="28"/>
          <w:shd w:val="clear" w:fill="FFFFFF"/>
          <w:lang w:val="en-US" w:eastAsia="zh-CN" w:bidi="ar-SA"/>
        </w:rPr>
      </w:pPr>
      <w:r>
        <w:rPr>
          <w:rFonts w:hint="eastAsia" w:ascii="宋体" w:hAnsi="宋体" w:eastAsia="宋体" w:cs="宋体"/>
          <w:i w:val="0"/>
          <w:iCs w:val="0"/>
          <w:caps w:val="0"/>
          <w:color w:val="222222"/>
          <w:spacing w:val="8"/>
          <w:kern w:val="0"/>
          <w:sz w:val="28"/>
          <w:szCs w:val="28"/>
          <w:shd w:val="clear" w:fill="FFFFFF"/>
          <w:lang w:val="en-US" w:eastAsia="zh-CN" w:bidi="ar-SA"/>
        </w:rPr>
        <w:t>“9+7”拓展战略依旧是老百姓未来的重点，即 9 个优势省份通过自建、并购、 加盟、联盟密集布点，7 个省份以轻资产扩张的加盟、联盟为主。同时快速布局 3-5 线下沉市场。</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0" w:afterAutospacing="0" w:line="368" w:lineRule="atLeast"/>
        <w:ind w:left="226" w:right="226" w:firstLine="592" w:firstLineChars="200"/>
        <w:jc w:val="both"/>
        <w:rPr>
          <w:rFonts w:hint="eastAsia" w:ascii="宋体" w:hAnsi="宋体" w:eastAsia="宋体" w:cs="宋体"/>
          <w:i w:val="0"/>
          <w:iCs w:val="0"/>
          <w:caps w:val="0"/>
          <w:color w:val="222222"/>
          <w:spacing w:val="8"/>
          <w:kern w:val="0"/>
          <w:sz w:val="28"/>
          <w:szCs w:val="28"/>
          <w:shd w:val="clear" w:fill="FFFFFF"/>
          <w:lang w:val="en-US" w:eastAsia="zh-CN" w:bidi="ar-SA"/>
        </w:rPr>
      </w:pPr>
      <w:r>
        <w:rPr>
          <w:rFonts w:hint="eastAsia" w:ascii="宋体" w:hAnsi="宋体" w:eastAsia="宋体" w:cs="宋体"/>
          <w:i w:val="0"/>
          <w:iCs w:val="0"/>
          <w:caps w:val="0"/>
          <w:color w:val="222222"/>
          <w:spacing w:val="8"/>
          <w:kern w:val="0"/>
          <w:sz w:val="28"/>
          <w:szCs w:val="28"/>
          <w:shd w:val="clear" w:fill="FFFFFF"/>
          <w:lang w:val="en-US" w:eastAsia="zh-CN" w:bidi="ar-SA"/>
        </w:rPr>
        <w:t>老百姓表示，深度整合怀仁药房需要时间，现阶段公司会谨慎进行大型并购，而是以小型并购为主，更多地针对原有布局网络的补缺。相较于重资产方式的并购，公司未来更倾向于轻资产的加盟、联盟模式。</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0" w:afterAutospacing="0" w:line="368" w:lineRule="atLeast"/>
        <w:ind w:left="226" w:right="226" w:firstLine="592" w:firstLineChars="200"/>
        <w:jc w:val="both"/>
        <w:rPr>
          <w:rFonts w:hint="eastAsia" w:ascii="宋体" w:hAnsi="宋体" w:eastAsia="宋体" w:cs="宋体"/>
          <w:i w:val="0"/>
          <w:iCs w:val="0"/>
          <w:caps w:val="0"/>
          <w:color w:val="222222"/>
          <w:spacing w:val="8"/>
          <w:kern w:val="0"/>
          <w:sz w:val="28"/>
          <w:szCs w:val="28"/>
          <w:shd w:val="clear" w:fill="FFFFFF"/>
          <w:lang w:val="en-US" w:eastAsia="zh-CN" w:bidi="ar-SA"/>
        </w:rPr>
      </w:pPr>
      <w:r>
        <w:rPr>
          <w:rFonts w:hint="eastAsia" w:ascii="宋体" w:hAnsi="宋体" w:eastAsia="宋体" w:cs="宋体"/>
          <w:i w:val="0"/>
          <w:iCs w:val="0"/>
          <w:caps w:val="0"/>
          <w:color w:val="222222"/>
          <w:spacing w:val="8"/>
          <w:kern w:val="0"/>
          <w:sz w:val="28"/>
          <w:szCs w:val="28"/>
          <w:shd w:val="clear" w:fill="FFFFFF"/>
          <w:lang w:val="en-US" w:eastAsia="zh-CN" w:bidi="ar-SA"/>
        </w:rPr>
        <w:t>加盟板块，公司自 2015 年开始发展加盟业务， 实施包括商品 100%配送的“七统一”赋能管理，保障加盟店运营质量。截至 2022 年 9 月，公司加盟门店 2965 家。联盟板块控股子公司“药简单”成立于 2017 年，定位于“县域龙头的全托管专家”。截至 2022 年 9 月，合作企业 130 家，涉及门店超 4000 家。</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0" w:afterAutospacing="0" w:line="368" w:lineRule="atLeast"/>
        <w:ind w:left="226" w:right="226" w:firstLine="592" w:firstLineChars="200"/>
        <w:jc w:val="both"/>
        <w:rPr>
          <w:rFonts w:hint="eastAsia" w:ascii="宋体" w:hAnsi="宋体" w:eastAsia="宋体" w:cs="宋体"/>
          <w:i w:val="0"/>
          <w:iCs w:val="0"/>
          <w:caps w:val="0"/>
          <w:color w:val="222222"/>
          <w:spacing w:val="8"/>
          <w:kern w:val="0"/>
          <w:sz w:val="28"/>
          <w:szCs w:val="28"/>
          <w:shd w:val="clear" w:fill="FFFFFF"/>
          <w:lang w:val="en-US" w:eastAsia="zh-CN" w:bidi="ar-SA"/>
        </w:rPr>
      </w:pPr>
      <w:r>
        <w:rPr>
          <w:rFonts w:hint="eastAsia" w:ascii="宋体" w:hAnsi="宋体" w:eastAsia="宋体" w:cs="宋体"/>
          <w:i w:val="0"/>
          <w:iCs w:val="0"/>
          <w:caps w:val="0"/>
          <w:color w:val="222222"/>
          <w:spacing w:val="8"/>
          <w:kern w:val="0"/>
          <w:sz w:val="28"/>
          <w:szCs w:val="28"/>
          <w:shd w:val="clear" w:fill="FFFFFF"/>
          <w:lang w:val="en-US" w:eastAsia="zh-CN" w:bidi="ar-SA"/>
        </w:rPr>
        <w:t>在老百姓看来，将资源倾注于发展加盟与联盟模式，符合当前行业的发展情况，与老百姓的扩张路线相契合。当前防疫、政策等环境下， 中小连锁、单体药房面临较大影响，而老百姓开发、经营多年的数字化体系、供应链体系等能为中小药店带来赋能，通过加盟、联盟的方式构建医药零售行业的“大生态”，不仅能加速公司的拓展，更能整合行业资源，使众多同行提升经营管理质量，带来业绩增长。</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0" w:afterAutospacing="0" w:line="368" w:lineRule="atLeast"/>
        <w:ind w:left="226" w:right="226" w:firstLine="592" w:firstLineChars="200"/>
        <w:jc w:val="both"/>
        <w:rPr>
          <w:rFonts w:hint="eastAsia" w:ascii="宋体" w:hAnsi="宋体" w:eastAsia="宋体" w:cs="宋体"/>
          <w:i w:val="0"/>
          <w:iCs w:val="0"/>
          <w:caps w:val="0"/>
          <w:color w:val="222222"/>
          <w:spacing w:val="8"/>
          <w:kern w:val="0"/>
          <w:sz w:val="28"/>
          <w:szCs w:val="28"/>
          <w:shd w:val="clear" w:fill="FFFFFF"/>
          <w:lang w:val="en-US" w:eastAsia="zh-CN" w:bidi="ar-SA"/>
        </w:rPr>
      </w:pPr>
      <w:r>
        <w:rPr>
          <w:rFonts w:hint="eastAsia" w:ascii="宋体" w:hAnsi="宋体" w:eastAsia="宋体" w:cs="宋体"/>
          <w:i w:val="0"/>
          <w:iCs w:val="0"/>
          <w:caps w:val="0"/>
          <w:color w:val="222222"/>
          <w:spacing w:val="8"/>
          <w:kern w:val="0"/>
          <w:sz w:val="28"/>
          <w:szCs w:val="28"/>
          <w:shd w:val="clear" w:fill="FFFFFF"/>
          <w:lang w:val="en-US" w:eastAsia="zh-CN" w:bidi="ar-SA"/>
        </w:rPr>
        <w:t>在拓展的同时，公司也会注重下沉，目前国内下沉市场的发展潜能更大，已成为头部连锁重点发力方向。由于下沉市场老龄化程度更深、费用率更低、健康管理水平不及一二线城市等原因， 发展空间更大。</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0" w:afterAutospacing="0" w:line="368" w:lineRule="atLeast"/>
        <w:ind w:left="226" w:right="226" w:firstLine="592" w:firstLineChars="200"/>
        <w:jc w:val="both"/>
        <w:rPr>
          <w:rFonts w:hint="eastAsia" w:ascii="宋体" w:hAnsi="宋体" w:eastAsia="宋体" w:cs="宋体"/>
          <w:i w:val="0"/>
          <w:iCs w:val="0"/>
          <w:caps w:val="0"/>
          <w:color w:val="222222"/>
          <w:spacing w:val="8"/>
          <w:kern w:val="0"/>
          <w:sz w:val="28"/>
          <w:szCs w:val="28"/>
          <w:shd w:val="clear" w:fill="FFFFFF"/>
          <w:lang w:val="en-US" w:eastAsia="zh-CN" w:bidi="ar-SA"/>
        </w:rPr>
      </w:pPr>
      <w:r>
        <w:rPr>
          <w:rFonts w:hint="eastAsia" w:ascii="宋体" w:hAnsi="宋体" w:eastAsia="宋体" w:cs="宋体"/>
          <w:i w:val="0"/>
          <w:iCs w:val="0"/>
          <w:caps w:val="0"/>
          <w:color w:val="222222"/>
          <w:spacing w:val="8"/>
          <w:kern w:val="0"/>
          <w:sz w:val="28"/>
          <w:szCs w:val="28"/>
          <w:shd w:val="clear" w:fill="FFFFFF"/>
          <w:lang w:val="en-US" w:eastAsia="zh-CN" w:bidi="ar-SA"/>
        </w:rPr>
        <w:t>为此，老百姓表示将集中资源聚焦“9+7”优势市场，同时做好下沉，提升优势市场绝对占有率。老百姓2022年前三季度新增 2214 家门店中地级市及以下地区门店占比约 90%。</w:t>
      </w:r>
    </w:p>
    <w:p>
      <w:pPr>
        <w:keepNext w:val="0"/>
        <w:keepLines w:val="0"/>
        <w:widowControl/>
        <w:suppressLineNumbers w:val="0"/>
        <w:spacing w:before="0" w:beforeAutospacing="0" w:after="0" w:afterAutospacing="0"/>
        <w:ind w:left="0" w:right="0"/>
        <w:jc w:val="left"/>
        <w:rPr>
          <w:rFonts w:hint="eastAsia" w:ascii="宋体" w:hAnsi="宋体" w:eastAsia="宋体" w:cs="宋体"/>
          <w:sz w:val="28"/>
          <w:szCs w:val="28"/>
        </w:rPr>
      </w:pPr>
      <w:r>
        <w:rPr>
          <w:rStyle w:val="14"/>
          <w:rFonts w:hint="eastAsia" w:ascii="宋体" w:hAnsi="宋体" w:eastAsia="宋体" w:cs="宋体"/>
          <w:i w:val="0"/>
          <w:iCs w:val="0"/>
          <w:caps w:val="0"/>
          <w:color w:val="222222"/>
          <w:spacing w:val="8"/>
          <w:kern w:val="0"/>
          <w:sz w:val="28"/>
          <w:szCs w:val="28"/>
          <w:shd w:val="clear" w:fill="FFFFFF"/>
          <w:lang w:val="en-US" w:eastAsia="zh-CN" w:bidi="ar"/>
        </w:rPr>
        <w:t>PART2谈商誉减值风险标的整体运营良好 商誉整体健康</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0" w:afterAutospacing="0" w:line="368" w:lineRule="atLeast"/>
        <w:ind w:left="226" w:right="226" w:firstLine="592" w:firstLineChars="200"/>
        <w:jc w:val="both"/>
        <w:rPr>
          <w:rFonts w:hint="eastAsia" w:ascii="宋体" w:hAnsi="宋体" w:eastAsia="宋体" w:cs="宋体"/>
          <w:i w:val="0"/>
          <w:iCs w:val="0"/>
          <w:caps w:val="0"/>
          <w:color w:val="222222"/>
          <w:spacing w:val="8"/>
          <w:kern w:val="0"/>
          <w:sz w:val="28"/>
          <w:szCs w:val="28"/>
          <w:shd w:val="clear" w:fill="FFFFFF"/>
          <w:lang w:val="en-US" w:eastAsia="zh-CN" w:bidi="ar-SA"/>
        </w:rPr>
      </w:pPr>
      <w:r>
        <w:rPr>
          <w:rFonts w:hint="eastAsia" w:ascii="宋体" w:hAnsi="宋体" w:eastAsia="宋体" w:cs="宋体"/>
          <w:i w:val="0"/>
          <w:iCs w:val="0"/>
          <w:caps w:val="0"/>
          <w:color w:val="222222"/>
          <w:spacing w:val="8"/>
          <w:kern w:val="0"/>
          <w:sz w:val="28"/>
          <w:szCs w:val="28"/>
          <w:shd w:val="clear" w:fill="FFFFFF"/>
          <w:lang w:val="en-US" w:eastAsia="zh-CN" w:bidi="ar-SA"/>
        </w:rPr>
        <w:t>对并购重组的企业而言，商誉是并购企业投资成本超过被并购企业净资产公允价值的差额（也就是并购的溢价）。近年来我国A股市场掀起并购重组潮，很多上市公司通过并购快速提升了企业实力与效益，以老百姓大药房为代表的四大上市药店也是并购主力并因并购获益，但在频频并购的背后，却是商誉减值风险逐渐集聚。</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0" w:afterAutospacing="0" w:line="368" w:lineRule="atLeast"/>
        <w:ind w:left="226" w:right="226" w:firstLine="592" w:firstLineChars="200"/>
        <w:jc w:val="both"/>
        <w:rPr>
          <w:rFonts w:hint="eastAsia" w:ascii="宋体" w:hAnsi="宋体" w:eastAsia="宋体" w:cs="宋体"/>
          <w:i w:val="0"/>
          <w:iCs w:val="0"/>
          <w:caps w:val="0"/>
          <w:color w:val="222222"/>
          <w:spacing w:val="8"/>
          <w:kern w:val="0"/>
          <w:sz w:val="28"/>
          <w:szCs w:val="28"/>
          <w:shd w:val="clear" w:fill="FFFFFF"/>
          <w:lang w:val="en-US" w:eastAsia="zh-CN" w:bidi="ar-SA"/>
        </w:rPr>
      </w:pPr>
      <w:r>
        <w:rPr>
          <w:rFonts w:hint="eastAsia" w:ascii="宋体" w:hAnsi="宋体" w:eastAsia="宋体" w:cs="宋体"/>
          <w:i w:val="0"/>
          <w:iCs w:val="0"/>
          <w:caps w:val="0"/>
          <w:color w:val="222222"/>
          <w:spacing w:val="8"/>
          <w:kern w:val="0"/>
          <w:sz w:val="28"/>
          <w:szCs w:val="28"/>
          <w:shd w:val="clear" w:fill="FFFFFF"/>
          <w:lang w:val="en-US" w:eastAsia="zh-CN" w:bidi="ar-SA"/>
        </w:rPr>
        <w:t>对此，老百姓表示，从公司经营层面来看，商誉是否存在减值风险，取决于标的的价值和未来的盈利能力，即通过标的尽调选择和投后整合两个方面实现管控。</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0" w:afterAutospacing="0" w:line="368" w:lineRule="atLeast"/>
        <w:ind w:left="226" w:right="226" w:firstLine="592" w:firstLineChars="200"/>
        <w:jc w:val="both"/>
        <w:rPr>
          <w:rFonts w:hint="eastAsia" w:ascii="宋体" w:hAnsi="宋体" w:eastAsia="宋体" w:cs="宋体"/>
          <w:i w:val="0"/>
          <w:iCs w:val="0"/>
          <w:caps w:val="0"/>
          <w:color w:val="222222"/>
          <w:spacing w:val="8"/>
          <w:kern w:val="0"/>
          <w:sz w:val="28"/>
          <w:szCs w:val="28"/>
          <w:shd w:val="clear" w:fill="FFFFFF"/>
          <w:lang w:val="en-US" w:eastAsia="zh-CN" w:bidi="ar-SA"/>
        </w:rPr>
      </w:pPr>
      <w:r>
        <w:rPr>
          <w:rFonts w:hint="eastAsia" w:ascii="宋体" w:hAnsi="宋体" w:eastAsia="宋体" w:cs="宋体"/>
          <w:i w:val="0"/>
          <w:iCs w:val="0"/>
          <w:caps w:val="0"/>
          <w:color w:val="222222"/>
          <w:spacing w:val="8"/>
          <w:kern w:val="0"/>
          <w:sz w:val="28"/>
          <w:szCs w:val="28"/>
          <w:shd w:val="clear" w:fill="FFFFFF"/>
          <w:lang w:val="en-US" w:eastAsia="zh-CN" w:bidi="ar-SA"/>
        </w:rPr>
        <w:t>第一，公司始终坚持同业并购，保证风险可控。</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0" w:afterAutospacing="0" w:line="368" w:lineRule="atLeast"/>
        <w:ind w:left="226" w:right="226" w:firstLine="592" w:firstLineChars="200"/>
        <w:jc w:val="both"/>
        <w:rPr>
          <w:rFonts w:hint="eastAsia" w:ascii="宋体" w:hAnsi="宋体" w:eastAsia="宋体" w:cs="宋体"/>
          <w:i w:val="0"/>
          <w:iCs w:val="0"/>
          <w:caps w:val="0"/>
          <w:color w:val="222222"/>
          <w:spacing w:val="8"/>
          <w:kern w:val="0"/>
          <w:sz w:val="28"/>
          <w:szCs w:val="28"/>
          <w:shd w:val="clear" w:fill="FFFFFF"/>
          <w:lang w:val="en-US" w:eastAsia="zh-CN" w:bidi="ar-SA"/>
        </w:rPr>
      </w:pPr>
      <w:r>
        <w:rPr>
          <w:rFonts w:hint="eastAsia" w:ascii="宋体" w:hAnsi="宋体" w:eastAsia="宋体" w:cs="宋体"/>
          <w:i w:val="0"/>
          <w:iCs w:val="0"/>
          <w:caps w:val="0"/>
          <w:color w:val="222222"/>
          <w:spacing w:val="8"/>
          <w:kern w:val="0"/>
          <w:sz w:val="28"/>
          <w:szCs w:val="28"/>
          <w:shd w:val="clear" w:fill="FFFFFF"/>
          <w:lang w:val="en-US" w:eastAsia="zh-CN" w:bidi="ar-SA"/>
        </w:rPr>
        <w:t>第二，在前期尽调上，公司拥有经验丰富的投资团队，结合第三方中介资源， 能对投资标的进行充分的尽职调查。公司并购立足于主营业务医药零售行业，公司拥有二十年医药零售行业经验。</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0" w:afterAutospacing="0" w:line="368" w:lineRule="atLeast"/>
        <w:ind w:left="226" w:right="226" w:firstLine="592" w:firstLineChars="200"/>
        <w:jc w:val="both"/>
        <w:rPr>
          <w:rFonts w:hint="eastAsia" w:ascii="宋体" w:hAnsi="宋体" w:eastAsia="宋体" w:cs="宋体"/>
          <w:i w:val="0"/>
          <w:iCs w:val="0"/>
          <w:caps w:val="0"/>
          <w:color w:val="222222"/>
          <w:spacing w:val="8"/>
          <w:kern w:val="0"/>
          <w:sz w:val="28"/>
          <w:szCs w:val="28"/>
          <w:shd w:val="clear" w:fill="FFFFFF"/>
          <w:lang w:val="en-US" w:eastAsia="zh-CN" w:bidi="ar-SA"/>
        </w:rPr>
      </w:pPr>
      <w:r>
        <w:rPr>
          <w:rFonts w:hint="eastAsia" w:ascii="宋体" w:hAnsi="宋体" w:eastAsia="宋体" w:cs="宋体"/>
          <w:i w:val="0"/>
          <w:iCs w:val="0"/>
          <w:caps w:val="0"/>
          <w:color w:val="222222"/>
          <w:spacing w:val="8"/>
          <w:kern w:val="0"/>
          <w:sz w:val="28"/>
          <w:szCs w:val="28"/>
          <w:shd w:val="clear" w:fill="FFFFFF"/>
          <w:lang w:val="en-US" w:eastAsia="zh-CN" w:bidi="ar-SA"/>
        </w:rPr>
        <w:t>对于大型标的，经过长达数月的尽职调查，公 司自身职能部门，如并购、财务、商采、人资、信息、质量等部门组织项目组参 与尽职调查，同时审计团队、评估团队、律师团队等从多个维度进行全面深入的 了解。再综合考虑标的管理能力、区位优势、未来与公司的协同效应以及谈判定 价等因素确定是否收购，在入口环节把好关。</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0" w:afterAutospacing="0" w:line="368" w:lineRule="atLeast"/>
        <w:ind w:left="226" w:right="226" w:firstLine="592" w:firstLineChars="200"/>
        <w:jc w:val="both"/>
        <w:rPr>
          <w:rFonts w:hint="eastAsia" w:ascii="宋体" w:hAnsi="宋体" w:eastAsia="宋体" w:cs="宋体"/>
          <w:i w:val="0"/>
          <w:iCs w:val="0"/>
          <w:caps w:val="0"/>
          <w:color w:val="222222"/>
          <w:spacing w:val="8"/>
          <w:kern w:val="0"/>
          <w:sz w:val="28"/>
          <w:szCs w:val="28"/>
          <w:shd w:val="clear" w:fill="FFFFFF"/>
          <w:lang w:val="en-US" w:eastAsia="zh-CN" w:bidi="ar-SA"/>
        </w:rPr>
      </w:pPr>
      <w:r>
        <w:rPr>
          <w:rFonts w:hint="eastAsia" w:ascii="宋体" w:hAnsi="宋体" w:eastAsia="宋体" w:cs="宋体"/>
          <w:i w:val="0"/>
          <w:iCs w:val="0"/>
          <w:caps w:val="0"/>
          <w:color w:val="222222"/>
          <w:spacing w:val="8"/>
          <w:kern w:val="0"/>
          <w:sz w:val="28"/>
          <w:szCs w:val="28"/>
          <w:shd w:val="clear" w:fill="FFFFFF"/>
          <w:lang w:val="en-US" w:eastAsia="zh-CN" w:bidi="ar-SA"/>
        </w:rPr>
        <w:t>第三，公司拥有强大的整合能力，多年的行业深耕以及跨省发展经验能让并 购标的公司在商品结构、采购成本、资金效率、营运标准、人才梯队、数字化、 新零售等方面迅速优化赋能。公司内部已经形成丰富的跨省区收购运营经验。</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0" w:afterAutospacing="0" w:line="368" w:lineRule="atLeast"/>
        <w:ind w:left="226" w:right="226" w:firstLine="592" w:firstLineChars="200"/>
        <w:jc w:val="both"/>
        <w:rPr>
          <w:rFonts w:hint="eastAsia" w:ascii="宋体" w:hAnsi="宋体" w:eastAsia="宋体" w:cs="宋体"/>
          <w:i w:val="0"/>
          <w:iCs w:val="0"/>
          <w:caps w:val="0"/>
          <w:color w:val="222222"/>
          <w:spacing w:val="8"/>
          <w:kern w:val="0"/>
          <w:sz w:val="28"/>
          <w:szCs w:val="28"/>
          <w:shd w:val="clear" w:fill="FFFFFF"/>
          <w:lang w:val="en-US" w:eastAsia="zh-CN" w:bidi="ar-SA"/>
        </w:rPr>
      </w:pPr>
      <w:r>
        <w:rPr>
          <w:rFonts w:hint="eastAsia" w:ascii="宋体" w:hAnsi="宋体" w:eastAsia="宋体" w:cs="宋体"/>
          <w:i w:val="0"/>
          <w:iCs w:val="0"/>
          <w:caps w:val="0"/>
          <w:color w:val="222222"/>
          <w:spacing w:val="8"/>
          <w:kern w:val="0"/>
          <w:sz w:val="28"/>
          <w:szCs w:val="28"/>
          <w:shd w:val="clear" w:fill="FFFFFF"/>
          <w:lang w:val="en-US" w:eastAsia="zh-CN" w:bidi="ar-SA"/>
        </w:rPr>
        <w:t>第四，公司对于股权类收购一般设置了业绩承诺，绝大部分收购项目的业绩 增长和达成情况良好。公司所收购的大型标的由于规模效应和区域市占率优势， 业绩增长情况尤为突出。</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0" w:afterAutospacing="0" w:line="368" w:lineRule="atLeast"/>
        <w:ind w:left="226" w:right="226" w:firstLine="592" w:firstLineChars="200"/>
        <w:jc w:val="both"/>
        <w:rPr>
          <w:rFonts w:hint="eastAsia" w:ascii="宋体" w:hAnsi="宋体" w:eastAsia="宋体" w:cs="宋体"/>
          <w:i w:val="0"/>
          <w:iCs w:val="0"/>
          <w:caps w:val="0"/>
          <w:color w:val="222222"/>
          <w:spacing w:val="8"/>
          <w:kern w:val="0"/>
          <w:sz w:val="28"/>
          <w:szCs w:val="28"/>
          <w:shd w:val="clear" w:fill="FFFFFF"/>
          <w:lang w:val="en-US" w:eastAsia="zh-CN" w:bidi="ar-SA"/>
        </w:rPr>
      </w:pPr>
      <w:r>
        <w:rPr>
          <w:rFonts w:hint="eastAsia" w:ascii="宋体" w:hAnsi="宋体" w:eastAsia="宋体" w:cs="宋体"/>
          <w:i w:val="0"/>
          <w:iCs w:val="0"/>
          <w:caps w:val="0"/>
          <w:color w:val="222222"/>
          <w:spacing w:val="8"/>
          <w:kern w:val="0"/>
          <w:sz w:val="28"/>
          <w:szCs w:val="28"/>
          <w:shd w:val="clear" w:fill="FFFFFF"/>
          <w:lang w:val="en-US" w:eastAsia="zh-CN" w:bidi="ar-SA"/>
        </w:rPr>
        <w:t>第五，公司一直沿用审慎的会计处理方式。公司从上市之初到现在一直聘请 国际四大会计师事务所作为年审会计师事务所，同时公司每年度严格按照相关要 求由第三方进行商誉减值测试。此外，公司对于区域医药零售龙头，先收购控股 权保留少数股东股权实现共同成长，也将有效控制商誉增长。分步收购仅在第一 次收购时计入购买部分相应比例商誉，第二次收购少数股东股权时不再增加商誉。</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0" w:afterAutospacing="0" w:line="368" w:lineRule="atLeast"/>
        <w:ind w:left="226" w:right="226" w:firstLine="592" w:firstLineChars="200"/>
        <w:jc w:val="both"/>
        <w:rPr>
          <w:rFonts w:hint="eastAsia" w:ascii="宋体" w:hAnsi="宋体" w:eastAsia="宋体" w:cs="宋体"/>
          <w:i w:val="0"/>
          <w:iCs w:val="0"/>
          <w:caps w:val="0"/>
          <w:color w:val="222222"/>
          <w:spacing w:val="8"/>
          <w:kern w:val="0"/>
          <w:sz w:val="28"/>
          <w:szCs w:val="28"/>
          <w:shd w:val="clear" w:fill="FFFFFF"/>
          <w:lang w:val="en-US" w:eastAsia="zh-CN" w:bidi="ar-SA"/>
        </w:rPr>
      </w:pPr>
      <w:r>
        <w:rPr>
          <w:rFonts w:hint="eastAsia" w:ascii="宋体" w:hAnsi="宋体" w:eastAsia="宋体" w:cs="宋体"/>
          <w:i w:val="0"/>
          <w:iCs w:val="0"/>
          <w:caps w:val="0"/>
          <w:color w:val="222222"/>
          <w:spacing w:val="8"/>
          <w:kern w:val="0"/>
          <w:sz w:val="28"/>
          <w:szCs w:val="28"/>
          <w:shd w:val="clear" w:fill="FFFFFF"/>
          <w:lang w:val="en-US" w:eastAsia="zh-CN" w:bidi="ar-SA"/>
        </w:rPr>
        <w:t>总体来看，公司收购的标的运营情况良好，公司商誉整体健康。</w:t>
      </w:r>
    </w:p>
    <w:p>
      <w:pPr>
        <w:keepNext w:val="0"/>
        <w:keepLines w:val="0"/>
        <w:widowControl/>
        <w:suppressLineNumbers w:val="0"/>
        <w:spacing w:before="0" w:beforeAutospacing="0" w:after="0" w:afterAutospacing="0"/>
        <w:ind w:left="0" w:right="0"/>
        <w:jc w:val="left"/>
        <w:rPr>
          <w:rFonts w:hint="eastAsia" w:ascii="宋体" w:hAnsi="宋体" w:eastAsia="宋体" w:cs="宋体"/>
          <w:sz w:val="28"/>
          <w:szCs w:val="28"/>
        </w:rPr>
      </w:pPr>
      <w:r>
        <w:rPr>
          <w:rStyle w:val="14"/>
          <w:rFonts w:hint="eastAsia" w:ascii="宋体" w:hAnsi="宋体" w:eastAsia="宋体" w:cs="宋体"/>
          <w:i w:val="0"/>
          <w:iCs w:val="0"/>
          <w:caps w:val="0"/>
          <w:color w:val="222222"/>
          <w:spacing w:val="8"/>
          <w:kern w:val="0"/>
          <w:sz w:val="28"/>
          <w:szCs w:val="28"/>
          <w:shd w:val="clear" w:fill="FFFFFF"/>
          <w:lang w:val="en-US" w:eastAsia="zh-CN" w:bidi="ar"/>
        </w:rPr>
        <w:t>PART3谈未来发展六大战略打造核心竞争力</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0" w:afterAutospacing="0" w:line="368" w:lineRule="atLeast"/>
        <w:ind w:left="226" w:right="226" w:firstLine="592" w:firstLineChars="200"/>
        <w:jc w:val="both"/>
        <w:rPr>
          <w:rFonts w:hint="eastAsia" w:ascii="宋体" w:hAnsi="宋体" w:eastAsia="宋体" w:cs="宋体"/>
          <w:i w:val="0"/>
          <w:iCs w:val="0"/>
          <w:caps w:val="0"/>
          <w:color w:val="222222"/>
          <w:spacing w:val="8"/>
          <w:kern w:val="0"/>
          <w:sz w:val="28"/>
          <w:szCs w:val="28"/>
          <w:shd w:val="clear" w:fill="FFFFFF"/>
          <w:lang w:val="en-US" w:eastAsia="zh-CN" w:bidi="ar-SA"/>
        </w:rPr>
      </w:pPr>
      <w:r>
        <w:rPr>
          <w:rFonts w:hint="eastAsia" w:ascii="宋体" w:hAnsi="宋体" w:eastAsia="宋体" w:cs="宋体"/>
          <w:i w:val="0"/>
          <w:iCs w:val="0"/>
          <w:caps w:val="0"/>
          <w:color w:val="222222"/>
          <w:spacing w:val="8"/>
          <w:kern w:val="0"/>
          <w:sz w:val="28"/>
          <w:szCs w:val="28"/>
          <w:shd w:val="clear" w:fill="FFFFFF"/>
          <w:lang w:val="en-US" w:eastAsia="zh-CN" w:bidi="ar-SA"/>
        </w:rPr>
        <w:t>展望未来，老百姓制定了六大战略打造企业核心竞争力。</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0" w:afterAutospacing="0" w:line="368" w:lineRule="atLeast"/>
        <w:ind w:left="226" w:right="226" w:firstLine="592" w:firstLineChars="200"/>
        <w:jc w:val="both"/>
        <w:rPr>
          <w:rFonts w:hint="eastAsia" w:ascii="宋体" w:hAnsi="宋体" w:eastAsia="宋体" w:cs="宋体"/>
          <w:i w:val="0"/>
          <w:iCs w:val="0"/>
          <w:caps w:val="0"/>
          <w:color w:val="222222"/>
          <w:spacing w:val="8"/>
          <w:kern w:val="0"/>
          <w:sz w:val="28"/>
          <w:szCs w:val="28"/>
          <w:shd w:val="clear" w:fill="FFFFFF"/>
          <w:lang w:val="en-US" w:eastAsia="zh-CN" w:bidi="ar-SA"/>
        </w:rPr>
      </w:pPr>
      <w:r>
        <w:rPr>
          <w:rFonts w:hint="eastAsia" w:ascii="宋体" w:hAnsi="宋体" w:eastAsia="宋体" w:cs="宋体"/>
          <w:i w:val="0"/>
          <w:iCs w:val="0"/>
          <w:caps w:val="0"/>
          <w:color w:val="222222"/>
          <w:spacing w:val="8"/>
          <w:kern w:val="0"/>
          <w:sz w:val="28"/>
          <w:szCs w:val="28"/>
          <w:shd w:val="clear" w:fill="FFFFFF"/>
          <w:lang w:val="en-US" w:eastAsia="zh-CN" w:bidi="ar-SA"/>
        </w:rPr>
        <w:t>科技驱动，以数字化赋能企业管理、业务支持、智能决策及核心运营。</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0" w:afterAutospacing="0" w:line="368" w:lineRule="atLeast"/>
        <w:ind w:left="226" w:right="226" w:firstLine="592" w:firstLineChars="200"/>
        <w:jc w:val="both"/>
        <w:rPr>
          <w:rFonts w:hint="eastAsia" w:ascii="宋体" w:hAnsi="宋体" w:eastAsia="宋体" w:cs="宋体"/>
          <w:i w:val="0"/>
          <w:iCs w:val="0"/>
          <w:caps w:val="0"/>
          <w:color w:val="222222"/>
          <w:spacing w:val="8"/>
          <w:kern w:val="0"/>
          <w:sz w:val="28"/>
          <w:szCs w:val="28"/>
          <w:shd w:val="clear" w:fill="FFFFFF"/>
          <w:lang w:val="en-US" w:eastAsia="zh-CN" w:bidi="ar-SA"/>
        </w:rPr>
      </w:pPr>
      <w:r>
        <w:rPr>
          <w:rFonts w:hint="eastAsia" w:ascii="宋体" w:hAnsi="宋体" w:eastAsia="宋体" w:cs="宋体"/>
          <w:i w:val="0"/>
          <w:iCs w:val="0"/>
          <w:caps w:val="0"/>
          <w:color w:val="222222"/>
          <w:spacing w:val="8"/>
          <w:kern w:val="0"/>
          <w:sz w:val="28"/>
          <w:szCs w:val="28"/>
          <w:shd w:val="clear" w:fill="FFFFFF"/>
          <w:lang w:val="en-US" w:eastAsia="zh-CN" w:bidi="ar-SA"/>
        </w:rPr>
        <w:t>抓住处方外流机遇，抢占处方药蓝海市场。</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0" w:afterAutospacing="0" w:line="368" w:lineRule="atLeast"/>
        <w:ind w:left="226" w:right="226" w:firstLine="592" w:firstLineChars="200"/>
        <w:jc w:val="both"/>
        <w:rPr>
          <w:rFonts w:hint="eastAsia" w:ascii="宋体" w:hAnsi="宋体" w:eastAsia="宋体" w:cs="宋体"/>
          <w:i w:val="0"/>
          <w:iCs w:val="0"/>
          <w:caps w:val="0"/>
          <w:color w:val="222222"/>
          <w:spacing w:val="8"/>
          <w:kern w:val="0"/>
          <w:sz w:val="28"/>
          <w:szCs w:val="28"/>
          <w:shd w:val="clear" w:fill="FFFFFF"/>
          <w:lang w:val="en-US" w:eastAsia="zh-CN" w:bidi="ar-SA"/>
        </w:rPr>
      </w:pPr>
      <w:r>
        <w:rPr>
          <w:rFonts w:hint="eastAsia" w:ascii="宋体" w:hAnsi="宋体" w:eastAsia="宋体" w:cs="宋体"/>
          <w:i w:val="0"/>
          <w:iCs w:val="0"/>
          <w:caps w:val="0"/>
          <w:color w:val="222222"/>
          <w:spacing w:val="8"/>
          <w:kern w:val="0"/>
          <w:sz w:val="28"/>
          <w:szCs w:val="28"/>
          <w:shd w:val="clear" w:fill="FFFFFF"/>
          <w:lang w:val="en-US" w:eastAsia="zh-CN" w:bidi="ar-SA"/>
        </w:rPr>
        <w:t>拥抱新零售，打造“产品+服务+客群”闭环生态。</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0" w:afterAutospacing="0" w:line="368" w:lineRule="atLeast"/>
        <w:ind w:left="226" w:right="226" w:firstLine="592" w:firstLineChars="200"/>
        <w:jc w:val="both"/>
        <w:rPr>
          <w:rFonts w:hint="eastAsia" w:ascii="宋体" w:hAnsi="宋体" w:eastAsia="宋体" w:cs="宋体"/>
          <w:i w:val="0"/>
          <w:iCs w:val="0"/>
          <w:caps w:val="0"/>
          <w:color w:val="222222"/>
          <w:spacing w:val="8"/>
          <w:kern w:val="0"/>
          <w:sz w:val="28"/>
          <w:szCs w:val="28"/>
          <w:shd w:val="clear" w:fill="FFFFFF"/>
          <w:lang w:val="en-US" w:eastAsia="zh-CN" w:bidi="ar-SA"/>
        </w:rPr>
      </w:pPr>
      <w:r>
        <w:rPr>
          <w:rFonts w:hint="eastAsia" w:ascii="宋体" w:hAnsi="宋体" w:eastAsia="宋体" w:cs="宋体"/>
          <w:i w:val="0"/>
          <w:iCs w:val="0"/>
          <w:caps w:val="0"/>
          <w:color w:val="222222"/>
          <w:spacing w:val="8"/>
          <w:kern w:val="0"/>
          <w:sz w:val="28"/>
          <w:szCs w:val="28"/>
          <w:shd w:val="clear" w:fill="FFFFFF"/>
          <w:lang w:val="en-US" w:eastAsia="zh-CN" w:bidi="ar-SA"/>
        </w:rPr>
        <w:t>进军新农村，建设立体化拓展网络。</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0" w:afterAutospacing="0" w:line="368" w:lineRule="atLeast"/>
        <w:ind w:left="226" w:right="226" w:firstLine="592" w:firstLineChars="200"/>
        <w:jc w:val="both"/>
        <w:rPr>
          <w:rFonts w:hint="eastAsia" w:ascii="宋体" w:hAnsi="宋体" w:eastAsia="宋体" w:cs="宋体"/>
          <w:i w:val="0"/>
          <w:iCs w:val="0"/>
          <w:caps w:val="0"/>
          <w:color w:val="222222"/>
          <w:spacing w:val="8"/>
          <w:kern w:val="0"/>
          <w:sz w:val="28"/>
          <w:szCs w:val="28"/>
          <w:shd w:val="clear" w:fill="FFFFFF"/>
          <w:lang w:val="en-US" w:eastAsia="zh-CN" w:bidi="ar-SA"/>
        </w:rPr>
      </w:pPr>
      <w:r>
        <w:rPr>
          <w:rFonts w:hint="eastAsia" w:ascii="宋体" w:hAnsi="宋体" w:eastAsia="宋体" w:cs="宋体"/>
          <w:i w:val="0"/>
          <w:iCs w:val="0"/>
          <w:caps w:val="0"/>
          <w:color w:val="222222"/>
          <w:spacing w:val="8"/>
          <w:kern w:val="0"/>
          <w:sz w:val="28"/>
          <w:szCs w:val="28"/>
          <w:shd w:val="clear" w:fill="FFFFFF"/>
          <w:lang w:val="en-US" w:eastAsia="zh-CN" w:bidi="ar-SA"/>
        </w:rPr>
        <w:t xml:space="preserve">拓展老年人健康社交空间。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0" w:afterAutospacing="0" w:line="368" w:lineRule="atLeast"/>
        <w:ind w:left="226" w:right="226" w:firstLine="592" w:firstLineChars="200"/>
        <w:jc w:val="both"/>
        <w:rPr>
          <w:rFonts w:hint="eastAsia" w:ascii="宋体" w:hAnsi="宋体" w:eastAsia="宋体" w:cs="宋体"/>
          <w:i w:val="0"/>
          <w:iCs w:val="0"/>
          <w:caps w:val="0"/>
          <w:color w:val="222222"/>
          <w:spacing w:val="8"/>
          <w:kern w:val="0"/>
          <w:sz w:val="28"/>
          <w:szCs w:val="28"/>
          <w:shd w:val="clear" w:fill="FFFFFF"/>
          <w:lang w:val="en-US" w:eastAsia="zh-CN" w:bidi="ar-SA"/>
        </w:rPr>
      </w:pPr>
      <w:r>
        <w:rPr>
          <w:rFonts w:hint="eastAsia" w:ascii="宋体" w:hAnsi="宋体" w:eastAsia="宋体" w:cs="宋体"/>
          <w:i w:val="0"/>
          <w:iCs w:val="0"/>
          <w:caps w:val="0"/>
          <w:color w:val="222222"/>
          <w:spacing w:val="8"/>
          <w:kern w:val="0"/>
          <w:sz w:val="28"/>
          <w:szCs w:val="28"/>
          <w:shd w:val="clear" w:fill="FFFFFF"/>
          <w:lang w:val="en-US" w:eastAsia="zh-CN" w:bidi="ar-SA"/>
        </w:rPr>
        <w:t>极致健康产品ODM模式，培养壮大自有品牌阵营。老百姓将打造以科技驱动的健康服务平台，致力于将“老百姓”打造成为更齐全、更温暖、更专业的百年企业。</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0" w:afterAutospacing="0" w:line="368" w:lineRule="atLeast"/>
        <w:ind w:left="226" w:right="226" w:firstLine="592" w:firstLineChars="200"/>
        <w:jc w:val="both"/>
        <w:rPr>
          <w:rFonts w:hint="eastAsia" w:ascii="宋体" w:hAnsi="宋体" w:eastAsia="宋体" w:cs="宋体"/>
          <w:i w:val="0"/>
          <w:iCs w:val="0"/>
          <w:caps w:val="0"/>
          <w:color w:val="222222"/>
          <w:spacing w:val="8"/>
          <w:kern w:val="0"/>
          <w:sz w:val="28"/>
          <w:szCs w:val="28"/>
          <w:shd w:val="clear" w:fill="FFFFFF"/>
          <w:lang w:val="en-US" w:eastAsia="zh-CN" w:bidi="ar-SA"/>
        </w:rPr>
      </w:pPr>
      <w:r>
        <w:rPr>
          <w:rFonts w:hint="eastAsia" w:ascii="宋体" w:hAnsi="宋体" w:eastAsia="宋体" w:cs="宋体"/>
          <w:i w:val="0"/>
          <w:iCs w:val="0"/>
          <w:caps w:val="0"/>
          <w:color w:val="222222"/>
          <w:spacing w:val="8"/>
          <w:kern w:val="0"/>
          <w:sz w:val="28"/>
          <w:szCs w:val="28"/>
          <w:shd w:val="clear" w:fill="FFFFFF"/>
          <w:lang w:val="en-US" w:eastAsia="zh-CN" w:bidi="ar-SA"/>
        </w:rPr>
        <w:t>老百姓表示，通过夯实信息化基础，加强数据资产的沉淀与治理，从传统价值链升级、 产品服务创新、商业模式创新的维度进行数字化转型，打造科技驱动的健康服务平台。经过持续的研发和迭代，公司的数字化工具和产品已逐步走向成熟，为公司各业务条线深度赋能。老百姓的“一键搜购”小程序、“百姓通”员工助手 APP 等数字化产品上线，降本增效的同时也带来公司收入增长。</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0" w:afterAutospacing="0" w:line="368" w:lineRule="atLeast"/>
        <w:ind w:left="226" w:right="226" w:firstLine="592" w:firstLineChars="200"/>
        <w:jc w:val="both"/>
        <w:rPr>
          <w:rFonts w:hint="eastAsia" w:ascii="宋体" w:hAnsi="宋体" w:eastAsia="宋体" w:cs="宋体"/>
          <w:i w:val="0"/>
          <w:iCs w:val="0"/>
          <w:caps w:val="0"/>
          <w:color w:val="222222"/>
          <w:spacing w:val="8"/>
          <w:kern w:val="0"/>
          <w:sz w:val="28"/>
          <w:szCs w:val="28"/>
          <w:shd w:val="clear" w:fill="FFFFFF"/>
          <w:lang w:val="en-US" w:eastAsia="zh-CN" w:bidi="ar-SA"/>
        </w:rPr>
      </w:pPr>
      <w:r>
        <w:rPr>
          <w:rFonts w:hint="eastAsia" w:ascii="宋体" w:hAnsi="宋体" w:eastAsia="宋体" w:cs="宋体"/>
          <w:i w:val="0"/>
          <w:iCs w:val="0"/>
          <w:caps w:val="0"/>
          <w:color w:val="222222"/>
          <w:spacing w:val="8"/>
          <w:kern w:val="0"/>
          <w:sz w:val="28"/>
          <w:szCs w:val="28"/>
          <w:shd w:val="clear" w:fill="FFFFFF"/>
          <w:lang w:val="en-US" w:eastAsia="zh-CN" w:bidi="ar-SA"/>
        </w:rPr>
        <w:t>老百姓将专业药房体系建设作为重点之一，不断提升员工和门店的专业化属性。 截至三季度末，双通道门店 181 家;DTP(新特药)药房 151 家，2021 年 DTP销售额占零售业务 10.3%。直营门店中医保门店占比 91.65%;特殊门诊门店 789 家;院边店占比约 10%。医药零售企业的专业性也是承接处方外流的竞争力。</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0" w:afterAutospacing="0" w:line="368" w:lineRule="atLeast"/>
        <w:ind w:left="226" w:right="226" w:firstLine="592" w:firstLineChars="200"/>
        <w:jc w:val="both"/>
        <w:rPr>
          <w:rFonts w:hint="eastAsia" w:ascii="宋体" w:hAnsi="宋体" w:eastAsia="宋体" w:cs="宋体"/>
          <w:i w:val="0"/>
          <w:iCs w:val="0"/>
          <w:caps w:val="0"/>
          <w:color w:val="222222"/>
          <w:spacing w:val="8"/>
          <w:kern w:val="0"/>
          <w:sz w:val="28"/>
          <w:szCs w:val="28"/>
          <w:shd w:val="clear" w:fill="FFFFFF"/>
          <w:lang w:val="en-US" w:eastAsia="zh-CN" w:bidi="ar-SA"/>
        </w:rPr>
      </w:pPr>
      <w:r>
        <w:rPr>
          <w:rFonts w:hint="eastAsia" w:ascii="宋体" w:hAnsi="宋体" w:eastAsia="宋体" w:cs="宋体"/>
          <w:i w:val="0"/>
          <w:iCs w:val="0"/>
          <w:caps w:val="0"/>
          <w:color w:val="222222"/>
          <w:spacing w:val="8"/>
          <w:kern w:val="0"/>
          <w:sz w:val="28"/>
          <w:szCs w:val="28"/>
          <w:shd w:val="clear" w:fill="FFFFFF"/>
          <w:lang w:val="en-US" w:eastAsia="zh-CN" w:bidi="ar-SA"/>
        </w:rPr>
        <w:t>三季度末，老百姓已在全国 6500 余家门店铺设了血糖、 血压、心率、血尿酸、血脂等慢病自测蓝牙智能设备;公司慢病管理服务累计建档 800 余万人，举行线上线下患教 2 万余场次，进一步提升了药店作为国家分级诊疗中基层医疗的重要职能。</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0" w:afterAutospacing="0" w:line="368" w:lineRule="atLeast"/>
        <w:ind w:left="226" w:right="226" w:firstLine="592" w:firstLineChars="200"/>
        <w:jc w:val="both"/>
        <w:rPr>
          <w:rFonts w:hint="eastAsia" w:ascii="宋体" w:hAnsi="宋体" w:eastAsia="宋体" w:cs="宋体"/>
          <w:i w:val="0"/>
          <w:iCs w:val="0"/>
          <w:caps w:val="0"/>
          <w:color w:val="222222"/>
          <w:spacing w:val="8"/>
          <w:kern w:val="0"/>
          <w:sz w:val="28"/>
          <w:szCs w:val="28"/>
          <w:shd w:val="clear" w:fill="FFFFFF"/>
          <w:lang w:val="en-US" w:eastAsia="zh-CN" w:bidi="ar-SA"/>
        </w:rPr>
      </w:pPr>
      <w:r>
        <w:rPr>
          <w:rFonts w:hint="eastAsia" w:ascii="宋体" w:hAnsi="宋体" w:eastAsia="宋体" w:cs="宋体"/>
          <w:i w:val="0"/>
          <w:iCs w:val="0"/>
          <w:caps w:val="0"/>
          <w:color w:val="222222"/>
          <w:spacing w:val="8"/>
          <w:kern w:val="0"/>
          <w:sz w:val="28"/>
          <w:szCs w:val="28"/>
          <w:shd w:val="clear" w:fill="FFFFFF"/>
          <w:lang w:val="en-US" w:eastAsia="zh-CN" w:bidi="ar-SA"/>
        </w:rPr>
        <w:t>数据驱动下，老百姓新零售板块全渠道业务竞争力全面提升，业绩高速增长。 公域方面，老百姓第三季度在美团和饿了么的全国销售排名分别为第二和第四，进入全国头部梯队。私域方面，公司继续围绕小程序“一键搜购”深耕细做，第三 季度销售环比增长 93%。2022 年前三季度，公司线上渠道实现销售额超 9 亿元， 同比增长 81%。</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0" w:afterAutospacing="0" w:line="368" w:lineRule="atLeast"/>
        <w:ind w:left="226" w:right="226" w:firstLine="592" w:firstLineChars="200"/>
        <w:jc w:val="both"/>
        <w:rPr>
          <w:rFonts w:hint="eastAsia" w:ascii="宋体" w:hAnsi="宋体" w:eastAsia="宋体" w:cs="宋体"/>
          <w:i w:val="0"/>
          <w:iCs w:val="0"/>
          <w:caps w:val="0"/>
          <w:color w:val="222222"/>
          <w:spacing w:val="8"/>
          <w:kern w:val="0"/>
          <w:sz w:val="28"/>
          <w:szCs w:val="28"/>
          <w:shd w:val="clear" w:fill="FFFFFF"/>
          <w:lang w:val="en-US" w:eastAsia="zh-CN" w:bidi="ar-SA"/>
        </w:rPr>
      </w:pPr>
      <w:r>
        <w:rPr>
          <w:rFonts w:hint="eastAsia" w:ascii="宋体" w:hAnsi="宋体" w:eastAsia="宋体" w:cs="宋体"/>
          <w:i w:val="0"/>
          <w:iCs w:val="0"/>
          <w:caps w:val="0"/>
          <w:color w:val="222222"/>
          <w:spacing w:val="8"/>
          <w:kern w:val="0"/>
          <w:sz w:val="28"/>
          <w:szCs w:val="28"/>
          <w:shd w:val="clear" w:fill="FFFFFF"/>
          <w:lang w:val="en-US" w:eastAsia="zh-CN" w:bidi="ar-SA"/>
        </w:rPr>
        <w:t>公司运用数字化等手段进一步强化“人、货、场”精细化运营能力。“人” 方面，通过高效组织变革提升管理效率、训战结合提升员工能力、人才供应链保 障人才供给;“货”方面，大力打造自有品牌和加强统采占比，提升毛利率;“场” 方面，利用门店布局实现线上线下融合发展，专业、温暖的门店服务增加客户粘性。</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0" w:afterAutospacing="0" w:line="368" w:lineRule="atLeast"/>
        <w:ind w:left="226" w:right="226" w:firstLine="592" w:firstLineChars="200"/>
        <w:jc w:val="both"/>
        <w:rPr>
          <w:rFonts w:hint="eastAsia" w:ascii="宋体" w:hAnsi="宋体" w:eastAsia="宋体" w:cs="宋体"/>
          <w:i w:val="0"/>
          <w:iCs w:val="0"/>
          <w:caps w:val="0"/>
          <w:color w:val="222222"/>
          <w:spacing w:val="8"/>
          <w:kern w:val="0"/>
          <w:sz w:val="28"/>
          <w:szCs w:val="28"/>
          <w:shd w:val="clear" w:fill="FFFFFF"/>
          <w:lang w:val="en-US" w:eastAsia="zh-CN" w:bidi="ar-SA"/>
        </w:rPr>
      </w:pPr>
    </w:p>
    <w:sectPr>
      <w:headerReference r:id="rId4" w:type="first"/>
      <w:footerReference r:id="rId6" w:type="first"/>
      <w:headerReference r:id="rId3" w:type="default"/>
      <w:footerReference r:id="rId5" w:type="default"/>
      <w:pgSz w:w="11906" w:h="16838"/>
      <w:pgMar w:top="709" w:right="1797" w:bottom="426" w:left="1797"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Heiti SC Light">
    <w:altName w:val="微软雅黑"/>
    <w:panose1 w:val="00000000000000000000"/>
    <w:charset w:val="50"/>
    <w:family w:val="auto"/>
    <w:pitch w:val="default"/>
    <w:sig w:usb0="00000000" w:usb1="00000000" w:usb2="00000010" w:usb3="00000000" w:csb0="00040000" w:csb1="00000000"/>
  </w:font>
  <w:font w:name="Microsoft YaHei UI">
    <w:panose1 w:val="020B0503020204020204"/>
    <w:charset w:val="86"/>
    <w:family w:val="auto"/>
    <w:pitch w:val="default"/>
    <w:sig w:usb0="80000287" w:usb1="28CF3C52" w:usb2="00000016" w:usb3="00000000" w:csb0="0004001F" w:csb1="00000000"/>
  </w:font>
  <w:font w:name="Helvetica">
    <w:altName w:val="Arial"/>
    <w:panose1 w:val="020B0604020202020204"/>
    <w:charset w:val="00"/>
    <w:family w:val="swiss"/>
    <w:pitch w:val="default"/>
    <w:sig w:usb0="00000000" w:usb1="00000000" w:usb2="00000000" w:usb3="00000000" w:csb0="0000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174036"/>
      <w:docPartObj>
        <w:docPartGallery w:val="autotext"/>
      </w:docPartObj>
    </w:sdtPr>
    <w:sdtContent>
      <w:p>
        <w:pPr>
          <w:pStyle w:val="8"/>
          <w:jc w:val="center"/>
        </w:pPr>
        <w:r>
          <w:fldChar w:fldCharType="begin"/>
        </w:r>
        <w:r>
          <w:instrText xml:space="preserve"> PAGE   \* MERGEFORMAT </w:instrText>
        </w:r>
        <w:r>
          <w:fldChar w:fldCharType="separate"/>
        </w:r>
        <w:r>
          <w:rPr>
            <w:lang w:val="zh-CN"/>
          </w:rPr>
          <w:t>11</w:t>
        </w:r>
        <w:r>
          <w:rPr>
            <w:lang w:val="zh-CN"/>
          </w:rPr>
          <w:fldChar w:fldCharType="end"/>
        </w:r>
      </w:p>
    </w:sdtContent>
  </w:sdt>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B562A8"/>
    <w:multiLevelType w:val="singleLevel"/>
    <w:tmpl w:val="90B562A8"/>
    <w:lvl w:ilvl="0" w:tentative="0">
      <w:start w:val="4"/>
      <w:numFmt w:val="decimal"/>
      <w:lvlText w:val="%1."/>
      <w:lvlJc w:val="left"/>
      <w:pPr>
        <w:tabs>
          <w:tab w:val="left" w:pos="312"/>
        </w:tabs>
      </w:pPr>
    </w:lvl>
  </w:abstractNum>
  <w:abstractNum w:abstractNumId="1">
    <w:nsid w:val="AF5DA212"/>
    <w:multiLevelType w:val="singleLevel"/>
    <w:tmpl w:val="AF5DA212"/>
    <w:lvl w:ilvl="0" w:tentative="0">
      <w:start w:val="1"/>
      <w:numFmt w:val="decimal"/>
      <w:suff w:val="nothing"/>
      <w:lvlText w:val="%1、"/>
      <w:lvlJc w:val="left"/>
      <w:pPr>
        <w:ind w:left="420"/>
      </w:pPr>
    </w:lvl>
  </w:abstractNum>
  <w:abstractNum w:abstractNumId="2">
    <w:nsid w:val="553D1248"/>
    <w:multiLevelType w:val="singleLevel"/>
    <w:tmpl w:val="553D1248"/>
    <w:lvl w:ilvl="0" w:tentative="0">
      <w:start w:val="1"/>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ZDIyYzMyZjhjZWI0MmYzYWUxYzE2YThlOTgxY2RjYTIifQ=="/>
  </w:docVars>
  <w:rsids>
    <w:rsidRoot w:val="00EE0913"/>
    <w:rsid w:val="00001BFB"/>
    <w:rsid w:val="000022E3"/>
    <w:rsid w:val="000024F5"/>
    <w:rsid w:val="00002766"/>
    <w:rsid w:val="000039EE"/>
    <w:rsid w:val="00003F1F"/>
    <w:rsid w:val="000052F1"/>
    <w:rsid w:val="00005C14"/>
    <w:rsid w:val="00010051"/>
    <w:rsid w:val="000100BC"/>
    <w:rsid w:val="000113BB"/>
    <w:rsid w:val="00011510"/>
    <w:rsid w:val="00011729"/>
    <w:rsid w:val="000128A3"/>
    <w:rsid w:val="000146CA"/>
    <w:rsid w:val="00015379"/>
    <w:rsid w:val="000155B7"/>
    <w:rsid w:val="0001575A"/>
    <w:rsid w:val="00015A5C"/>
    <w:rsid w:val="00015D57"/>
    <w:rsid w:val="000175C9"/>
    <w:rsid w:val="00017C59"/>
    <w:rsid w:val="00017FF3"/>
    <w:rsid w:val="000208A4"/>
    <w:rsid w:val="00022B29"/>
    <w:rsid w:val="00022D08"/>
    <w:rsid w:val="0002356D"/>
    <w:rsid w:val="0002364C"/>
    <w:rsid w:val="00024906"/>
    <w:rsid w:val="0002670E"/>
    <w:rsid w:val="0002785C"/>
    <w:rsid w:val="00027E7A"/>
    <w:rsid w:val="00031218"/>
    <w:rsid w:val="0003140E"/>
    <w:rsid w:val="00031F9A"/>
    <w:rsid w:val="000323D0"/>
    <w:rsid w:val="00032702"/>
    <w:rsid w:val="00032748"/>
    <w:rsid w:val="00032D3A"/>
    <w:rsid w:val="00032F39"/>
    <w:rsid w:val="00033524"/>
    <w:rsid w:val="000341C2"/>
    <w:rsid w:val="000348FD"/>
    <w:rsid w:val="000352F5"/>
    <w:rsid w:val="00035AF1"/>
    <w:rsid w:val="00035BE2"/>
    <w:rsid w:val="00035C5A"/>
    <w:rsid w:val="00035CD4"/>
    <w:rsid w:val="00036356"/>
    <w:rsid w:val="0003643D"/>
    <w:rsid w:val="00036535"/>
    <w:rsid w:val="00040400"/>
    <w:rsid w:val="00040A70"/>
    <w:rsid w:val="00040DA8"/>
    <w:rsid w:val="000417F0"/>
    <w:rsid w:val="000420F3"/>
    <w:rsid w:val="000436FE"/>
    <w:rsid w:val="00043E05"/>
    <w:rsid w:val="000454E9"/>
    <w:rsid w:val="000459E3"/>
    <w:rsid w:val="00047695"/>
    <w:rsid w:val="00050CCD"/>
    <w:rsid w:val="00050E0C"/>
    <w:rsid w:val="00051091"/>
    <w:rsid w:val="00053A0E"/>
    <w:rsid w:val="00053CCF"/>
    <w:rsid w:val="00053D46"/>
    <w:rsid w:val="00055025"/>
    <w:rsid w:val="0005614E"/>
    <w:rsid w:val="000561FD"/>
    <w:rsid w:val="0005653C"/>
    <w:rsid w:val="0005678D"/>
    <w:rsid w:val="00056ADA"/>
    <w:rsid w:val="00057394"/>
    <w:rsid w:val="00057873"/>
    <w:rsid w:val="00057E16"/>
    <w:rsid w:val="00060194"/>
    <w:rsid w:val="00060829"/>
    <w:rsid w:val="00060B4E"/>
    <w:rsid w:val="00060DB6"/>
    <w:rsid w:val="00060E3A"/>
    <w:rsid w:val="00060F2A"/>
    <w:rsid w:val="000612FF"/>
    <w:rsid w:val="00061883"/>
    <w:rsid w:val="0006228B"/>
    <w:rsid w:val="000627A5"/>
    <w:rsid w:val="000629CC"/>
    <w:rsid w:val="00063B74"/>
    <w:rsid w:val="000644AD"/>
    <w:rsid w:val="00064FF9"/>
    <w:rsid w:val="000660CF"/>
    <w:rsid w:val="00066B1E"/>
    <w:rsid w:val="00067203"/>
    <w:rsid w:val="0007054B"/>
    <w:rsid w:val="00070668"/>
    <w:rsid w:val="00070C62"/>
    <w:rsid w:val="00072506"/>
    <w:rsid w:val="0007440C"/>
    <w:rsid w:val="00074962"/>
    <w:rsid w:val="0007594B"/>
    <w:rsid w:val="00076278"/>
    <w:rsid w:val="00076422"/>
    <w:rsid w:val="00076AA0"/>
    <w:rsid w:val="00077AA6"/>
    <w:rsid w:val="00081C4C"/>
    <w:rsid w:val="0008296C"/>
    <w:rsid w:val="00082B25"/>
    <w:rsid w:val="00082D82"/>
    <w:rsid w:val="0008334C"/>
    <w:rsid w:val="00083BD0"/>
    <w:rsid w:val="00084851"/>
    <w:rsid w:val="000853DB"/>
    <w:rsid w:val="000855A7"/>
    <w:rsid w:val="00085664"/>
    <w:rsid w:val="00086182"/>
    <w:rsid w:val="00086257"/>
    <w:rsid w:val="00086383"/>
    <w:rsid w:val="0008668C"/>
    <w:rsid w:val="00087C0D"/>
    <w:rsid w:val="00087E46"/>
    <w:rsid w:val="00087FA7"/>
    <w:rsid w:val="00090C13"/>
    <w:rsid w:val="00091146"/>
    <w:rsid w:val="0009141B"/>
    <w:rsid w:val="0009174A"/>
    <w:rsid w:val="00091FFC"/>
    <w:rsid w:val="00093A40"/>
    <w:rsid w:val="00093CBF"/>
    <w:rsid w:val="00093E3A"/>
    <w:rsid w:val="00094515"/>
    <w:rsid w:val="000953D3"/>
    <w:rsid w:val="00096C9C"/>
    <w:rsid w:val="00097D5A"/>
    <w:rsid w:val="000A003B"/>
    <w:rsid w:val="000A0979"/>
    <w:rsid w:val="000A0C20"/>
    <w:rsid w:val="000A1603"/>
    <w:rsid w:val="000A1660"/>
    <w:rsid w:val="000A1AFA"/>
    <w:rsid w:val="000A1B47"/>
    <w:rsid w:val="000A1FCA"/>
    <w:rsid w:val="000A202A"/>
    <w:rsid w:val="000A2150"/>
    <w:rsid w:val="000A23F5"/>
    <w:rsid w:val="000A49A4"/>
    <w:rsid w:val="000A634C"/>
    <w:rsid w:val="000A6BFA"/>
    <w:rsid w:val="000A7367"/>
    <w:rsid w:val="000B0A67"/>
    <w:rsid w:val="000B3940"/>
    <w:rsid w:val="000B3F1B"/>
    <w:rsid w:val="000B4EC5"/>
    <w:rsid w:val="000B53B1"/>
    <w:rsid w:val="000B5C93"/>
    <w:rsid w:val="000B6825"/>
    <w:rsid w:val="000B6B78"/>
    <w:rsid w:val="000C2567"/>
    <w:rsid w:val="000C47AA"/>
    <w:rsid w:val="000C4E05"/>
    <w:rsid w:val="000C682D"/>
    <w:rsid w:val="000C6AFC"/>
    <w:rsid w:val="000C6FFF"/>
    <w:rsid w:val="000C7C03"/>
    <w:rsid w:val="000D041E"/>
    <w:rsid w:val="000D0824"/>
    <w:rsid w:val="000D0D8A"/>
    <w:rsid w:val="000D1C31"/>
    <w:rsid w:val="000D246E"/>
    <w:rsid w:val="000D28F7"/>
    <w:rsid w:val="000D56A1"/>
    <w:rsid w:val="000D5A1A"/>
    <w:rsid w:val="000D61D0"/>
    <w:rsid w:val="000D6AB0"/>
    <w:rsid w:val="000D76C3"/>
    <w:rsid w:val="000E0059"/>
    <w:rsid w:val="000E05FD"/>
    <w:rsid w:val="000E11A9"/>
    <w:rsid w:val="000E1243"/>
    <w:rsid w:val="000E16A0"/>
    <w:rsid w:val="000E251E"/>
    <w:rsid w:val="000E2955"/>
    <w:rsid w:val="000E2B6C"/>
    <w:rsid w:val="000E4895"/>
    <w:rsid w:val="000E4A5E"/>
    <w:rsid w:val="000E5D58"/>
    <w:rsid w:val="000E6245"/>
    <w:rsid w:val="000E79CF"/>
    <w:rsid w:val="000F0270"/>
    <w:rsid w:val="000F07CE"/>
    <w:rsid w:val="000F0AF0"/>
    <w:rsid w:val="000F0C17"/>
    <w:rsid w:val="000F0F23"/>
    <w:rsid w:val="000F1D22"/>
    <w:rsid w:val="000F2C6A"/>
    <w:rsid w:val="000F32F6"/>
    <w:rsid w:val="000F33C1"/>
    <w:rsid w:val="000F43A9"/>
    <w:rsid w:val="000F55D2"/>
    <w:rsid w:val="000F6444"/>
    <w:rsid w:val="000F6846"/>
    <w:rsid w:val="000F6ACA"/>
    <w:rsid w:val="000F6D53"/>
    <w:rsid w:val="000F724C"/>
    <w:rsid w:val="001016A6"/>
    <w:rsid w:val="00101B15"/>
    <w:rsid w:val="001031E5"/>
    <w:rsid w:val="001032B8"/>
    <w:rsid w:val="00103BC3"/>
    <w:rsid w:val="00103DAD"/>
    <w:rsid w:val="00104ACF"/>
    <w:rsid w:val="00105135"/>
    <w:rsid w:val="001056A9"/>
    <w:rsid w:val="00105CE5"/>
    <w:rsid w:val="001069F4"/>
    <w:rsid w:val="0010723C"/>
    <w:rsid w:val="00107268"/>
    <w:rsid w:val="0011189B"/>
    <w:rsid w:val="00113937"/>
    <w:rsid w:val="00113DC5"/>
    <w:rsid w:val="00114185"/>
    <w:rsid w:val="00114802"/>
    <w:rsid w:val="001149F4"/>
    <w:rsid w:val="001163FB"/>
    <w:rsid w:val="001173FB"/>
    <w:rsid w:val="00117A35"/>
    <w:rsid w:val="0012030B"/>
    <w:rsid w:val="00120A62"/>
    <w:rsid w:val="00121C29"/>
    <w:rsid w:val="00122376"/>
    <w:rsid w:val="00122583"/>
    <w:rsid w:val="001225B1"/>
    <w:rsid w:val="001228C5"/>
    <w:rsid w:val="00123126"/>
    <w:rsid w:val="00123D5A"/>
    <w:rsid w:val="0012415F"/>
    <w:rsid w:val="00124221"/>
    <w:rsid w:val="00125020"/>
    <w:rsid w:val="001257A6"/>
    <w:rsid w:val="00126255"/>
    <w:rsid w:val="00126BF8"/>
    <w:rsid w:val="0012750C"/>
    <w:rsid w:val="0012752B"/>
    <w:rsid w:val="00127A07"/>
    <w:rsid w:val="0013048B"/>
    <w:rsid w:val="00130EEA"/>
    <w:rsid w:val="00131CBA"/>
    <w:rsid w:val="00131EC6"/>
    <w:rsid w:val="00132673"/>
    <w:rsid w:val="001326AA"/>
    <w:rsid w:val="00133315"/>
    <w:rsid w:val="00136D64"/>
    <w:rsid w:val="001403FA"/>
    <w:rsid w:val="001407D8"/>
    <w:rsid w:val="0014087D"/>
    <w:rsid w:val="001424A8"/>
    <w:rsid w:val="0014298A"/>
    <w:rsid w:val="00142E3F"/>
    <w:rsid w:val="00144B2F"/>
    <w:rsid w:val="00144ECC"/>
    <w:rsid w:val="00145DB1"/>
    <w:rsid w:val="001460BB"/>
    <w:rsid w:val="001466DA"/>
    <w:rsid w:val="00146CD9"/>
    <w:rsid w:val="00147260"/>
    <w:rsid w:val="00147B39"/>
    <w:rsid w:val="001500A3"/>
    <w:rsid w:val="00150113"/>
    <w:rsid w:val="00150FFB"/>
    <w:rsid w:val="00151A04"/>
    <w:rsid w:val="00152AE5"/>
    <w:rsid w:val="00152C40"/>
    <w:rsid w:val="00152E4E"/>
    <w:rsid w:val="0015388E"/>
    <w:rsid w:val="00153D1C"/>
    <w:rsid w:val="00154F45"/>
    <w:rsid w:val="0015554A"/>
    <w:rsid w:val="00155BAD"/>
    <w:rsid w:val="001563A0"/>
    <w:rsid w:val="00156883"/>
    <w:rsid w:val="001578CA"/>
    <w:rsid w:val="001608F2"/>
    <w:rsid w:val="00162ADF"/>
    <w:rsid w:val="00162DBC"/>
    <w:rsid w:val="001630AD"/>
    <w:rsid w:val="001639CA"/>
    <w:rsid w:val="00163BDD"/>
    <w:rsid w:val="00163DA7"/>
    <w:rsid w:val="001642EC"/>
    <w:rsid w:val="00164597"/>
    <w:rsid w:val="00164B58"/>
    <w:rsid w:val="00164C43"/>
    <w:rsid w:val="001670DA"/>
    <w:rsid w:val="0017152E"/>
    <w:rsid w:val="00171A68"/>
    <w:rsid w:val="001739AD"/>
    <w:rsid w:val="00173C28"/>
    <w:rsid w:val="0017408C"/>
    <w:rsid w:val="0017457B"/>
    <w:rsid w:val="00175134"/>
    <w:rsid w:val="001767E5"/>
    <w:rsid w:val="0018153F"/>
    <w:rsid w:val="0018160E"/>
    <w:rsid w:val="00181800"/>
    <w:rsid w:val="001818F9"/>
    <w:rsid w:val="0018574F"/>
    <w:rsid w:val="00185B3C"/>
    <w:rsid w:val="00186072"/>
    <w:rsid w:val="0018620F"/>
    <w:rsid w:val="001864C9"/>
    <w:rsid w:val="00186C9C"/>
    <w:rsid w:val="00187303"/>
    <w:rsid w:val="001903A2"/>
    <w:rsid w:val="001905DD"/>
    <w:rsid w:val="001908AB"/>
    <w:rsid w:val="00190927"/>
    <w:rsid w:val="00190F6E"/>
    <w:rsid w:val="001919F5"/>
    <w:rsid w:val="00191FD5"/>
    <w:rsid w:val="0019335B"/>
    <w:rsid w:val="00193B69"/>
    <w:rsid w:val="00193D4E"/>
    <w:rsid w:val="00193F34"/>
    <w:rsid w:val="0019486C"/>
    <w:rsid w:val="00195DC1"/>
    <w:rsid w:val="001962FE"/>
    <w:rsid w:val="001A038F"/>
    <w:rsid w:val="001A0497"/>
    <w:rsid w:val="001A1C96"/>
    <w:rsid w:val="001A301E"/>
    <w:rsid w:val="001A354B"/>
    <w:rsid w:val="001A354F"/>
    <w:rsid w:val="001A47B2"/>
    <w:rsid w:val="001A4F2B"/>
    <w:rsid w:val="001A4F78"/>
    <w:rsid w:val="001A510C"/>
    <w:rsid w:val="001A5C75"/>
    <w:rsid w:val="001A5FCE"/>
    <w:rsid w:val="001A621D"/>
    <w:rsid w:val="001B0448"/>
    <w:rsid w:val="001B07E5"/>
    <w:rsid w:val="001B0EFF"/>
    <w:rsid w:val="001B1199"/>
    <w:rsid w:val="001B1726"/>
    <w:rsid w:val="001B1E70"/>
    <w:rsid w:val="001B2160"/>
    <w:rsid w:val="001B25B6"/>
    <w:rsid w:val="001B3741"/>
    <w:rsid w:val="001B3846"/>
    <w:rsid w:val="001B4721"/>
    <w:rsid w:val="001B544A"/>
    <w:rsid w:val="001B5720"/>
    <w:rsid w:val="001B62B5"/>
    <w:rsid w:val="001B6A65"/>
    <w:rsid w:val="001B6C75"/>
    <w:rsid w:val="001B7DF4"/>
    <w:rsid w:val="001C27A9"/>
    <w:rsid w:val="001C2967"/>
    <w:rsid w:val="001C3235"/>
    <w:rsid w:val="001C39E0"/>
    <w:rsid w:val="001C39FD"/>
    <w:rsid w:val="001C4801"/>
    <w:rsid w:val="001C508D"/>
    <w:rsid w:val="001C5A48"/>
    <w:rsid w:val="001D0737"/>
    <w:rsid w:val="001D13D4"/>
    <w:rsid w:val="001D1E3F"/>
    <w:rsid w:val="001D33E2"/>
    <w:rsid w:val="001D3B5C"/>
    <w:rsid w:val="001D3BFF"/>
    <w:rsid w:val="001D433F"/>
    <w:rsid w:val="001D44DA"/>
    <w:rsid w:val="001D5F46"/>
    <w:rsid w:val="001D5F9D"/>
    <w:rsid w:val="001D71ED"/>
    <w:rsid w:val="001D7E99"/>
    <w:rsid w:val="001E0A8D"/>
    <w:rsid w:val="001E0EF4"/>
    <w:rsid w:val="001E1450"/>
    <w:rsid w:val="001E1C3D"/>
    <w:rsid w:val="001E2F38"/>
    <w:rsid w:val="001E34DF"/>
    <w:rsid w:val="001E3D69"/>
    <w:rsid w:val="001E66CE"/>
    <w:rsid w:val="001E6B82"/>
    <w:rsid w:val="001E72AD"/>
    <w:rsid w:val="001E7B65"/>
    <w:rsid w:val="001F0482"/>
    <w:rsid w:val="001F090A"/>
    <w:rsid w:val="001F0A9C"/>
    <w:rsid w:val="001F17B4"/>
    <w:rsid w:val="001F2D98"/>
    <w:rsid w:val="001F2F68"/>
    <w:rsid w:val="001F33AE"/>
    <w:rsid w:val="001F3D96"/>
    <w:rsid w:val="001F4080"/>
    <w:rsid w:val="001F467E"/>
    <w:rsid w:val="001F4D84"/>
    <w:rsid w:val="001F53FD"/>
    <w:rsid w:val="001F6CFD"/>
    <w:rsid w:val="001F7124"/>
    <w:rsid w:val="0020139B"/>
    <w:rsid w:val="002022A3"/>
    <w:rsid w:val="002034B9"/>
    <w:rsid w:val="00203567"/>
    <w:rsid w:val="00203947"/>
    <w:rsid w:val="00205880"/>
    <w:rsid w:val="00205AB9"/>
    <w:rsid w:val="00205B89"/>
    <w:rsid w:val="00205EB5"/>
    <w:rsid w:val="00206FBB"/>
    <w:rsid w:val="00207153"/>
    <w:rsid w:val="002075FF"/>
    <w:rsid w:val="0020779A"/>
    <w:rsid w:val="002103E0"/>
    <w:rsid w:val="0021048A"/>
    <w:rsid w:val="002105D7"/>
    <w:rsid w:val="0021132D"/>
    <w:rsid w:val="002119CC"/>
    <w:rsid w:val="002122CD"/>
    <w:rsid w:val="00212300"/>
    <w:rsid w:val="00213B80"/>
    <w:rsid w:val="00214454"/>
    <w:rsid w:val="0021452B"/>
    <w:rsid w:val="002160B9"/>
    <w:rsid w:val="00216CDF"/>
    <w:rsid w:val="002173B6"/>
    <w:rsid w:val="00221241"/>
    <w:rsid w:val="00222CC3"/>
    <w:rsid w:val="00223404"/>
    <w:rsid w:val="002236A0"/>
    <w:rsid w:val="00223FA0"/>
    <w:rsid w:val="002243A0"/>
    <w:rsid w:val="002243A5"/>
    <w:rsid w:val="002249B6"/>
    <w:rsid w:val="00226714"/>
    <w:rsid w:val="002278CC"/>
    <w:rsid w:val="00230207"/>
    <w:rsid w:val="00230B63"/>
    <w:rsid w:val="00230C6B"/>
    <w:rsid w:val="00231311"/>
    <w:rsid w:val="002314A5"/>
    <w:rsid w:val="002318A0"/>
    <w:rsid w:val="002327D9"/>
    <w:rsid w:val="00232967"/>
    <w:rsid w:val="00233542"/>
    <w:rsid w:val="0023379C"/>
    <w:rsid w:val="00233C59"/>
    <w:rsid w:val="00235103"/>
    <w:rsid w:val="002351A4"/>
    <w:rsid w:val="002353B1"/>
    <w:rsid w:val="00236537"/>
    <w:rsid w:val="00237D91"/>
    <w:rsid w:val="0024061C"/>
    <w:rsid w:val="00240C67"/>
    <w:rsid w:val="00240FAB"/>
    <w:rsid w:val="002416FC"/>
    <w:rsid w:val="0024184A"/>
    <w:rsid w:val="002427C2"/>
    <w:rsid w:val="00244227"/>
    <w:rsid w:val="00244248"/>
    <w:rsid w:val="0024457B"/>
    <w:rsid w:val="00244ABD"/>
    <w:rsid w:val="00245654"/>
    <w:rsid w:val="00245FDA"/>
    <w:rsid w:val="0024640D"/>
    <w:rsid w:val="00247264"/>
    <w:rsid w:val="00247497"/>
    <w:rsid w:val="00247AA4"/>
    <w:rsid w:val="00247E86"/>
    <w:rsid w:val="00250630"/>
    <w:rsid w:val="0025106B"/>
    <w:rsid w:val="002519F4"/>
    <w:rsid w:val="00251B6B"/>
    <w:rsid w:val="00251BB2"/>
    <w:rsid w:val="0025201B"/>
    <w:rsid w:val="00252A4A"/>
    <w:rsid w:val="00254F04"/>
    <w:rsid w:val="00255199"/>
    <w:rsid w:val="0025548F"/>
    <w:rsid w:val="00256111"/>
    <w:rsid w:val="00256345"/>
    <w:rsid w:val="002563FA"/>
    <w:rsid w:val="0026045F"/>
    <w:rsid w:val="00260468"/>
    <w:rsid w:val="00260992"/>
    <w:rsid w:val="002621FF"/>
    <w:rsid w:val="00262479"/>
    <w:rsid w:val="002625D6"/>
    <w:rsid w:val="002629B4"/>
    <w:rsid w:val="00262A6D"/>
    <w:rsid w:val="0026346A"/>
    <w:rsid w:val="002638D5"/>
    <w:rsid w:val="00264A0A"/>
    <w:rsid w:val="002657C3"/>
    <w:rsid w:val="0026611E"/>
    <w:rsid w:val="0026627E"/>
    <w:rsid w:val="00266A78"/>
    <w:rsid w:val="00266C02"/>
    <w:rsid w:val="00266CC5"/>
    <w:rsid w:val="002677A9"/>
    <w:rsid w:val="00270B26"/>
    <w:rsid w:val="00272A57"/>
    <w:rsid w:val="00272DD6"/>
    <w:rsid w:val="00272DD8"/>
    <w:rsid w:val="0027315C"/>
    <w:rsid w:val="00273666"/>
    <w:rsid w:val="00274D0C"/>
    <w:rsid w:val="00275C4C"/>
    <w:rsid w:val="00276854"/>
    <w:rsid w:val="00276E5B"/>
    <w:rsid w:val="002776BC"/>
    <w:rsid w:val="0028072E"/>
    <w:rsid w:val="00280939"/>
    <w:rsid w:val="0028113F"/>
    <w:rsid w:val="00281484"/>
    <w:rsid w:val="00283DBC"/>
    <w:rsid w:val="00284758"/>
    <w:rsid w:val="002852EE"/>
    <w:rsid w:val="00285A99"/>
    <w:rsid w:val="00286857"/>
    <w:rsid w:val="002903C0"/>
    <w:rsid w:val="002906A4"/>
    <w:rsid w:val="00291A08"/>
    <w:rsid w:val="002920A8"/>
    <w:rsid w:val="00292553"/>
    <w:rsid w:val="00292558"/>
    <w:rsid w:val="00292833"/>
    <w:rsid w:val="00292AA3"/>
    <w:rsid w:val="00292B86"/>
    <w:rsid w:val="00292CF2"/>
    <w:rsid w:val="0029335C"/>
    <w:rsid w:val="002937FB"/>
    <w:rsid w:val="002938F5"/>
    <w:rsid w:val="002946BD"/>
    <w:rsid w:val="002952D5"/>
    <w:rsid w:val="00295F88"/>
    <w:rsid w:val="00297251"/>
    <w:rsid w:val="0029747B"/>
    <w:rsid w:val="002A07D3"/>
    <w:rsid w:val="002A2451"/>
    <w:rsid w:val="002A33A8"/>
    <w:rsid w:val="002A3C2B"/>
    <w:rsid w:val="002A4944"/>
    <w:rsid w:val="002A598B"/>
    <w:rsid w:val="002A5DD2"/>
    <w:rsid w:val="002A62EC"/>
    <w:rsid w:val="002A68AE"/>
    <w:rsid w:val="002B01FD"/>
    <w:rsid w:val="002B0589"/>
    <w:rsid w:val="002B1FCF"/>
    <w:rsid w:val="002B3ED6"/>
    <w:rsid w:val="002B3FA2"/>
    <w:rsid w:val="002B46CC"/>
    <w:rsid w:val="002B4A21"/>
    <w:rsid w:val="002B4B4C"/>
    <w:rsid w:val="002B4DC6"/>
    <w:rsid w:val="002B5298"/>
    <w:rsid w:val="002B556C"/>
    <w:rsid w:val="002B5B13"/>
    <w:rsid w:val="002B681D"/>
    <w:rsid w:val="002B741C"/>
    <w:rsid w:val="002C1C42"/>
    <w:rsid w:val="002C1E38"/>
    <w:rsid w:val="002C2126"/>
    <w:rsid w:val="002C26E3"/>
    <w:rsid w:val="002C31C2"/>
    <w:rsid w:val="002C3457"/>
    <w:rsid w:val="002C393C"/>
    <w:rsid w:val="002C3FEE"/>
    <w:rsid w:val="002C431C"/>
    <w:rsid w:val="002C46BB"/>
    <w:rsid w:val="002C473E"/>
    <w:rsid w:val="002C4A09"/>
    <w:rsid w:val="002C72F3"/>
    <w:rsid w:val="002C7A72"/>
    <w:rsid w:val="002C7DC1"/>
    <w:rsid w:val="002D1189"/>
    <w:rsid w:val="002D1EA0"/>
    <w:rsid w:val="002D216A"/>
    <w:rsid w:val="002D2553"/>
    <w:rsid w:val="002D2D9C"/>
    <w:rsid w:val="002D3CB8"/>
    <w:rsid w:val="002D4680"/>
    <w:rsid w:val="002D50D6"/>
    <w:rsid w:val="002D580B"/>
    <w:rsid w:val="002D5B47"/>
    <w:rsid w:val="002D68A2"/>
    <w:rsid w:val="002D6CB2"/>
    <w:rsid w:val="002D7855"/>
    <w:rsid w:val="002D7BEE"/>
    <w:rsid w:val="002E096F"/>
    <w:rsid w:val="002E1EA0"/>
    <w:rsid w:val="002E2D86"/>
    <w:rsid w:val="002E36AC"/>
    <w:rsid w:val="002E3F25"/>
    <w:rsid w:val="002E5E7D"/>
    <w:rsid w:val="002E68AF"/>
    <w:rsid w:val="002F0685"/>
    <w:rsid w:val="002F1160"/>
    <w:rsid w:val="002F13BC"/>
    <w:rsid w:val="002F1F90"/>
    <w:rsid w:val="002F3403"/>
    <w:rsid w:val="002F3F94"/>
    <w:rsid w:val="002F40B3"/>
    <w:rsid w:val="002F58B5"/>
    <w:rsid w:val="002F7B7B"/>
    <w:rsid w:val="00300477"/>
    <w:rsid w:val="00300F79"/>
    <w:rsid w:val="00302DBE"/>
    <w:rsid w:val="00304584"/>
    <w:rsid w:val="00304793"/>
    <w:rsid w:val="003047E7"/>
    <w:rsid w:val="003051B4"/>
    <w:rsid w:val="00305369"/>
    <w:rsid w:val="00305412"/>
    <w:rsid w:val="00306DBC"/>
    <w:rsid w:val="00307F55"/>
    <w:rsid w:val="0031012A"/>
    <w:rsid w:val="00310835"/>
    <w:rsid w:val="00310B0A"/>
    <w:rsid w:val="0031156E"/>
    <w:rsid w:val="00311A79"/>
    <w:rsid w:val="00312472"/>
    <w:rsid w:val="00312785"/>
    <w:rsid w:val="00312A2C"/>
    <w:rsid w:val="00312A4E"/>
    <w:rsid w:val="00313469"/>
    <w:rsid w:val="00313539"/>
    <w:rsid w:val="00314C54"/>
    <w:rsid w:val="00317276"/>
    <w:rsid w:val="003179E4"/>
    <w:rsid w:val="00317BF9"/>
    <w:rsid w:val="00320350"/>
    <w:rsid w:val="00320E71"/>
    <w:rsid w:val="00320FE0"/>
    <w:rsid w:val="003210F3"/>
    <w:rsid w:val="00321602"/>
    <w:rsid w:val="0032169F"/>
    <w:rsid w:val="00322C5C"/>
    <w:rsid w:val="00323017"/>
    <w:rsid w:val="00323170"/>
    <w:rsid w:val="00323392"/>
    <w:rsid w:val="0032363C"/>
    <w:rsid w:val="00323C2E"/>
    <w:rsid w:val="00324197"/>
    <w:rsid w:val="00325071"/>
    <w:rsid w:val="003268D7"/>
    <w:rsid w:val="00327CAF"/>
    <w:rsid w:val="00327FE5"/>
    <w:rsid w:val="0033263D"/>
    <w:rsid w:val="0033291B"/>
    <w:rsid w:val="0033465D"/>
    <w:rsid w:val="00335274"/>
    <w:rsid w:val="00335A4E"/>
    <w:rsid w:val="00335C44"/>
    <w:rsid w:val="00336460"/>
    <w:rsid w:val="00336499"/>
    <w:rsid w:val="0033663B"/>
    <w:rsid w:val="00336E08"/>
    <w:rsid w:val="00336F6F"/>
    <w:rsid w:val="003370D6"/>
    <w:rsid w:val="0033724A"/>
    <w:rsid w:val="00337391"/>
    <w:rsid w:val="00337888"/>
    <w:rsid w:val="00341038"/>
    <w:rsid w:val="0034105F"/>
    <w:rsid w:val="00342973"/>
    <w:rsid w:val="0034346C"/>
    <w:rsid w:val="0034378E"/>
    <w:rsid w:val="0034422C"/>
    <w:rsid w:val="003442D9"/>
    <w:rsid w:val="00345AFD"/>
    <w:rsid w:val="00346311"/>
    <w:rsid w:val="00346627"/>
    <w:rsid w:val="003507E9"/>
    <w:rsid w:val="00350845"/>
    <w:rsid w:val="00351168"/>
    <w:rsid w:val="00352C9C"/>
    <w:rsid w:val="0035304D"/>
    <w:rsid w:val="00354BFD"/>
    <w:rsid w:val="00354D1F"/>
    <w:rsid w:val="00355190"/>
    <w:rsid w:val="00357A31"/>
    <w:rsid w:val="00357D07"/>
    <w:rsid w:val="00360F8B"/>
    <w:rsid w:val="00361C58"/>
    <w:rsid w:val="00361FBE"/>
    <w:rsid w:val="00364EDB"/>
    <w:rsid w:val="00365092"/>
    <w:rsid w:val="003656A7"/>
    <w:rsid w:val="00365C24"/>
    <w:rsid w:val="003662F1"/>
    <w:rsid w:val="00366A50"/>
    <w:rsid w:val="00366F4D"/>
    <w:rsid w:val="0036711D"/>
    <w:rsid w:val="00367305"/>
    <w:rsid w:val="0036751A"/>
    <w:rsid w:val="003679CE"/>
    <w:rsid w:val="003712D6"/>
    <w:rsid w:val="00371710"/>
    <w:rsid w:val="003724C8"/>
    <w:rsid w:val="003730BD"/>
    <w:rsid w:val="00373967"/>
    <w:rsid w:val="00374CE2"/>
    <w:rsid w:val="003752B6"/>
    <w:rsid w:val="00376004"/>
    <w:rsid w:val="0037647A"/>
    <w:rsid w:val="00376480"/>
    <w:rsid w:val="00376771"/>
    <w:rsid w:val="0037765D"/>
    <w:rsid w:val="00380C91"/>
    <w:rsid w:val="0038131A"/>
    <w:rsid w:val="003817B3"/>
    <w:rsid w:val="00382270"/>
    <w:rsid w:val="003836E1"/>
    <w:rsid w:val="00384748"/>
    <w:rsid w:val="003849E1"/>
    <w:rsid w:val="00385431"/>
    <w:rsid w:val="00385743"/>
    <w:rsid w:val="00386D12"/>
    <w:rsid w:val="003874DC"/>
    <w:rsid w:val="00387AE4"/>
    <w:rsid w:val="003902B7"/>
    <w:rsid w:val="003902FB"/>
    <w:rsid w:val="00390444"/>
    <w:rsid w:val="00390851"/>
    <w:rsid w:val="0039109A"/>
    <w:rsid w:val="003914FA"/>
    <w:rsid w:val="00393655"/>
    <w:rsid w:val="00393F06"/>
    <w:rsid w:val="0039555E"/>
    <w:rsid w:val="003962F0"/>
    <w:rsid w:val="00397D5A"/>
    <w:rsid w:val="00397F9A"/>
    <w:rsid w:val="003A06BF"/>
    <w:rsid w:val="003A082D"/>
    <w:rsid w:val="003A0FC6"/>
    <w:rsid w:val="003A17C6"/>
    <w:rsid w:val="003A1EDA"/>
    <w:rsid w:val="003A230C"/>
    <w:rsid w:val="003A2A79"/>
    <w:rsid w:val="003A2D64"/>
    <w:rsid w:val="003A3081"/>
    <w:rsid w:val="003A4135"/>
    <w:rsid w:val="003A4422"/>
    <w:rsid w:val="003A5055"/>
    <w:rsid w:val="003A516D"/>
    <w:rsid w:val="003A5641"/>
    <w:rsid w:val="003A583B"/>
    <w:rsid w:val="003A67B2"/>
    <w:rsid w:val="003A6902"/>
    <w:rsid w:val="003A7F64"/>
    <w:rsid w:val="003B014F"/>
    <w:rsid w:val="003B044F"/>
    <w:rsid w:val="003B0EE9"/>
    <w:rsid w:val="003B2521"/>
    <w:rsid w:val="003B37EF"/>
    <w:rsid w:val="003B3A38"/>
    <w:rsid w:val="003B478F"/>
    <w:rsid w:val="003B5078"/>
    <w:rsid w:val="003B6CEF"/>
    <w:rsid w:val="003B7665"/>
    <w:rsid w:val="003B794B"/>
    <w:rsid w:val="003C0CEC"/>
    <w:rsid w:val="003C1120"/>
    <w:rsid w:val="003C1999"/>
    <w:rsid w:val="003C1A2D"/>
    <w:rsid w:val="003C31B3"/>
    <w:rsid w:val="003C3686"/>
    <w:rsid w:val="003C3AD5"/>
    <w:rsid w:val="003C46AB"/>
    <w:rsid w:val="003C4D36"/>
    <w:rsid w:val="003C594F"/>
    <w:rsid w:val="003C5C2A"/>
    <w:rsid w:val="003C6E83"/>
    <w:rsid w:val="003C79BE"/>
    <w:rsid w:val="003D073B"/>
    <w:rsid w:val="003D1CD9"/>
    <w:rsid w:val="003D24D6"/>
    <w:rsid w:val="003D2AE9"/>
    <w:rsid w:val="003D402A"/>
    <w:rsid w:val="003D4F06"/>
    <w:rsid w:val="003D68AB"/>
    <w:rsid w:val="003D7AC8"/>
    <w:rsid w:val="003D7ADF"/>
    <w:rsid w:val="003D7B40"/>
    <w:rsid w:val="003E0D0F"/>
    <w:rsid w:val="003E1888"/>
    <w:rsid w:val="003E3DE0"/>
    <w:rsid w:val="003E499D"/>
    <w:rsid w:val="003E4D7B"/>
    <w:rsid w:val="003E50E1"/>
    <w:rsid w:val="003E5215"/>
    <w:rsid w:val="003E524C"/>
    <w:rsid w:val="003E5A12"/>
    <w:rsid w:val="003E5B90"/>
    <w:rsid w:val="003E6D15"/>
    <w:rsid w:val="003E6FE6"/>
    <w:rsid w:val="003E70B9"/>
    <w:rsid w:val="003E711B"/>
    <w:rsid w:val="003E74F7"/>
    <w:rsid w:val="003E76BE"/>
    <w:rsid w:val="003F09D8"/>
    <w:rsid w:val="003F11DF"/>
    <w:rsid w:val="003F12FB"/>
    <w:rsid w:val="003F1864"/>
    <w:rsid w:val="003F1D3F"/>
    <w:rsid w:val="003F1F98"/>
    <w:rsid w:val="003F3312"/>
    <w:rsid w:val="003F480C"/>
    <w:rsid w:val="003F4D08"/>
    <w:rsid w:val="003F5392"/>
    <w:rsid w:val="003F5C06"/>
    <w:rsid w:val="003F5D26"/>
    <w:rsid w:val="003F5E53"/>
    <w:rsid w:val="003F5FAB"/>
    <w:rsid w:val="003F66F5"/>
    <w:rsid w:val="003F6EF1"/>
    <w:rsid w:val="003F6F0B"/>
    <w:rsid w:val="003F6F7E"/>
    <w:rsid w:val="003F7CD9"/>
    <w:rsid w:val="004004A9"/>
    <w:rsid w:val="00401A5E"/>
    <w:rsid w:val="00402835"/>
    <w:rsid w:val="004036D4"/>
    <w:rsid w:val="004037CC"/>
    <w:rsid w:val="00403D84"/>
    <w:rsid w:val="00403E71"/>
    <w:rsid w:val="00404FFF"/>
    <w:rsid w:val="00406F51"/>
    <w:rsid w:val="0040708F"/>
    <w:rsid w:val="00407DE5"/>
    <w:rsid w:val="00412203"/>
    <w:rsid w:val="00412CF6"/>
    <w:rsid w:val="00413EE7"/>
    <w:rsid w:val="00413FA9"/>
    <w:rsid w:val="004142CB"/>
    <w:rsid w:val="004145E0"/>
    <w:rsid w:val="0041468C"/>
    <w:rsid w:val="00415BFA"/>
    <w:rsid w:val="00415CB7"/>
    <w:rsid w:val="00415F69"/>
    <w:rsid w:val="00416421"/>
    <w:rsid w:val="00416EF8"/>
    <w:rsid w:val="00417AE2"/>
    <w:rsid w:val="00421A67"/>
    <w:rsid w:val="00421F7A"/>
    <w:rsid w:val="004220BE"/>
    <w:rsid w:val="00423DB5"/>
    <w:rsid w:val="00425249"/>
    <w:rsid w:val="00425DDE"/>
    <w:rsid w:val="00430063"/>
    <w:rsid w:val="00431042"/>
    <w:rsid w:val="00431504"/>
    <w:rsid w:val="00432908"/>
    <w:rsid w:val="00432E09"/>
    <w:rsid w:val="00433299"/>
    <w:rsid w:val="0043362D"/>
    <w:rsid w:val="00434263"/>
    <w:rsid w:val="0043430C"/>
    <w:rsid w:val="004348D6"/>
    <w:rsid w:val="00434C44"/>
    <w:rsid w:val="00436B3A"/>
    <w:rsid w:val="004407B0"/>
    <w:rsid w:val="004409F5"/>
    <w:rsid w:val="00441126"/>
    <w:rsid w:val="004424C2"/>
    <w:rsid w:val="004434D1"/>
    <w:rsid w:val="004443DB"/>
    <w:rsid w:val="00444478"/>
    <w:rsid w:val="0044561B"/>
    <w:rsid w:val="00445B89"/>
    <w:rsid w:val="00446986"/>
    <w:rsid w:val="00447011"/>
    <w:rsid w:val="004472D7"/>
    <w:rsid w:val="00447F78"/>
    <w:rsid w:val="004509DA"/>
    <w:rsid w:val="00450A96"/>
    <w:rsid w:val="00451772"/>
    <w:rsid w:val="00452EE2"/>
    <w:rsid w:val="00453117"/>
    <w:rsid w:val="00454775"/>
    <w:rsid w:val="0045582A"/>
    <w:rsid w:val="00455DBA"/>
    <w:rsid w:val="004569D8"/>
    <w:rsid w:val="00457D43"/>
    <w:rsid w:val="00457E13"/>
    <w:rsid w:val="004600C4"/>
    <w:rsid w:val="00461C9E"/>
    <w:rsid w:val="00461E9E"/>
    <w:rsid w:val="004623D3"/>
    <w:rsid w:val="004636AB"/>
    <w:rsid w:val="004639B2"/>
    <w:rsid w:val="00463B34"/>
    <w:rsid w:val="00465B50"/>
    <w:rsid w:val="00465C48"/>
    <w:rsid w:val="00465EB8"/>
    <w:rsid w:val="004670EB"/>
    <w:rsid w:val="0046721D"/>
    <w:rsid w:val="004672D7"/>
    <w:rsid w:val="00467651"/>
    <w:rsid w:val="004677A5"/>
    <w:rsid w:val="00470B5D"/>
    <w:rsid w:val="00470F7B"/>
    <w:rsid w:val="00471E9C"/>
    <w:rsid w:val="00472E84"/>
    <w:rsid w:val="00473BC1"/>
    <w:rsid w:val="00474E7F"/>
    <w:rsid w:val="00475AD3"/>
    <w:rsid w:val="00476200"/>
    <w:rsid w:val="00476F76"/>
    <w:rsid w:val="00477D8A"/>
    <w:rsid w:val="00480C0D"/>
    <w:rsid w:val="0048102A"/>
    <w:rsid w:val="00482395"/>
    <w:rsid w:val="004831C3"/>
    <w:rsid w:val="00484545"/>
    <w:rsid w:val="00484809"/>
    <w:rsid w:val="004859BB"/>
    <w:rsid w:val="00486251"/>
    <w:rsid w:val="0048680C"/>
    <w:rsid w:val="0048796A"/>
    <w:rsid w:val="00487EF9"/>
    <w:rsid w:val="00490155"/>
    <w:rsid w:val="00490629"/>
    <w:rsid w:val="0049475D"/>
    <w:rsid w:val="004947E2"/>
    <w:rsid w:val="00494C34"/>
    <w:rsid w:val="00494F33"/>
    <w:rsid w:val="004954CE"/>
    <w:rsid w:val="004966D8"/>
    <w:rsid w:val="004971AF"/>
    <w:rsid w:val="00497214"/>
    <w:rsid w:val="004A0635"/>
    <w:rsid w:val="004A16C0"/>
    <w:rsid w:val="004A267F"/>
    <w:rsid w:val="004A3D97"/>
    <w:rsid w:val="004A4A6C"/>
    <w:rsid w:val="004A538B"/>
    <w:rsid w:val="004A676E"/>
    <w:rsid w:val="004A6B9F"/>
    <w:rsid w:val="004A71B6"/>
    <w:rsid w:val="004B01E1"/>
    <w:rsid w:val="004B1197"/>
    <w:rsid w:val="004B2C58"/>
    <w:rsid w:val="004B37EA"/>
    <w:rsid w:val="004B3804"/>
    <w:rsid w:val="004B3885"/>
    <w:rsid w:val="004B3A6D"/>
    <w:rsid w:val="004B3FB9"/>
    <w:rsid w:val="004B4737"/>
    <w:rsid w:val="004B4860"/>
    <w:rsid w:val="004B52D0"/>
    <w:rsid w:val="004B5B57"/>
    <w:rsid w:val="004B5FCB"/>
    <w:rsid w:val="004B64CC"/>
    <w:rsid w:val="004B67CE"/>
    <w:rsid w:val="004B6DAD"/>
    <w:rsid w:val="004B6FA0"/>
    <w:rsid w:val="004C0247"/>
    <w:rsid w:val="004C171A"/>
    <w:rsid w:val="004C3CBE"/>
    <w:rsid w:val="004C3CE4"/>
    <w:rsid w:val="004C4274"/>
    <w:rsid w:val="004C7C97"/>
    <w:rsid w:val="004D0092"/>
    <w:rsid w:val="004D0111"/>
    <w:rsid w:val="004D084D"/>
    <w:rsid w:val="004D2867"/>
    <w:rsid w:val="004D35EC"/>
    <w:rsid w:val="004D3876"/>
    <w:rsid w:val="004D4BAA"/>
    <w:rsid w:val="004D4E85"/>
    <w:rsid w:val="004D60C7"/>
    <w:rsid w:val="004D6958"/>
    <w:rsid w:val="004E1511"/>
    <w:rsid w:val="004E1A94"/>
    <w:rsid w:val="004E29A8"/>
    <w:rsid w:val="004E2ADA"/>
    <w:rsid w:val="004E381D"/>
    <w:rsid w:val="004E38CE"/>
    <w:rsid w:val="004E3ED9"/>
    <w:rsid w:val="004E4BB1"/>
    <w:rsid w:val="004E50C1"/>
    <w:rsid w:val="004E5638"/>
    <w:rsid w:val="004E56B5"/>
    <w:rsid w:val="004E5C10"/>
    <w:rsid w:val="004E72D5"/>
    <w:rsid w:val="004E7710"/>
    <w:rsid w:val="004F0E84"/>
    <w:rsid w:val="004F0FE1"/>
    <w:rsid w:val="004F121E"/>
    <w:rsid w:val="004F22CD"/>
    <w:rsid w:val="004F3AC9"/>
    <w:rsid w:val="004F5EF4"/>
    <w:rsid w:val="004F6B78"/>
    <w:rsid w:val="004F763F"/>
    <w:rsid w:val="004F7F26"/>
    <w:rsid w:val="005000DE"/>
    <w:rsid w:val="005005F8"/>
    <w:rsid w:val="0050100C"/>
    <w:rsid w:val="005021B9"/>
    <w:rsid w:val="00503712"/>
    <w:rsid w:val="005042C2"/>
    <w:rsid w:val="00505232"/>
    <w:rsid w:val="00505974"/>
    <w:rsid w:val="00505EA4"/>
    <w:rsid w:val="00505F7D"/>
    <w:rsid w:val="00506F31"/>
    <w:rsid w:val="00507E29"/>
    <w:rsid w:val="00510E72"/>
    <w:rsid w:val="0051119F"/>
    <w:rsid w:val="00511CFB"/>
    <w:rsid w:val="005132F6"/>
    <w:rsid w:val="00514495"/>
    <w:rsid w:val="00514C16"/>
    <w:rsid w:val="00515B45"/>
    <w:rsid w:val="0051644E"/>
    <w:rsid w:val="0051646E"/>
    <w:rsid w:val="005174E7"/>
    <w:rsid w:val="00517C0C"/>
    <w:rsid w:val="005213F6"/>
    <w:rsid w:val="00521621"/>
    <w:rsid w:val="00521C2D"/>
    <w:rsid w:val="00522893"/>
    <w:rsid w:val="005238E5"/>
    <w:rsid w:val="00523B2B"/>
    <w:rsid w:val="00523D61"/>
    <w:rsid w:val="00523D8F"/>
    <w:rsid w:val="00523ED3"/>
    <w:rsid w:val="00524818"/>
    <w:rsid w:val="005255AF"/>
    <w:rsid w:val="005256DB"/>
    <w:rsid w:val="00526122"/>
    <w:rsid w:val="0052626E"/>
    <w:rsid w:val="0052644A"/>
    <w:rsid w:val="00526794"/>
    <w:rsid w:val="00527A5D"/>
    <w:rsid w:val="00531185"/>
    <w:rsid w:val="0053380C"/>
    <w:rsid w:val="00533C5A"/>
    <w:rsid w:val="00533CAC"/>
    <w:rsid w:val="005344EF"/>
    <w:rsid w:val="00536F68"/>
    <w:rsid w:val="005373E7"/>
    <w:rsid w:val="00537423"/>
    <w:rsid w:val="00537ADE"/>
    <w:rsid w:val="005415C7"/>
    <w:rsid w:val="00542C03"/>
    <w:rsid w:val="00543671"/>
    <w:rsid w:val="005439C2"/>
    <w:rsid w:val="00543B55"/>
    <w:rsid w:val="005445E0"/>
    <w:rsid w:val="0054576E"/>
    <w:rsid w:val="00546498"/>
    <w:rsid w:val="0054699E"/>
    <w:rsid w:val="00547F88"/>
    <w:rsid w:val="00550EE7"/>
    <w:rsid w:val="0055123E"/>
    <w:rsid w:val="00551CA2"/>
    <w:rsid w:val="00551D58"/>
    <w:rsid w:val="0055237F"/>
    <w:rsid w:val="0055250D"/>
    <w:rsid w:val="00552761"/>
    <w:rsid w:val="00552AC7"/>
    <w:rsid w:val="00552CC4"/>
    <w:rsid w:val="005531B7"/>
    <w:rsid w:val="00553819"/>
    <w:rsid w:val="00554749"/>
    <w:rsid w:val="0055488B"/>
    <w:rsid w:val="005575A7"/>
    <w:rsid w:val="00557A9F"/>
    <w:rsid w:val="00557C8E"/>
    <w:rsid w:val="00557EC3"/>
    <w:rsid w:val="0056031B"/>
    <w:rsid w:val="005607D2"/>
    <w:rsid w:val="00560CC1"/>
    <w:rsid w:val="00560CD8"/>
    <w:rsid w:val="00560D7F"/>
    <w:rsid w:val="005622D9"/>
    <w:rsid w:val="005653A4"/>
    <w:rsid w:val="0056604E"/>
    <w:rsid w:val="005664FC"/>
    <w:rsid w:val="005665C8"/>
    <w:rsid w:val="00566CFC"/>
    <w:rsid w:val="00567329"/>
    <w:rsid w:val="005674C3"/>
    <w:rsid w:val="00570BCB"/>
    <w:rsid w:val="00570FB0"/>
    <w:rsid w:val="00571FA6"/>
    <w:rsid w:val="005728E3"/>
    <w:rsid w:val="00572BE2"/>
    <w:rsid w:val="00573F39"/>
    <w:rsid w:val="0057442A"/>
    <w:rsid w:val="005766DB"/>
    <w:rsid w:val="0058147E"/>
    <w:rsid w:val="00581653"/>
    <w:rsid w:val="00581705"/>
    <w:rsid w:val="00582195"/>
    <w:rsid w:val="00582A49"/>
    <w:rsid w:val="0058329D"/>
    <w:rsid w:val="00583D67"/>
    <w:rsid w:val="00583F7A"/>
    <w:rsid w:val="005842F5"/>
    <w:rsid w:val="00584B68"/>
    <w:rsid w:val="00584F8E"/>
    <w:rsid w:val="005870CF"/>
    <w:rsid w:val="00587245"/>
    <w:rsid w:val="0058741D"/>
    <w:rsid w:val="00587879"/>
    <w:rsid w:val="00587CED"/>
    <w:rsid w:val="005914A1"/>
    <w:rsid w:val="00591FEB"/>
    <w:rsid w:val="005921D6"/>
    <w:rsid w:val="00592404"/>
    <w:rsid w:val="00594156"/>
    <w:rsid w:val="00594234"/>
    <w:rsid w:val="00594F38"/>
    <w:rsid w:val="0059593D"/>
    <w:rsid w:val="005963FD"/>
    <w:rsid w:val="0059771D"/>
    <w:rsid w:val="0059776B"/>
    <w:rsid w:val="005A273E"/>
    <w:rsid w:val="005A2A33"/>
    <w:rsid w:val="005A2CD4"/>
    <w:rsid w:val="005A2E7A"/>
    <w:rsid w:val="005A2FF4"/>
    <w:rsid w:val="005A5744"/>
    <w:rsid w:val="005A6006"/>
    <w:rsid w:val="005A76FD"/>
    <w:rsid w:val="005B0440"/>
    <w:rsid w:val="005B0B4C"/>
    <w:rsid w:val="005B0E29"/>
    <w:rsid w:val="005B1D49"/>
    <w:rsid w:val="005B25AE"/>
    <w:rsid w:val="005B4BF2"/>
    <w:rsid w:val="005B5317"/>
    <w:rsid w:val="005B564F"/>
    <w:rsid w:val="005B5BC1"/>
    <w:rsid w:val="005B6AB6"/>
    <w:rsid w:val="005B74DC"/>
    <w:rsid w:val="005B7DED"/>
    <w:rsid w:val="005C07FD"/>
    <w:rsid w:val="005C1DC4"/>
    <w:rsid w:val="005C20F1"/>
    <w:rsid w:val="005C2158"/>
    <w:rsid w:val="005C22DA"/>
    <w:rsid w:val="005C4724"/>
    <w:rsid w:val="005C47B8"/>
    <w:rsid w:val="005C5B9C"/>
    <w:rsid w:val="005C5DB8"/>
    <w:rsid w:val="005C6DE8"/>
    <w:rsid w:val="005C7C55"/>
    <w:rsid w:val="005D2171"/>
    <w:rsid w:val="005D22D1"/>
    <w:rsid w:val="005D23E8"/>
    <w:rsid w:val="005D2D96"/>
    <w:rsid w:val="005D44A8"/>
    <w:rsid w:val="005D59A8"/>
    <w:rsid w:val="005D5E71"/>
    <w:rsid w:val="005D65AE"/>
    <w:rsid w:val="005D7320"/>
    <w:rsid w:val="005D7463"/>
    <w:rsid w:val="005D7BDD"/>
    <w:rsid w:val="005D7D43"/>
    <w:rsid w:val="005E3A9B"/>
    <w:rsid w:val="005E48A0"/>
    <w:rsid w:val="005E4B49"/>
    <w:rsid w:val="005E5241"/>
    <w:rsid w:val="005E5B1D"/>
    <w:rsid w:val="005E750B"/>
    <w:rsid w:val="005E7CEA"/>
    <w:rsid w:val="005F023A"/>
    <w:rsid w:val="005F02AF"/>
    <w:rsid w:val="005F1719"/>
    <w:rsid w:val="005F2817"/>
    <w:rsid w:val="005F3812"/>
    <w:rsid w:val="005F4451"/>
    <w:rsid w:val="005F52CE"/>
    <w:rsid w:val="005F6C87"/>
    <w:rsid w:val="005F73C2"/>
    <w:rsid w:val="005F79D9"/>
    <w:rsid w:val="005F7AE0"/>
    <w:rsid w:val="0060019F"/>
    <w:rsid w:val="006002B9"/>
    <w:rsid w:val="00600D7E"/>
    <w:rsid w:val="00603094"/>
    <w:rsid w:val="00603466"/>
    <w:rsid w:val="006036D2"/>
    <w:rsid w:val="006053CD"/>
    <w:rsid w:val="00605FC0"/>
    <w:rsid w:val="0060648C"/>
    <w:rsid w:val="00606E1F"/>
    <w:rsid w:val="0060747B"/>
    <w:rsid w:val="0060783C"/>
    <w:rsid w:val="00607EFD"/>
    <w:rsid w:val="006100B4"/>
    <w:rsid w:val="00610A23"/>
    <w:rsid w:val="00611F3F"/>
    <w:rsid w:val="00612A1B"/>
    <w:rsid w:val="00613C0E"/>
    <w:rsid w:val="00613C3B"/>
    <w:rsid w:val="006147EE"/>
    <w:rsid w:val="006158C5"/>
    <w:rsid w:val="00615E0A"/>
    <w:rsid w:val="00617A3C"/>
    <w:rsid w:val="00620134"/>
    <w:rsid w:val="0062061E"/>
    <w:rsid w:val="00620A19"/>
    <w:rsid w:val="00621934"/>
    <w:rsid w:val="006252E0"/>
    <w:rsid w:val="006262F0"/>
    <w:rsid w:val="00627B57"/>
    <w:rsid w:val="0063181F"/>
    <w:rsid w:val="00631A90"/>
    <w:rsid w:val="00631AAA"/>
    <w:rsid w:val="006323AE"/>
    <w:rsid w:val="00632774"/>
    <w:rsid w:val="00634210"/>
    <w:rsid w:val="00634487"/>
    <w:rsid w:val="00635516"/>
    <w:rsid w:val="0063631E"/>
    <w:rsid w:val="00640027"/>
    <w:rsid w:val="00640572"/>
    <w:rsid w:val="00642485"/>
    <w:rsid w:val="006424A1"/>
    <w:rsid w:val="006429BB"/>
    <w:rsid w:val="00642B9D"/>
    <w:rsid w:val="006434A5"/>
    <w:rsid w:val="00643EB1"/>
    <w:rsid w:val="00644728"/>
    <w:rsid w:val="00644F30"/>
    <w:rsid w:val="00647037"/>
    <w:rsid w:val="006528C5"/>
    <w:rsid w:val="00652F6A"/>
    <w:rsid w:val="006540AA"/>
    <w:rsid w:val="00654470"/>
    <w:rsid w:val="00656888"/>
    <w:rsid w:val="006568CA"/>
    <w:rsid w:val="006570EB"/>
    <w:rsid w:val="00657192"/>
    <w:rsid w:val="006571BE"/>
    <w:rsid w:val="0066071E"/>
    <w:rsid w:val="00660A24"/>
    <w:rsid w:val="00660B52"/>
    <w:rsid w:val="00660FFD"/>
    <w:rsid w:val="006614A1"/>
    <w:rsid w:val="0066206F"/>
    <w:rsid w:val="00662406"/>
    <w:rsid w:val="006633BC"/>
    <w:rsid w:val="006640EE"/>
    <w:rsid w:val="006646B8"/>
    <w:rsid w:val="006651AD"/>
    <w:rsid w:val="00670A54"/>
    <w:rsid w:val="00671103"/>
    <w:rsid w:val="00672426"/>
    <w:rsid w:val="006724A5"/>
    <w:rsid w:val="006726E6"/>
    <w:rsid w:val="00673A1B"/>
    <w:rsid w:val="0067431C"/>
    <w:rsid w:val="006745F3"/>
    <w:rsid w:val="0067485E"/>
    <w:rsid w:val="0067613C"/>
    <w:rsid w:val="00676334"/>
    <w:rsid w:val="00677844"/>
    <w:rsid w:val="00677C11"/>
    <w:rsid w:val="00677EED"/>
    <w:rsid w:val="006800C4"/>
    <w:rsid w:val="006803FE"/>
    <w:rsid w:val="0068073D"/>
    <w:rsid w:val="006815BE"/>
    <w:rsid w:val="006815CA"/>
    <w:rsid w:val="006829A7"/>
    <w:rsid w:val="00682CFC"/>
    <w:rsid w:val="00682D26"/>
    <w:rsid w:val="00683581"/>
    <w:rsid w:val="00683E8D"/>
    <w:rsid w:val="006844CE"/>
    <w:rsid w:val="00684B8B"/>
    <w:rsid w:val="00684C34"/>
    <w:rsid w:val="00685431"/>
    <w:rsid w:val="0068578F"/>
    <w:rsid w:val="006864ED"/>
    <w:rsid w:val="00686767"/>
    <w:rsid w:val="006867A3"/>
    <w:rsid w:val="00687269"/>
    <w:rsid w:val="006873DE"/>
    <w:rsid w:val="00687A8B"/>
    <w:rsid w:val="00690BF1"/>
    <w:rsid w:val="0069161F"/>
    <w:rsid w:val="00691717"/>
    <w:rsid w:val="00694570"/>
    <w:rsid w:val="0069492C"/>
    <w:rsid w:val="006949FC"/>
    <w:rsid w:val="006965BF"/>
    <w:rsid w:val="006A044B"/>
    <w:rsid w:val="006A194D"/>
    <w:rsid w:val="006A2825"/>
    <w:rsid w:val="006A3A2F"/>
    <w:rsid w:val="006A3AA8"/>
    <w:rsid w:val="006A3BD7"/>
    <w:rsid w:val="006A3FA9"/>
    <w:rsid w:val="006A43C7"/>
    <w:rsid w:val="006A5012"/>
    <w:rsid w:val="006A54D0"/>
    <w:rsid w:val="006A54FA"/>
    <w:rsid w:val="006A57EE"/>
    <w:rsid w:val="006A725A"/>
    <w:rsid w:val="006B045E"/>
    <w:rsid w:val="006B072C"/>
    <w:rsid w:val="006B0AFF"/>
    <w:rsid w:val="006B0CAD"/>
    <w:rsid w:val="006B1D1E"/>
    <w:rsid w:val="006B304B"/>
    <w:rsid w:val="006B5D86"/>
    <w:rsid w:val="006B63E5"/>
    <w:rsid w:val="006B69C4"/>
    <w:rsid w:val="006B6D0F"/>
    <w:rsid w:val="006B6E3A"/>
    <w:rsid w:val="006B7403"/>
    <w:rsid w:val="006C0190"/>
    <w:rsid w:val="006C0AA4"/>
    <w:rsid w:val="006C1D80"/>
    <w:rsid w:val="006C22BE"/>
    <w:rsid w:val="006C2576"/>
    <w:rsid w:val="006C2CEB"/>
    <w:rsid w:val="006C3248"/>
    <w:rsid w:val="006C3D07"/>
    <w:rsid w:val="006C4046"/>
    <w:rsid w:val="006C65FE"/>
    <w:rsid w:val="006C7039"/>
    <w:rsid w:val="006C78C0"/>
    <w:rsid w:val="006C78FD"/>
    <w:rsid w:val="006D0129"/>
    <w:rsid w:val="006D0383"/>
    <w:rsid w:val="006D23F1"/>
    <w:rsid w:val="006D2DD4"/>
    <w:rsid w:val="006D3EA8"/>
    <w:rsid w:val="006D44BA"/>
    <w:rsid w:val="006D6384"/>
    <w:rsid w:val="006D71BF"/>
    <w:rsid w:val="006D74CB"/>
    <w:rsid w:val="006E34E2"/>
    <w:rsid w:val="006E3B07"/>
    <w:rsid w:val="006E3B29"/>
    <w:rsid w:val="006E43A0"/>
    <w:rsid w:val="006E45CE"/>
    <w:rsid w:val="006E4B48"/>
    <w:rsid w:val="006E5756"/>
    <w:rsid w:val="006E5C8D"/>
    <w:rsid w:val="006E6DED"/>
    <w:rsid w:val="006E702C"/>
    <w:rsid w:val="006E7639"/>
    <w:rsid w:val="006E7AD9"/>
    <w:rsid w:val="006E7FC8"/>
    <w:rsid w:val="006F0A19"/>
    <w:rsid w:val="006F1CEC"/>
    <w:rsid w:val="006F201F"/>
    <w:rsid w:val="006F25F5"/>
    <w:rsid w:val="006F5124"/>
    <w:rsid w:val="006F5285"/>
    <w:rsid w:val="006F5942"/>
    <w:rsid w:val="006F63D2"/>
    <w:rsid w:val="006F6BBC"/>
    <w:rsid w:val="006F72C9"/>
    <w:rsid w:val="00700509"/>
    <w:rsid w:val="00700803"/>
    <w:rsid w:val="00700FF9"/>
    <w:rsid w:val="0070162F"/>
    <w:rsid w:val="00702273"/>
    <w:rsid w:val="007031A8"/>
    <w:rsid w:val="007042A3"/>
    <w:rsid w:val="00704315"/>
    <w:rsid w:val="00704B0B"/>
    <w:rsid w:val="00705171"/>
    <w:rsid w:val="0070547D"/>
    <w:rsid w:val="007060FF"/>
    <w:rsid w:val="00706C2D"/>
    <w:rsid w:val="00707258"/>
    <w:rsid w:val="0070758F"/>
    <w:rsid w:val="00707F9E"/>
    <w:rsid w:val="00710B18"/>
    <w:rsid w:val="00711EFA"/>
    <w:rsid w:val="0071250A"/>
    <w:rsid w:val="00712AEF"/>
    <w:rsid w:val="0071386C"/>
    <w:rsid w:val="007142C6"/>
    <w:rsid w:val="00715834"/>
    <w:rsid w:val="007159EF"/>
    <w:rsid w:val="007170EB"/>
    <w:rsid w:val="00717466"/>
    <w:rsid w:val="007178AE"/>
    <w:rsid w:val="00717C15"/>
    <w:rsid w:val="00720138"/>
    <w:rsid w:val="007211A2"/>
    <w:rsid w:val="00721CA9"/>
    <w:rsid w:val="00723A70"/>
    <w:rsid w:val="00723BD6"/>
    <w:rsid w:val="00723D39"/>
    <w:rsid w:val="007242E8"/>
    <w:rsid w:val="00724637"/>
    <w:rsid w:val="0072593C"/>
    <w:rsid w:val="00726523"/>
    <w:rsid w:val="00726AB8"/>
    <w:rsid w:val="007272C0"/>
    <w:rsid w:val="00730E23"/>
    <w:rsid w:val="00731E43"/>
    <w:rsid w:val="007320E2"/>
    <w:rsid w:val="00733A24"/>
    <w:rsid w:val="00735361"/>
    <w:rsid w:val="0073586B"/>
    <w:rsid w:val="00737585"/>
    <w:rsid w:val="0074024A"/>
    <w:rsid w:val="007415D4"/>
    <w:rsid w:val="00742514"/>
    <w:rsid w:val="00743CDA"/>
    <w:rsid w:val="00744E86"/>
    <w:rsid w:val="007460CB"/>
    <w:rsid w:val="007465EF"/>
    <w:rsid w:val="00746E97"/>
    <w:rsid w:val="007477C6"/>
    <w:rsid w:val="0075012C"/>
    <w:rsid w:val="00750A97"/>
    <w:rsid w:val="00750E4C"/>
    <w:rsid w:val="00751008"/>
    <w:rsid w:val="00751245"/>
    <w:rsid w:val="007517DA"/>
    <w:rsid w:val="00752631"/>
    <w:rsid w:val="00752E62"/>
    <w:rsid w:val="007546A7"/>
    <w:rsid w:val="007549A4"/>
    <w:rsid w:val="00754E29"/>
    <w:rsid w:val="00755B21"/>
    <w:rsid w:val="00756119"/>
    <w:rsid w:val="00756B0D"/>
    <w:rsid w:val="00757837"/>
    <w:rsid w:val="00757842"/>
    <w:rsid w:val="00760E20"/>
    <w:rsid w:val="00761093"/>
    <w:rsid w:val="007623D4"/>
    <w:rsid w:val="0076649E"/>
    <w:rsid w:val="00767C54"/>
    <w:rsid w:val="00770794"/>
    <w:rsid w:val="007709D9"/>
    <w:rsid w:val="007723B4"/>
    <w:rsid w:val="007731B4"/>
    <w:rsid w:val="007736E3"/>
    <w:rsid w:val="00773C00"/>
    <w:rsid w:val="007740F8"/>
    <w:rsid w:val="00774901"/>
    <w:rsid w:val="00774B6B"/>
    <w:rsid w:val="00776326"/>
    <w:rsid w:val="007765A0"/>
    <w:rsid w:val="00776644"/>
    <w:rsid w:val="00776F97"/>
    <w:rsid w:val="00777D2D"/>
    <w:rsid w:val="00777D47"/>
    <w:rsid w:val="00780375"/>
    <w:rsid w:val="0078128A"/>
    <w:rsid w:val="0078191C"/>
    <w:rsid w:val="00783E24"/>
    <w:rsid w:val="00784175"/>
    <w:rsid w:val="00784A6D"/>
    <w:rsid w:val="00785159"/>
    <w:rsid w:val="007851A6"/>
    <w:rsid w:val="00785755"/>
    <w:rsid w:val="00785C8E"/>
    <w:rsid w:val="00786991"/>
    <w:rsid w:val="00786ABF"/>
    <w:rsid w:val="0079015C"/>
    <w:rsid w:val="00790F8E"/>
    <w:rsid w:val="007918EF"/>
    <w:rsid w:val="007927AC"/>
    <w:rsid w:val="0079554D"/>
    <w:rsid w:val="0079590D"/>
    <w:rsid w:val="00796936"/>
    <w:rsid w:val="0079738C"/>
    <w:rsid w:val="0079774A"/>
    <w:rsid w:val="00797849"/>
    <w:rsid w:val="007A0E81"/>
    <w:rsid w:val="007A1B0C"/>
    <w:rsid w:val="007A2AD9"/>
    <w:rsid w:val="007A3660"/>
    <w:rsid w:val="007A3F61"/>
    <w:rsid w:val="007A4994"/>
    <w:rsid w:val="007A4A02"/>
    <w:rsid w:val="007A6CAD"/>
    <w:rsid w:val="007A728B"/>
    <w:rsid w:val="007A7A5A"/>
    <w:rsid w:val="007B08C4"/>
    <w:rsid w:val="007B1BC6"/>
    <w:rsid w:val="007B1C91"/>
    <w:rsid w:val="007B4520"/>
    <w:rsid w:val="007B496E"/>
    <w:rsid w:val="007B4A5F"/>
    <w:rsid w:val="007B4FE4"/>
    <w:rsid w:val="007B50D4"/>
    <w:rsid w:val="007B52AA"/>
    <w:rsid w:val="007B6059"/>
    <w:rsid w:val="007B612D"/>
    <w:rsid w:val="007B729D"/>
    <w:rsid w:val="007B7A6E"/>
    <w:rsid w:val="007C045F"/>
    <w:rsid w:val="007C0ABD"/>
    <w:rsid w:val="007C0C42"/>
    <w:rsid w:val="007C1DFA"/>
    <w:rsid w:val="007C1F5A"/>
    <w:rsid w:val="007C3721"/>
    <w:rsid w:val="007C5537"/>
    <w:rsid w:val="007C63B1"/>
    <w:rsid w:val="007C6DEB"/>
    <w:rsid w:val="007C7ECB"/>
    <w:rsid w:val="007D1CC2"/>
    <w:rsid w:val="007D1CC7"/>
    <w:rsid w:val="007D23AD"/>
    <w:rsid w:val="007D373A"/>
    <w:rsid w:val="007D389C"/>
    <w:rsid w:val="007D47E7"/>
    <w:rsid w:val="007D485E"/>
    <w:rsid w:val="007D4CA1"/>
    <w:rsid w:val="007D5C19"/>
    <w:rsid w:val="007D6205"/>
    <w:rsid w:val="007D621D"/>
    <w:rsid w:val="007D6FB5"/>
    <w:rsid w:val="007D7D7F"/>
    <w:rsid w:val="007E034D"/>
    <w:rsid w:val="007E1A81"/>
    <w:rsid w:val="007E1C2F"/>
    <w:rsid w:val="007E2C47"/>
    <w:rsid w:val="007E313E"/>
    <w:rsid w:val="007E32A3"/>
    <w:rsid w:val="007E34E1"/>
    <w:rsid w:val="007E4918"/>
    <w:rsid w:val="007E4BE3"/>
    <w:rsid w:val="007E516E"/>
    <w:rsid w:val="007E675B"/>
    <w:rsid w:val="007E67DF"/>
    <w:rsid w:val="007E76AB"/>
    <w:rsid w:val="007E78CA"/>
    <w:rsid w:val="007E7F55"/>
    <w:rsid w:val="007F0519"/>
    <w:rsid w:val="007F094C"/>
    <w:rsid w:val="007F1B27"/>
    <w:rsid w:val="007F20D5"/>
    <w:rsid w:val="007F3DB8"/>
    <w:rsid w:val="007F3E00"/>
    <w:rsid w:val="007F4B15"/>
    <w:rsid w:val="007F4D8F"/>
    <w:rsid w:val="007F7EAA"/>
    <w:rsid w:val="00800789"/>
    <w:rsid w:val="0080166B"/>
    <w:rsid w:val="008018E2"/>
    <w:rsid w:val="00802A42"/>
    <w:rsid w:val="0080341C"/>
    <w:rsid w:val="00803457"/>
    <w:rsid w:val="008035B9"/>
    <w:rsid w:val="00803C69"/>
    <w:rsid w:val="00803CD0"/>
    <w:rsid w:val="00804A9D"/>
    <w:rsid w:val="00804C8A"/>
    <w:rsid w:val="0080626A"/>
    <w:rsid w:val="0080741D"/>
    <w:rsid w:val="00807731"/>
    <w:rsid w:val="00807EAA"/>
    <w:rsid w:val="00811D10"/>
    <w:rsid w:val="00812EAC"/>
    <w:rsid w:val="008138EC"/>
    <w:rsid w:val="008138F0"/>
    <w:rsid w:val="00813AFE"/>
    <w:rsid w:val="00814D85"/>
    <w:rsid w:val="008151F5"/>
    <w:rsid w:val="00815C2E"/>
    <w:rsid w:val="00816D2F"/>
    <w:rsid w:val="00816EDB"/>
    <w:rsid w:val="00817855"/>
    <w:rsid w:val="008203B3"/>
    <w:rsid w:val="0082191D"/>
    <w:rsid w:val="00822DB3"/>
    <w:rsid w:val="008230CA"/>
    <w:rsid w:val="00826013"/>
    <w:rsid w:val="0082627D"/>
    <w:rsid w:val="00826C11"/>
    <w:rsid w:val="00827962"/>
    <w:rsid w:val="00827E97"/>
    <w:rsid w:val="00830713"/>
    <w:rsid w:val="00832A3B"/>
    <w:rsid w:val="008330EF"/>
    <w:rsid w:val="0083399D"/>
    <w:rsid w:val="00833C3C"/>
    <w:rsid w:val="00834AB3"/>
    <w:rsid w:val="0083537F"/>
    <w:rsid w:val="00835B75"/>
    <w:rsid w:val="008360FD"/>
    <w:rsid w:val="0083657F"/>
    <w:rsid w:val="00837DE9"/>
    <w:rsid w:val="00840196"/>
    <w:rsid w:val="008402AF"/>
    <w:rsid w:val="00840E43"/>
    <w:rsid w:val="00841401"/>
    <w:rsid w:val="00843605"/>
    <w:rsid w:val="00843CBC"/>
    <w:rsid w:val="00843F22"/>
    <w:rsid w:val="008452D6"/>
    <w:rsid w:val="00845F54"/>
    <w:rsid w:val="00847087"/>
    <w:rsid w:val="00847FA5"/>
    <w:rsid w:val="0085135A"/>
    <w:rsid w:val="00851884"/>
    <w:rsid w:val="00852701"/>
    <w:rsid w:val="00852AE4"/>
    <w:rsid w:val="00852C1A"/>
    <w:rsid w:val="00852E54"/>
    <w:rsid w:val="00852FC8"/>
    <w:rsid w:val="00854094"/>
    <w:rsid w:val="00855C0F"/>
    <w:rsid w:val="00855D48"/>
    <w:rsid w:val="00855F77"/>
    <w:rsid w:val="00856FC1"/>
    <w:rsid w:val="008570DA"/>
    <w:rsid w:val="00857CC7"/>
    <w:rsid w:val="00857D4C"/>
    <w:rsid w:val="00860E40"/>
    <w:rsid w:val="00862040"/>
    <w:rsid w:val="0086267F"/>
    <w:rsid w:val="00862897"/>
    <w:rsid w:val="008628EC"/>
    <w:rsid w:val="008631D7"/>
    <w:rsid w:val="008636EE"/>
    <w:rsid w:val="0086467A"/>
    <w:rsid w:val="0086479E"/>
    <w:rsid w:val="00864D1E"/>
    <w:rsid w:val="0086769C"/>
    <w:rsid w:val="008677ED"/>
    <w:rsid w:val="00867B2A"/>
    <w:rsid w:val="00867DB1"/>
    <w:rsid w:val="00870961"/>
    <w:rsid w:val="00870B32"/>
    <w:rsid w:val="008739B0"/>
    <w:rsid w:val="00874011"/>
    <w:rsid w:val="00875BF7"/>
    <w:rsid w:val="00876026"/>
    <w:rsid w:val="008767A1"/>
    <w:rsid w:val="00876C4E"/>
    <w:rsid w:val="008770B8"/>
    <w:rsid w:val="00877218"/>
    <w:rsid w:val="008772DD"/>
    <w:rsid w:val="00877BF4"/>
    <w:rsid w:val="0088072C"/>
    <w:rsid w:val="0088080A"/>
    <w:rsid w:val="00880BBE"/>
    <w:rsid w:val="00880D90"/>
    <w:rsid w:val="008811A6"/>
    <w:rsid w:val="00881EA4"/>
    <w:rsid w:val="00882B35"/>
    <w:rsid w:val="00882B3B"/>
    <w:rsid w:val="00882E6C"/>
    <w:rsid w:val="00882EED"/>
    <w:rsid w:val="00883F4A"/>
    <w:rsid w:val="00884166"/>
    <w:rsid w:val="00885B27"/>
    <w:rsid w:val="00886843"/>
    <w:rsid w:val="008869DB"/>
    <w:rsid w:val="00886E5A"/>
    <w:rsid w:val="00887726"/>
    <w:rsid w:val="00887833"/>
    <w:rsid w:val="00890A63"/>
    <w:rsid w:val="00890ACD"/>
    <w:rsid w:val="00891398"/>
    <w:rsid w:val="0089234D"/>
    <w:rsid w:val="00892971"/>
    <w:rsid w:val="0089467A"/>
    <w:rsid w:val="00894C8F"/>
    <w:rsid w:val="00894D05"/>
    <w:rsid w:val="00895192"/>
    <w:rsid w:val="00895DBE"/>
    <w:rsid w:val="00895E53"/>
    <w:rsid w:val="008A0587"/>
    <w:rsid w:val="008A16D5"/>
    <w:rsid w:val="008A1D25"/>
    <w:rsid w:val="008A21CE"/>
    <w:rsid w:val="008A2526"/>
    <w:rsid w:val="008A276C"/>
    <w:rsid w:val="008A2A50"/>
    <w:rsid w:val="008A3553"/>
    <w:rsid w:val="008A3A51"/>
    <w:rsid w:val="008A4055"/>
    <w:rsid w:val="008A5471"/>
    <w:rsid w:val="008A5A30"/>
    <w:rsid w:val="008A6374"/>
    <w:rsid w:val="008A692E"/>
    <w:rsid w:val="008A72C3"/>
    <w:rsid w:val="008A76F6"/>
    <w:rsid w:val="008A7B27"/>
    <w:rsid w:val="008A7DA7"/>
    <w:rsid w:val="008B0359"/>
    <w:rsid w:val="008B093E"/>
    <w:rsid w:val="008B09C2"/>
    <w:rsid w:val="008B0B30"/>
    <w:rsid w:val="008B1F4D"/>
    <w:rsid w:val="008B2461"/>
    <w:rsid w:val="008B2C23"/>
    <w:rsid w:val="008B3C31"/>
    <w:rsid w:val="008B3F06"/>
    <w:rsid w:val="008B48B0"/>
    <w:rsid w:val="008B50A6"/>
    <w:rsid w:val="008B5DD7"/>
    <w:rsid w:val="008B6C1E"/>
    <w:rsid w:val="008B7C77"/>
    <w:rsid w:val="008B7DF6"/>
    <w:rsid w:val="008C1535"/>
    <w:rsid w:val="008C18C7"/>
    <w:rsid w:val="008C1B3D"/>
    <w:rsid w:val="008C4DCF"/>
    <w:rsid w:val="008C4EE1"/>
    <w:rsid w:val="008C5DDB"/>
    <w:rsid w:val="008C6853"/>
    <w:rsid w:val="008C73C2"/>
    <w:rsid w:val="008C7A23"/>
    <w:rsid w:val="008D0520"/>
    <w:rsid w:val="008D0CFE"/>
    <w:rsid w:val="008D0F76"/>
    <w:rsid w:val="008D11C0"/>
    <w:rsid w:val="008D194F"/>
    <w:rsid w:val="008D35ED"/>
    <w:rsid w:val="008D4328"/>
    <w:rsid w:val="008D4801"/>
    <w:rsid w:val="008D60D0"/>
    <w:rsid w:val="008D7006"/>
    <w:rsid w:val="008D7C67"/>
    <w:rsid w:val="008E0F93"/>
    <w:rsid w:val="008E11A3"/>
    <w:rsid w:val="008E284F"/>
    <w:rsid w:val="008E2B11"/>
    <w:rsid w:val="008E2C35"/>
    <w:rsid w:val="008E332B"/>
    <w:rsid w:val="008E33D6"/>
    <w:rsid w:val="008E5715"/>
    <w:rsid w:val="008E5AF2"/>
    <w:rsid w:val="008E63F1"/>
    <w:rsid w:val="008E7080"/>
    <w:rsid w:val="008E77AE"/>
    <w:rsid w:val="008E7834"/>
    <w:rsid w:val="008F0723"/>
    <w:rsid w:val="008F0815"/>
    <w:rsid w:val="008F11C5"/>
    <w:rsid w:val="008F122D"/>
    <w:rsid w:val="008F3174"/>
    <w:rsid w:val="009004AF"/>
    <w:rsid w:val="00900824"/>
    <w:rsid w:val="00900F43"/>
    <w:rsid w:val="009041CD"/>
    <w:rsid w:val="009047C9"/>
    <w:rsid w:val="00905401"/>
    <w:rsid w:val="009058CF"/>
    <w:rsid w:val="009062D9"/>
    <w:rsid w:val="00906C05"/>
    <w:rsid w:val="0090776C"/>
    <w:rsid w:val="00907A0E"/>
    <w:rsid w:val="00911372"/>
    <w:rsid w:val="009113F4"/>
    <w:rsid w:val="00911E31"/>
    <w:rsid w:val="00911F96"/>
    <w:rsid w:val="00912091"/>
    <w:rsid w:val="009126F0"/>
    <w:rsid w:val="009134C8"/>
    <w:rsid w:val="00914D4E"/>
    <w:rsid w:val="00917213"/>
    <w:rsid w:val="009175A9"/>
    <w:rsid w:val="00920C58"/>
    <w:rsid w:val="00921525"/>
    <w:rsid w:val="0092155F"/>
    <w:rsid w:val="00924388"/>
    <w:rsid w:val="009249B6"/>
    <w:rsid w:val="00924FAE"/>
    <w:rsid w:val="00925270"/>
    <w:rsid w:val="00926FB0"/>
    <w:rsid w:val="009323A4"/>
    <w:rsid w:val="00933A64"/>
    <w:rsid w:val="00934B11"/>
    <w:rsid w:val="00934B71"/>
    <w:rsid w:val="00934B87"/>
    <w:rsid w:val="00935002"/>
    <w:rsid w:val="00935015"/>
    <w:rsid w:val="0093507D"/>
    <w:rsid w:val="00935224"/>
    <w:rsid w:val="00936266"/>
    <w:rsid w:val="00936ADA"/>
    <w:rsid w:val="00936F7D"/>
    <w:rsid w:val="0093767F"/>
    <w:rsid w:val="009407FC"/>
    <w:rsid w:val="0094174C"/>
    <w:rsid w:val="009431FC"/>
    <w:rsid w:val="009449F2"/>
    <w:rsid w:val="00944B22"/>
    <w:rsid w:val="00945BAA"/>
    <w:rsid w:val="00945D39"/>
    <w:rsid w:val="009464CD"/>
    <w:rsid w:val="0095077E"/>
    <w:rsid w:val="0095103C"/>
    <w:rsid w:val="00951072"/>
    <w:rsid w:val="00953942"/>
    <w:rsid w:val="009539E6"/>
    <w:rsid w:val="009545F5"/>
    <w:rsid w:val="009557B1"/>
    <w:rsid w:val="00955FE7"/>
    <w:rsid w:val="009566AB"/>
    <w:rsid w:val="00956AB3"/>
    <w:rsid w:val="009572BA"/>
    <w:rsid w:val="0095748D"/>
    <w:rsid w:val="009576EA"/>
    <w:rsid w:val="009577E9"/>
    <w:rsid w:val="00957D9F"/>
    <w:rsid w:val="00960DE2"/>
    <w:rsid w:val="00961E9C"/>
    <w:rsid w:val="009624A1"/>
    <w:rsid w:val="00964761"/>
    <w:rsid w:val="009647EC"/>
    <w:rsid w:val="00967284"/>
    <w:rsid w:val="0096775C"/>
    <w:rsid w:val="009711B8"/>
    <w:rsid w:val="009719FB"/>
    <w:rsid w:val="00972192"/>
    <w:rsid w:val="00972664"/>
    <w:rsid w:val="00973C73"/>
    <w:rsid w:val="0097538D"/>
    <w:rsid w:val="00975E74"/>
    <w:rsid w:val="00976911"/>
    <w:rsid w:val="00977742"/>
    <w:rsid w:val="009806F0"/>
    <w:rsid w:val="00981181"/>
    <w:rsid w:val="009812FD"/>
    <w:rsid w:val="009813D5"/>
    <w:rsid w:val="009816C4"/>
    <w:rsid w:val="0098346B"/>
    <w:rsid w:val="00985A43"/>
    <w:rsid w:val="009860B9"/>
    <w:rsid w:val="00990B9A"/>
    <w:rsid w:val="00991165"/>
    <w:rsid w:val="00991306"/>
    <w:rsid w:val="00991FB7"/>
    <w:rsid w:val="00992060"/>
    <w:rsid w:val="009929EB"/>
    <w:rsid w:val="00992F75"/>
    <w:rsid w:val="00993080"/>
    <w:rsid w:val="00993543"/>
    <w:rsid w:val="00993B0E"/>
    <w:rsid w:val="00993B25"/>
    <w:rsid w:val="009940EE"/>
    <w:rsid w:val="0099413B"/>
    <w:rsid w:val="009941AE"/>
    <w:rsid w:val="009945AA"/>
    <w:rsid w:val="00994F4D"/>
    <w:rsid w:val="009958AC"/>
    <w:rsid w:val="00995936"/>
    <w:rsid w:val="00996BB4"/>
    <w:rsid w:val="009A0B3D"/>
    <w:rsid w:val="009A19F9"/>
    <w:rsid w:val="009A2199"/>
    <w:rsid w:val="009A26DA"/>
    <w:rsid w:val="009A3AEF"/>
    <w:rsid w:val="009A410B"/>
    <w:rsid w:val="009A5C27"/>
    <w:rsid w:val="009A5F5C"/>
    <w:rsid w:val="009A65CC"/>
    <w:rsid w:val="009A6776"/>
    <w:rsid w:val="009A7601"/>
    <w:rsid w:val="009B0412"/>
    <w:rsid w:val="009B05E8"/>
    <w:rsid w:val="009B0F84"/>
    <w:rsid w:val="009B2761"/>
    <w:rsid w:val="009B3428"/>
    <w:rsid w:val="009B37BD"/>
    <w:rsid w:val="009B3D86"/>
    <w:rsid w:val="009B4360"/>
    <w:rsid w:val="009B4E51"/>
    <w:rsid w:val="009B5DF4"/>
    <w:rsid w:val="009B735C"/>
    <w:rsid w:val="009B76C6"/>
    <w:rsid w:val="009C05BE"/>
    <w:rsid w:val="009C0D36"/>
    <w:rsid w:val="009C172B"/>
    <w:rsid w:val="009C18AE"/>
    <w:rsid w:val="009C1D95"/>
    <w:rsid w:val="009C2096"/>
    <w:rsid w:val="009C276A"/>
    <w:rsid w:val="009C3624"/>
    <w:rsid w:val="009C3A47"/>
    <w:rsid w:val="009C4922"/>
    <w:rsid w:val="009C58CA"/>
    <w:rsid w:val="009C5E0F"/>
    <w:rsid w:val="009C6DED"/>
    <w:rsid w:val="009C73C3"/>
    <w:rsid w:val="009C7B5D"/>
    <w:rsid w:val="009C7E54"/>
    <w:rsid w:val="009D21E6"/>
    <w:rsid w:val="009D2CED"/>
    <w:rsid w:val="009D38D0"/>
    <w:rsid w:val="009D396B"/>
    <w:rsid w:val="009D3BB9"/>
    <w:rsid w:val="009D3EBC"/>
    <w:rsid w:val="009D451B"/>
    <w:rsid w:val="009D4A51"/>
    <w:rsid w:val="009D54BF"/>
    <w:rsid w:val="009D6235"/>
    <w:rsid w:val="009D68C5"/>
    <w:rsid w:val="009D6B01"/>
    <w:rsid w:val="009E0547"/>
    <w:rsid w:val="009E087F"/>
    <w:rsid w:val="009E0ADF"/>
    <w:rsid w:val="009E0B56"/>
    <w:rsid w:val="009E0C9F"/>
    <w:rsid w:val="009E11AF"/>
    <w:rsid w:val="009E21FE"/>
    <w:rsid w:val="009E3BA3"/>
    <w:rsid w:val="009E55FE"/>
    <w:rsid w:val="009E6461"/>
    <w:rsid w:val="009E6669"/>
    <w:rsid w:val="009E6747"/>
    <w:rsid w:val="009F062F"/>
    <w:rsid w:val="009F2311"/>
    <w:rsid w:val="009F2575"/>
    <w:rsid w:val="009F25DB"/>
    <w:rsid w:val="009F449D"/>
    <w:rsid w:val="009F5C8D"/>
    <w:rsid w:val="009F6736"/>
    <w:rsid w:val="00A0041B"/>
    <w:rsid w:val="00A005FE"/>
    <w:rsid w:val="00A0084A"/>
    <w:rsid w:val="00A008B6"/>
    <w:rsid w:val="00A012B3"/>
    <w:rsid w:val="00A01F48"/>
    <w:rsid w:val="00A021A8"/>
    <w:rsid w:val="00A0272F"/>
    <w:rsid w:val="00A03209"/>
    <w:rsid w:val="00A05A59"/>
    <w:rsid w:val="00A06161"/>
    <w:rsid w:val="00A064E7"/>
    <w:rsid w:val="00A065C7"/>
    <w:rsid w:val="00A07942"/>
    <w:rsid w:val="00A103DD"/>
    <w:rsid w:val="00A10DD1"/>
    <w:rsid w:val="00A11645"/>
    <w:rsid w:val="00A11E52"/>
    <w:rsid w:val="00A1209C"/>
    <w:rsid w:val="00A12914"/>
    <w:rsid w:val="00A13870"/>
    <w:rsid w:val="00A13C47"/>
    <w:rsid w:val="00A14A82"/>
    <w:rsid w:val="00A15392"/>
    <w:rsid w:val="00A15511"/>
    <w:rsid w:val="00A15712"/>
    <w:rsid w:val="00A16290"/>
    <w:rsid w:val="00A16484"/>
    <w:rsid w:val="00A16626"/>
    <w:rsid w:val="00A223B5"/>
    <w:rsid w:val="00A2274F"/>
    <w:rsid w:val="00A234CB"/>
    <w:rsid w:val="00A235CA"/>
    <w:rsid w:val="00A235D3"/>
    <w:rsid w:val="00A2485F"/>
    <w:rsid w:val="00A257FC"/>
    <w:rsid w:val="00A301AA"/>
    <w:rsid w:val="00A30480"/>
    <w:rsid w:val="00A3049D"/>
    <w:rsid w:val="00A30E9C"/>
    <w:rsid w:val="00A32C7B"/>
    <w:rsid w:val="00A33128"/>
    <w:rsid w:val="00A35A71"/>
    <w:rsid w:val="00A35C38"/>
    <w:rsid w:val="00A36446"/>
    <w:rsid w:val="00A36D74"/>
    <w:rsid w:val="00A36EC6"/>
    <w:rsid w:val="00A37B99"/>
    <w:rsid w:val="00A4034A"/>
    <w:rsid w:val="00A4089B"/>
    <w:rsid w:val="00A41593"/>
    <w:rsid w:val="00A45695"/>
    <w:rsid w:val="00A45B7F"/>
    <w:rsid w:val="00A466F9"/>
    <w:rsid w:val="00A478C6"/>
    <w:rsid w:val="00A479A5"/>
    <w:rsid w:val="00A501EE"/>
    <w:rsid w:val="00A5044E"/>
    <w:rsid w:val="00A50493"/>
    <w:rsid w:val="00A506AC"/>
    <w:rsid w:val="00A50BEB"/>
    <w:rsid w:val="00A50E84"/>
    <w:rsid w:val="00A518FC"/>
    <w:rsid w:val="00A52E0A"/>
    <w:rsid w:val="00A53B30"/>
    <w:rsid w:val="00A56BC6"/>
    <w:rsid w:val="00A574A8"/>
    <w:rsid w:val="00A614C8"/>
    <w:rsid w:val="00A62ED0"/>
    <w:rsid w:val="00A63C89"/>
    <w:rsid w:val="00A65750"/>
    <w:rsid w:val="00A658BB"/>
    <w:rsid w:val="00A66D94"/>
    <w:rsid w:val="00A67372"/>
    <w:rsid w:val="00A6749B"/>
    <w:rsid w:val="00A701D3"/>
    <w:rsid w:val="00A70315"/>
    <w:rsid w:val="00A70A85"/>
    <w:rsid w:val="00A71909"/>
    <w:rsid w:val="00A7200E"/>
    <w:rsid w:val="00A7203A"/>
    <w:rsid w:val="00A724DC"/>
    <w:rsid w:val="00A73C59"/>
    <w:rsid w:val="00A752E0"/>
    <w:rsid w:val="00A75312"/>
    <w:rsid w:val="00A75544"/>
    <w:rsid w:val="00A759C8"/>
    <w:rsid w:val="00A75BAC"/>
    <w:rsid w:val="00A762C2"/>
    <w:rsid w:val="00A766DB"/>
    <w:rsid w:val="00A80423"/>
    <w:rsid w:val="00A8218B"/>
    <w:rsid w:val="00A841CF"/>
    <w:rsid w:val="00A8488C"/>
    <w:rsid w:val="00A84C55"/>
    <w:rsid w:val="00A854BA"/>
    <w:rsid w:val="00A86693"/>
    <w:rsid w:val="00A86D98"/>
    <w:rsid w:val="00A9012C"/>
    <w:rsid w:val="00A90667"/>
    <w:rsid w:val="00A90FC7"/>
    <w:rsid w:val="00A91F90"/>
    <w:rsid w:val="00A92946"/>
    <w:rsid w:val="00A9339E"/>
    <w:rsid w:val="00A9518C"/>
    <w:rsid w:val="00A95FA1"/>
    <w:rsid w:val="00A97107"/>
    <w:rsid w:val="00A97D2D"/>
    <w:rsid w:val="00AA060D"/>
    <w:rsid w:val="00AA07E5"/>
    <w:rsid w:val="00AA15A2"/>
    <w:rsid w:val="00AA2D2A"/>
    <w:rsid w:val="00AA3115"/>
    <w:rsid w:val="00AA365B"/>
    <w:rsid w:val="00AA4DBD"/>
    <w:rsid w:val="00AA5585"/>
    <w:rsid w:val="00AA6666"/>
    <w:rsid w:val="00AA67D9"/>
    <w:rsid w:val="00AA783E"/>
    <w:rsid w:val="00AB0B3C"/>
    <w:rsid w:val="00AB0C40"/>
    <w:rsid w:val="00AB2783"/>
    <w:rsid w:val="00AB3CE8"/>
    <w:rsid w:val="00AB3EAA"/>
    <w:rsid w:val="00AB44AA"/>
    <w:rsid w:val="00AB44B2"/>
    <w:rsid w:val="00AB472D"/>
    <w:rsid w:val="00AB4DE8"/>
    <w:rsid w:val="00AB5C1B"/>
    <w:rsid w:val="00AB6084"/>
    <w:rsid w:val="00AB659F"/>
    <w:rsid w:val="00AB6D7B"/>
    <w:rsid w:val="00AB6DF9"/>
    <w:rsid w:val="00AB6FFE"/>
    <w:rsid w:val="00AB73C0"/>
    <w:rsid w:val="00AB7893"/>
    <w:rsid w:val="00AC042E"/>
    <w:rsid w:val="00AC0BC2"/>
    <w:rsid w:val="00AC0ECB"/>
    <w:rsid w:val="00AC1436"/>
    <w:rsid w:val="00AC193A"/>
    <w:rsid w:val="00AC1EAC"/>
    <w:rsid w:val="00AC2400"/>
    <w:rsid w:val="00AC279D"/>
    <w:rsid w:val="00AC2C0D"/>
    <w:rsid w:val="00AC2E86"/>
    <w:rsid w:val="00AC365B"/>
    <w:rsid w:val="00AC4522"/>
    <w:rsid w:val="00AC4C57"/>
    <w:rsid w:val="00AC5510"/>
    <w:rsid w:val="00AC58B5"/>
    <w:rsid w:val="00AC6BE5"/>
    <w:rsid w:val="00AC6CC1"/>
    <w:rsid w:val="00AC6D17"/>
    <w:rsid w:val="00AC6D7A"/>
    <w:rsid w:val="00AC7AB7"/>
    <w:rsid w:val="00AC7C99"/>
    <w:rsid w:val="00AD1C1F"/>
    <w:rsid w:val="00AD26F4"/>
    <w:rsid w:val="00AD3679"/>
    <w:rsid w:val="00AD37D5"/>
    <w:rsid w:val="00AD43A1"/>
    <w:rsid w:val="00AD56D2"/>
    <w:rsid w:val="00AD6721"/>
    <w:rsid w:val="00AD6D61"/>
    <w:rsid w:val="00AD6F6B"/>
    <w:rsid w:val="00AD721F"/>
    <w:rsid w:val="00AD7985"/>
    <w:rsid w:val="00AE126B"/>
    <w:rsid w:val="00AE1757"/>
    <w:rsid w:val="00AE1811"/>
    <w:rsid w:val="00AE2237"/>
    <w:rsid w:val="00AE289B"/>
    <w:rsid w:val="00AE2B82"/>
    <w:rsid w:val="00AE326C"/>
    <w:rsid w:val="00AE3954"/>
    <w:rsid w:val="00AE3E63"/>
    <w:rsid w:val="00AE3EE7"/>
    <w:rsid w:val="00AE4CB8"/>
    <w:rsid w:val="00AE5602"/>
    <w:rsid w:val="00AE58D3"/>
    <w:rsid w:val="00AE5F1F"/>
    <w:rsid w:val="00AE61B5"/>
    <w:rsid w:val="00AE6E0E"/>
    <w:rsid w:val="00AE7332"/>
    <w:rsid w:val="00AF0B6E"/>
    <w:rsid w:val="00AF1CCD"/>
    <w:rsid w:val="00AF2888"/>
    <w:rsid w:val="00AF2C59"/>
    <w:rsid w:val="00AF3198"/>
    <w:rsid w:val="00AF3D2C"/>
    <w:rsid w:val="00AF41A0"/>
    <w:rsid w:val="00AF576F"/>
    <w:rsid w:val="00AF66DA"/>
    <w:rsid w:val="00AF69D4"/>
    <w:rsid w:val="00AF6AA4"/>
    <w:rsid w:val="00AF6D34"/>
    <w:rsid w:val="00AF7167"/>
    <w:rsid w:val="00B00E46"/>
    <w:rsid w:val="00B01AF8"/>
    <w:rsid w:val="00B02C39"/>
    <w:rsid w:val="00B04015"/>
    <w:rsid w:val="00B0467C"/>
    <w:rsid w:val="00B04DF0"/>
    <w:rsid w:val="00B06028"/>
    <w:rsid w:val="00B064D2"/>
    <w:rsid w:val="00B06536"/>
    <w:rsid w:val="00B06AC6"/>
    <w:rsid w:val="00B06B37"/>
    <w:rsid w:val="00B078A4"/>
    <w:rsid w:val="00B106BB"/>
    <w:rsid w:val="00B118BE"/>
    <w:rsid w:val="00B11EDC"/>
    <w:rsid w:val="00B125E7"/>
    <w:rsid w:val="00B13A31"/>
    <w:rsid w:val="00B13B53"/>
    <w:rsid w:val="00B15424"/>
    <w:rsid w:val="00B16070"/>
    <w:rsid w:val="00B1625B"/>
    <w:rsid w:val="00B16594"/>
    <w:rsid w:val="00B16A2E"/>
    <w:rsid w:val="00B1726E"/>
    <w:rsid w:val="00B20183"/>
    <w:rsid w:val="00B20918"/>
    <w:rsid w:val="00B20DE0"/>
    <w:rsid w:val="00B22299"/>
    <w:rsid w:val="00B23455"/>
    <w:rsid w:val="00B23EF7"/>
    <w:rsid w:val="00B243AB"/>
    <w:rsid w:val="00B25AA3"/>
    <w:rsid w:val="00B25C68"/>
    <w:rsid w:val="00B25D02"/>
    <w:rsid w:val="00B26346"/>
    <w:rsid w:val="00B27C9D"/>
    <w:rsid w:val="00B3102D"/>
    <w:rsid w:val="00B326F3"/>
    <w:rsid w:val="00B33524"/>
    <w:rsid w:val="00B33791"/>
    <w:rsid w:val="00B3439F"/>
    <w:rsid w:val="00B348E7"/>
    <w:rsid w:val="00B3584E"/>
    <w:rsid w:val="00B35DDB"/>
    <w:rsid w:val="00B35FDD"/>
    <w:rsid w:val="00B371AA"/>
    <w:rsid w:val="00B373B3"/>
    <w:rsid w:val="00B37A74"/>
    <w:rsid w:val="00B37BB7"/>
    <w:rsid w:val="00B37BCD"/>
    <w:rsid w:val="00B424AB"/>
    <w:rsid w:val="00B42853"/>
    <w:rsid w:val="00B44B37"/>
    <w:rsid w:val="00B44F9F"/>
    <w:rsid w:val="00B45524"/>
    <w:rsid w:val="00B46999"/>
    <w:rsid w:val="00B4709F"/>
    <w:rsid w:val="00B47157"/>
    <w:rsid w:val="00B47200"/>
    <w:rsid w:val="00B475F1"/>
    <w:rsid w:val="00B502AD"/>
    <w:rsid w:val="00B5037E"/>
    <w:rsid w:val="00B52941"/>
    <w:rsid w:val="00B5304E"/>
    <w:rsid w:val="00B539FA"/>
    <w:rsid w:val="00B543F6"/>
    <w:rsid w:val="00B54525"/>
    <w:rsid w:val="00B54B78"/>
    <w:rsid w:val="00B550D2"/>
    <w:rsid w:val="00B5579D"/>
    <w:rsid w:val="00B56100"/>
    <w:rsid w:val="00B6063F"/>
    <w:rsid w:val="00B60BDF"/>
    <w:rsid w:val="00B60E75"/>
    <w:rsid w:val="00B60EED"/>
    <w:rsid w:val="00B6237B"/>
    <w:rsid w:val="00B63709"/>
    <w:rsid w:val="00B6403A"/>
    <w:rsid w:val="00B645CD"/>
    <w:rsid w:val="00B647D9"/>
    <w:rsid w:val="00B65605"/>
    <w:rsid w:val="00B658FE"/>
    <w:rsid w:val="00B66539"/>
    <w:rsid w:val="00B66632"/>
    <w:rsid w:val="00B6680E"/>
    <w:rsid w:val="00B673D8"/>
    <w:rsid w:val="00B67436"/>
    <w:rsid w:val="00B708AF"/>
    <w:rsid w:val="00B71262"/>
    <w:rsid w:val="00B73014"/>
    <w:rsid w:val="00B740D5"/>
    <w:rsid w:val="00B746CD"/>
    <w:rsid w:val="00B747DF"/>
    <w:rsid w:val="00B7661F"/>
    <w:rsid w:val="00B76C21"/>
    <w:rsid w:val="00B76FE0"/>
    <w:rsid w:val="00B77108"/>
    <w:rsid w:val="00B80690"/>
    <w:rsid w:val="00B8175A"/>
    <w:rsid w:val="00B818E9"/>
    <w:rsid w:val="00B81A86"/>
    <w:rsid w:val="00B81E08"/>
    <w:rsid w:val="00B82350"/>
    <w:rsid w:val="00B83ACB"/>
    <w:rsid w:val="00B84377"/>
    <w:rsid w:val="00B84518"/>
    <w:rsid w:val="00B85627"/>
    <w:rsid w:val="00B85CC9"/>
    <w:rsid w:val="00B8617A"/>
    <w:rsid w:val="00B87554"/>
    <w:rsid w:val="00B87643"/>
    <w:rsid w:val="00B90BAF"/>
    <w:rsid w:val="00B90D14"/>
    <w:rsid w:val="00B926DC"/>
    <w:rsid w:val="00B93032"/>
    <w:rsid w:val="00B9322F"/>
    <w:rsid w:val="00B935B9"/>
    <w:rsid w:val="00B93718"/>
    <w:rsid w:val="00B959EE"/>
    <w:rsid w:val="00B95F41"/>
    <w:rsid w:val="00B9691A"/>
    <w:rsid w:val="00B96CC9"/>
    <w:rsid w:val="00B97DE2"/>
    <w:rsid w:val="00BA0058"/>
    <w:rsid w:val="00BA095C"/>
    <w:rsid w:val="00BA0D26"/>
    <w:rsid w:val="00BA23A1"/>
    <w:rsid w:val="00BA23BE"/>
    <w:rsid w:val="00BA266D"/>
    <w:rsid w:val="00BA3917"/>
    <w:rsid w:val="00BA4674"/>
    <w:rsid w:val="00BA4DF9"/>
    <w:rsid w:val="00BA576A"/>
    <w:rsid w:val="00BA62C5"/>
    <w:rsid w:val="00BA7E8A"/>
    <w:rsid w:val="00BB0826"/>
    <w:rsid w:val="00BB0FDB"/>
    <w:rsid w:val="00BB1700"/>
    <w:rsid w:val="00BB2A6D"/>
    <w:rsid w:val="00BB3376"/>
    <w:rsid w:val="00BB34F9"/>
    <w:rsid w:val="00BB38D1"/>
    <w:rsid w:val="00BB3EB4"/>
    <w:rsid w:val="00BB4FFF"/>
    <w:rsid w:val="00BB5820"/>
    <w:rsid w:val="00BB5CCE"/>
    <w:rsid w:val="00BB5D61"/>
    <w:rsid w:val="00BB6215"/>
    <w:rsid w:val="00BB6CAB"/>
    <w:rsid w:val="00BB7934"/>
    <w:rsid w:val="00BC1538"/>
    <w:rsid w:val="00BC1912"/>
    <w:rsid w:val="00BC1EAC"/>
    <w:rsid w:val="00BC254D"/>
    <w:rsid w:val="00BC3175"/>
    <w:rsid w:val="00BC3523"/>
    <w:rsid w:val="00BC42E9"/>
    <w:rsid w:val="00BC52CB"/>
    <w:rsid w:val="00BC654B"/>
    <w:rsid w:val="00BC6B43"/>
    <w:rsid w:val="00BC7CB8"/>
    <w:rsid w:val="00BC7DAF"/>
    <w:rsid w:val="00BD0BB9"/>
    <w:rsid w:val="00BD0D0A"/>
    <w:rsid w:val="00BD1890"/>
    <w:rsid w:val="00BD2D25"/>
    <w:rsid w:val="00BD3FC7"/>
    <w:rsid w:val="00BD513C"/>
    <w:rsid w:val="00BD5DC5"/>
    <w:rsid w:val="00BD5F31"/>
    <w:rsid w:val="00BD70AC"/>
    <w:rsid w:val="00BE01E9"/>
    <w:rsid w:val="00BE02B8"/>
    <w:rsid w:val="00BE0AAC"/>
    <w:rsid w:val="00BE373C"/>
    <w:rsid w:val="00BE39DB"/>
    <w:rsid w:val="00BE41B7"/>
    <w:rsid w:val="00BE5441"/>
    <w:rsid w:val="00BE6138"/>
    <w:rsid w:val="00BF02F6"/>
    <w:rsid w:val="00BF084F"/>
    <w:rsid w:val="00BF0EA0"/>
    <w:rsid w:val="00BF11C9"/>
    <w:rsid w:val="00BF1472"/>
    <w:rsid w:val="00BF1B75"/>
    <w:rsid w:val="00BF1C5C"/>
    <w:rsid w:val="00BF2FF9"/>
    <w:rsid w:val="00BF3937"/>
    <w:rsid w:val="00BF42CE"/>
    <w:rsid w:val="00BF56D5"/>
    <w:rsid w:val="00BF5865"/>
    <w:rsid w:val="00BF67C4"/>
    <w:rsid w:val="00BF68A0"/>
    <w:rsid w:val="00BF77A7"/>
    <w:rsid w:val="00BF7F9E"/>
    <w:rsid w:val="00C004C1"/>
    <w:rsid w:val="00C00B5D"/>
    <w:rsid w:val="00C00C20"/>
    <w:rsid w:val="00C00DFC"/>
    <w:rsid w:val="00C01736"/>
    <w:rsid w:val="00C01E27"/>
    <w:rsid w:val="00C02228"/>
    <w:rsid w:val="00C02307"/>
    <w:rsid w:val="00C02DAD"/>
    <w:rsid w:val="00C042DF"/>
    <w:rsid w:val="00C04FFC"/>
    <w:rsid w:val="00C06A20"/>
    <w:rsid w:val="00C079FE"/>
    <w:rsid w:val="00C07B8A"/>
    <w:rsid w:val="00C10778"/>
    <w:rsid w:val="00C10AD5"/>
    <w:rsid w:val="00C1304F"/>
    <w:rsid w:val="00C13B82"/>
    <w:rsid w:val="00C15A38"/>
    <w:rsid w:val="00C15CCC"/>
    <w:rsid w:val="00C1675A"/>
    <w:rsid w:val="00C1732A"/>
    <w:rsid w:val="00C17AEB"/>
    <w:rsid w:val="00C20029"/>
    <w:rsid w:val="00C2196F"/>
    <w:rsid w:val="00C21EE0"/>
    <w:rsid w:val="00C22F82"/>
    <w:rsid w:val="00C2428B"/>
    <w:rsid w:val="00C258B1"/>
    <w:rsid w:val="00C26B69"/>
    <w:rsid w:val="00C27046"/>
    <w:rsid w:val="00C277A8"/>
    <w:rsid w:val="00C27A54"/>
    <w:rsid w:val="00C32822"/>
    <w:rsid w:val="00C337A0"/>
    <w:rsid w:val="00C341A0"/>
    <w:rsid w:val="00C35900"/>
    <w:rsid w:val="00C3722B"/>
    <w:rsid w:val="00C4065D"/>
    <w:rsid w:val="00C4143B"/>
    <w:rsid w:val="00C46297"/>
    <w:rsid w:val="00C46A93"/>
    <w:rsid w:val="00C470F0"/>
    <w:rsid w:val="00C473EA"/>
    <w:rsid w:val="00C47F11"/>
    <w:rsid w:val="00C50260"/>
    <w:rsid w:val="00C509D1"/>
    <w:rsid w:val="00C514A1"/>
    <w:rsid w:val="00C516F8"/>
    <w:rsid w:val="00C528D1"/>
    <w:rsid w:val="00C52A57"/>
    <w:rsid w:val="00C52AE8"/>
    <w:rsid w:val="00C531DF"/>
    <w:rsid w:val="00C53C85"/>
    <w:rsid w:val="00C54BDB"/>
    <w:rsid w:val="00C55F17"/>
    <w:rsid w:val="00C56532"/>
    <w:rsid w:val="00C56ACF"/>
    <w:rsid w:val="00C571BC"/>
    <w:rsid w:val="00C57B8D"/>
    <w:rsid w:val="00C60807"/>
    <w:rsid w:val="00C60A1C"/>
    <w:rsid w:val="00C615DA"/>
    <w:rsid w:val="00C621A0"/>
    <w:rsid w:val="00C62AB8"/>
    <w:rsid w:val="00C62E86"/>
    <w:rsid w:val="00C6491C"/>
    <w:rsid w:val="00C64D1E"/>
    <w:rsid w:val="00C650F0"/>
    <w:rsid w:val="00C65542"/>
    <w:rsid w:val="00C65FF2"/>
    <w:rsid w:val="00C667F6"/>
    <w:rsid w:val="00C670F1"/>
    <w:rsid w:val="00C67FAC"/>
    <w:rsid w:val="00C70A22"/>
    <w:rsid w:val="00C70E62"/>
    <w:rsid w:val="00C71581"/>
    <w:rsid w:val="00C717C1"/>
    <w:rsid w:val="00C72511"/>
    <w:rsid w:val="00C725EA"/>
    <w:rsid w:val="00C7326D"/>
    <w:rsid w:val="00C738AF"/>
    <w:rsid w:val="00C73B6E"/>
    <w:rsid w:val="00C73D0C"/>
    <w:rsid w:val="00C7425A"/>
    <w:rsid w:val="00C7458A"/>
    <w:rsid w:val="00C74E02"/>
    <w:rsid w:val="00C74FE3"/>
    <w:rsid w:val="00C7506F"/>
    <w:rsid w:val="00C750AB"/>
    <w:rsid w:val="00C75486"/>
    <w:rsid w:val="00C75737"/>
    <w:rsid w:val="00C76181"/>
    <w:rsid w:val="00C764F3"/>
    <w:rsid w:val="00C767F0"/>
    <w:rsid w:val="00C7723B"/>
    <w:rsid w:val="00C803CF"/>
    <w:rsid w:val="00C818F2"/>
    <w:rsid w:val="00C81C56"/>
    <w:rsid w:val="00C82638"/>
    <w:rsid w:val="00C828E4"/>
    <w:rsid w:val="00C82C1A"/>
    <w:rsid w:val="00C840E3"/>
    <w:rsid w:val="00C8480F"/>
    <w:rsid w:val="00C852D6"/>
    <w:rsid w:val="00C8634A"/>
    <w:rsid w:val="00C86886"/>
    <w:rsid w:val="00C874B9"/>
    <w:rsid w:val="00C879B5"/>
    <w:rsid w:val="00C879F5"/>
    <w:rsid w:val="00C87D15"/>
    <w:rsid w:val="00C87F69"/>
    <w:rsid w:val="00C902D1"/>
    <w:rsid w:val="00C904CA"/>
    <w:rsid w:val="00C90EA0"/>
    <w:rsid w:val="00C91A02"/>
    <w:rsid w:val="00C91A32"/>
    <w:rsid w:val="00C92140"/>
    <w:rsid w:val="00C93A24"/>
    <w:rsid w:val="00C94685"/>
    <w:rsid w:val="00C94737"/>
    <w:rsid w:val="00C95582"/>
    <w:rsid w:val="00C9563C"/>
    <w:rsid w:val="00C957B9"/>
    <w:rsid w:val="00C9648D"/>
    <w:rsid w:val="00C96680"/>
    <w:rsid w:val="00C9723C"/>
    <w:rsid w:val="00CA26EF"/>
    <w:rsid w:val="00CA3E70"/>
    <w:rsid w:val="00CA3FBA"/>
    <w:rsid w:val="00CA42F9"/>
    <w:rsid w:val="00CA55FE"/>
    <w:rsid w:val="00CA647C"/>
    <w:rsid w:val="00CA6F0A"/>
    <w:rsid w:val="00CA720B"/>
    <w:rsid w:val="00CA7485"/>
    <w:rsid w:val="00CA7890"/>
    <w:rsid w:val="00CA7984"/>
    <w:rsid w:val="00CA7C71"/>
    <w:rsid w:val="00CB0A01"/>
    <w:rsid w:val="00CB22B1"/>
    <w:rsid w:val="00CB3159"/>
    <w:rsid w:val="00CB357E"/>
    <w:rsid w:val="00CB3642"/>
    <w:rsid w:val="00CB41A7"/>
    <w:rsid w:val="00CB4B35"/>
    <w:rsid w:val="00CB50BF"/>
    <w:rsid w:val="00CB52C8"/>
    <w:rsid w:val="00CB54A3"/>
    <w:rsid w:val="00CB5AD4"/>
    <w:rsid w:val="00CB5AF3"/>
    <w:rsid w:val="00CB70C8"/>
    <w:rsid w:val="00CC058C"/>
    <w:rsid w:val="00CC1169"/>
    <w:rsid w:val="00CC13AB"/>
    <w:rsid w:val="00CC1E7B"/>
    <w:rsid w:val="00CC211A"/>
    <w:rsid w:val="00CC30C9"/>
    <w:rsid w:val="00CC3800"/>
    <w:rsid w:val="00CC3E5A"/>
    <w:rsid w:val="00CC51CE"/>
    <w:rsid w:val="00CC54AC"/>
    <w:rsid w:val="00CC76BF"/>
    <w:rsid w:val="00CC78FD"/>
    <w:rsid w:val="00CD0750"/>
    <w:rsid w:val="00CD1B64"/>
    <w:rsid w:val="00CD2DA7"/>
    <w:rsid w:val="00CD43AB"/>
    <w:rsid w:val="00CD4AD6"/>
    <w:rsid w:val="00CD4B93"/>
    <w:rsid w:val="00CD50E8"/>
    <w:rsid w:val="00CD5180"/>
    <w:rsid w:val="00CD5E33"/>
    <w:rsid w:val="00CE009B"/>
    <w:rsid w:val="00CE04EA"/>
    <w:rsid w:val="00CE09AD"/>
    <w:rsid w:val="00CE146B"/>
    <w:rsid w:val="00CE2068"/>
    <w:rsid w:val="00CE36A3"/>
    <w:rsid w:val="00CE49AF"/>
    <w:rsid w:val="00CE5265"/>
    <w:rsid w:val="00CE52C4"/>
    <w:rsid w:val="00CE5377"/>
    <w:rsid w:val="00CE57B3"/>
    <w:rsid w:val="00CE5A7A"/>
    <w:rsid w:val="00CE64EB"/>
    <w:rsid w:val="00CE6DFA"/>
    <w:rsid w:val="00CE6F97"/>
    <w:rsid w:val="00CE7C5E"/>
    <w:rsid w:val="00CF0878"/>
    <w:rsid w:val="00CF1FA3"/>
    <w:rsid w:val="00CF30C0"/>
    <w:rsid w:val="00CF4145"/>
    <w:rsid w:val="00CF5447"/>
    <w:rsid w:val="00CF5619"/>
    <w:rsid w:val="00CF57AE"/>
    <w:rsid w:val="00CF58E7"/>
    <w:rsid w:val="00CF5FB4"/>
    <w:rsid w:val="00CF69DE"/>
    <w:rsid w:val="00CF6BE4"/>
    <w:rsid w:val="00D0077C"/>
    <w:rsid w:val="00D01DB2"/>
    <w:rsid w:val="00D01E01"/>
    <w:rsid w:val="00D02ED7"/>
    <w:rsid w:val="00D044AE"/>
    <w:rsid w:val="00D06C7B"/>
    <w:rsid w:val="00D07613"/>
    <w:rsid w:val="00D10853"/>
    <w:rsid w:val="00D1136B"/>
    <w:rsid w:val="00D11AD5"/>
    <w:rsid w:val="00D11CA6"/>
    <w:rsid w:val="00D11F90"/>
    <w:rsid w:val="00D12097"/>
    <w:rsid w:val="00D126D2"/>
    <w:rsid w:val="00D12A5D"/>
    <w:rsid w:val="00D12AC8"/>
    <w:rsid w:val="00D13AFE"/>
    <w:rsid w:val="00D143C4"/>
    <w:rsid w:val="00D149DA"/>
    <w:rsid w:val="00D14F94"/>
    <w:rsid w:val="00D15017"/>
    <w:rsid w:val="00D150D6"/>
    <w:rsid w:val="00D152C5"/>
    <w:rsid w:val="00D15B7E"/>
    <w:rsid w:val="00D15E86"/>
    <w:rsid w:val="00D16326"/>
    <w:rsid w:val="00D2068B"/>
    <w:rsid w:val="00D209F3"/>
    <w:rsid w:val="00D21257"/>
    <w:rsid w:val="00D2129C"/>
    <w:rsid w:val="00D21BE6"/>
    <w:rsid w:val="00D21CBC"/>
    <w:rsid w:val="00D21FBD"/>
    <w:rsid w:val="00D220C7"/>
    <w:rsid w:val="00D22538"/>
    <w:rsid w:val="00D2298C"/>
    <w:rsid w:val="00D22A2E"/>
    <w:rsid w:val="00D24312"/>
    <w:rsid w:val="00D24882"/>
    <w:rsid w:val="00D24FEC"/>
    <w:rsid w:val="00D2603A"/>
    <w:rsid w:val="00D26331"/>
    <w:rsid w:val="00D26EDD"/>
    <w:rsid w:val="00D26FCA"/>
    <w:rsid w:val="00D27C24"/>
    <w:rsid w:val="00D30566"/>
    <w:rsid w:val="00D30B59"/>
    <w:rsid w:val="00D30D38"/>
    <w:rsid w:val="00D327F0"/>
    <w:rsid w:val="00D33046"/>
    <w:rsid w:val="00D337BE"/>
    <w:rsid w:val="00D3390C"/>
    <w:rsid w:val="00D33AA5"/>
    <w:rsid w:val="00D34ABB"/>
    <w:rsid w:val="00D34EEF"/>
    <w:rsid w:val="00D3558F"/>
    <w:rsid w:val="00D3756D"/>
    <w:rsid w:val="00D40020"/>
    <w:rsid w:val="00D4020E"/>
    <w:rsid w:val="00D408CF"/>
    <w:rsid w:val="00D41961"/>
    <w:rsid w:val="00D437B1"/>
    <w:rsid w:val="00D45B32"/>
    <w:rsid w:val="00D47116"/>
    <w:rsid w:val="00D508CA"/>
    <w:rsid w:val="00D5097C"/>
    <w:rsid w:val="00D51338"/>
    <w:rsid w:val="00D51651"/>
    <w:rsid w:val="00D51A75"/>
    <w:rsid w:val="00D52E56"/>
    <w:rsid w:val="00D52EFB"/>
    <w:rsid w:val="00D55CF0"/>
    <w:rsid w:val="00D56B2C"/>
    <w:rsid w:val="00D56FBA"/>
    <w:rsid w:val="00D57408"/>
    <w:rsid w:val="00D57607"/>
    <w:rsid w:val="00D57EA5"/>
    <w:rsid w:val="00D6095A"/>
    <w:rsid w:val="00D60C00"/>
    <w:rsid w:val="00D62726"/>
    <w:rsid w:val="00D62BA5"/>
    <w:rsid w:val="00D65754"/>
    <w:rsid w:val="00D666CF"/>
    <w:rsid w:val="00D66749"/>
    <w:rsid w:val="00D6692B"/>
    <w:rsid w:val="00D6693A"/>
    <w:rsid w:val="00D66ED7"/>
    <w:rsid w:val="00D70FCE"/>
    <w:rsid w:val="00D7131B"/>
    <w:rsid w:val="00D73A81"/>
    <w:rsid w:val="00D73AFE"/>
    <w:rsid w:val="00D74F1B"/>
    <w:rsid w:val="00D75BA0"/>
    <w:rsid w:val="00D7611D"/>
    <w:rsid w:val="00D7762F"/>
    <w:rsid w:val="00D81003"/>
    <w:rsid w:val="00D81447"/>
    <w:rsid w:val="00D82813"/>
    <w:rsid w:val="00D82AC6"/>
    <w:rsid w:val="00D840CB"/>
    <w:rsid w:val="00D84F08"/>
    <w:rsid w:val="00D84F38"/>
    <w:rsid w:val="00D85699"/>
    <w:rsid w:val="00D85B2F"/>
    <w:rsid w:val="00D861A2"/>
    <w:rsid w:val="00D86C94"/>
    <w:rsid w:val="00D90FDA"/>
    <w:rsid w:val="00D917F9"/>
    <w:rsid w:val="00D92564"/>
    <w:rsid w:val="00D926FA"/>
    <w:rsid w:val="00D94457"/>
    <w:rsid w:val="00D95608"/>
    <w:rsid w:val="00D958C0"/>
    <w:rsid w:val="00D95D3A"/>
    <w:rsid w:val="00DA0133"/>
    <w:rsid w:val="00DA113B"/>
    <w:rsid w:val="00DA1220"/>
    <w:rsid w:val="00DA16F4"/>
    <w:rsid w:val="00DA223E"/>
    <w:rsid w:val="00DA2278"/>
    <w:rsid w:val="00DA271E"/>
    <w:rsid w:val="00DA2DBF"/>
    <w:rsid w:val="00DA313C"/>
    <w:rsid w:val="00DA46CB"/>
    <w:rsid w:val="00DA5140"/>
    <w:rsid w:val="00DA51FD"/>
    <w:rsid w:val="00DA539E"/>
    <w:rsid w:val="00DA5684"/>
    <w:rsid w:val="00DA5A72"/>
    <w:rsid w:val="00DA5F64"/>
    <w:rsid w:val="00DA6152"/>
    <w:rsid w:val="00DA63D1"/>
    <w:rsid w:val="00DA69B9"/>
    <w:rsid w:val="00DB0018"/>
    <w:rsid w:val="00DB02CD"/>
    <w:rsid w:val="00DB0428"/>
    <w:rsid w:val="00DB1B00"/>
    <w:rsid w:val="00DB1D68"/>
    <w:rsid w:val="00DB1EB5"/>
    <w:rsid w:val="00DB2967"/>
    <w:rsid w:val="00DB32C0"/>
    <w:rsid w:val="00DB3352"/>
    <w:rsid w:val="00DB3D02"/>
    <w:rsid w:val="00DB402F"/>
    <w:rsid w:val="00DB5DB2"/>
    <w:rsid w:val="00DB662A"/>
    <w:rsid w:val="00DB67CE"/>
    <w:rsid w:val="00DB69AF"/>
    <w:rsid w:val="00DB71B9"/>
    <w:rsid w:val="00DB7ED2"/>
    <w:rsid w:val="00DC09BB"/>
    <w:rsid w:val="00DC11C3"/>
    <w:rsid w:val="00DC17A2"/>
    <w:rsid w:val="00DC1D48"/>
    <w:rsid w:val="00DC1FA8"/>
    <w:rsid w:val="00DC2125"/>
    <w:rsid w:val="00DC2DC3"/>
    <w:rsid w:val="00DC5C40"/>
    <w:rsid w:val="00DC6164"/>
    <w:rsid w:val="00DC63C0"/>
    <w:rsid w:val="00DC6A7A"/>
    <w:rsid w:val="00DC6CF6"/>
    <w:rsid w:val="00DC7034"/>
    <w:rsid w:val="00DC75B2"/>
    <w:rsid w:val="00DC76F9"/>
    <w:rsid w:val="00DC7890"/>
    <w:rsid w:val="00DC7A68"/>
    <w:rsid w:val="00DD03CF"/>
    <w:rsid w:val="00DD2495"/>
    <w:rsid w:val="00DD3686"/>
    <w:rsid w:val="00DD378C"/>
    <w:rsid w:val="00DD3E88"/>
    <w:rsid w:val="00DD5114"/>
    <w:rsid w:val="00DD5248"/>
    <w:rsid w:val="00DD5479"/>
    <w:rsid w:val="00DD5F43"/>
    <w:rsid w:val="00DD707F"/>
    <w:rsid w:val="00DD78B2"/>
    <w:rsid w:val="00DD792D"/>
    <w:rsid w:val="00DE015B"/>
    <w:rsid w:val="00DE0C57"/>
    <w:rsid w:val="00DE1410"/>
    <w:rsid w:val="00DE26B7"/>
    <w:rsid w:val="00DE2E7A"/>
    <w:rsid w:val="00DE3492"/>
    <w:rsid w:val="00DE3946"/>
    <w:rsid w:val="00DE3CD1"/>
    <w:rsid w:val="00DE41EA"/>
    <w:rsid w:val="00DE6026"/>
    <w:rsid w:val="00DE6116"/>
    <w:rsid w:val="00DE6821"/>
    <w:rsid w:val="00DE6AF9"/>
    <w:rsid w:val="00DE6E27"/>
    <w:rsid w:val="00DE7739"/>
    <w:rsid w:val="00DF0396"/>
    <w:rsid w:val="00DF0888"/>
    <w:rsid w:val="00DF21D9"/>
    <w:rsid w:val="00DF23EF"/>
    <w:rsid w:val="00DF2C18"/>
    <w:rsid w:val="00DF3D79"/>
    <w:rsid w:val="00DF47EE"/>
    <w:rsid w:val="00DF502B"/>
    <w:rsid w:val="00DF54BB"/>
    <w:rsid w:val="00DF62E0"/>
    <w:rsid w:val="00DF7435"/>
    <w:rsid w:val="00DF7D77"/>
    <w:rsid w:val="00E00060"/>
    <w:rsid w:val="00E00431"/>
    <w:rsid w:val="00E00CC8"/>
    <w:rsid w:val="00E00E12"/>
    <w:rsid w:val="00E0376B"/>
    <w:rsid w:val="00E03F1F"/>
    <w:rsid w:val="00E04254"/>
    <w:rsid w:val="00E0594F"/>
    <w:rsid w:val="00E06166"/>
    <w:rsid w:val="00E06BE5"/>
    <w:rsid w:val="00E07795"/>
    <w:rsid w:val="00E07A3B"/>
    <w:rsid w:val="00E07FF6"/>
    <w:rsid w:val="00E10DF0"/>
    <w:rsid w:val="00E11F2A"/>
    <w:rsid w:val="00E125FC"/>
    <w:rsid w:val="00E1304B"/>
    <w:rsid w:val="00E147A0"/>
    <w:rsid w:val="00E201ED"/>
    <w:rsid w:val="00E21BC0"/>
    <w:rsid w:val="00E21C53"/>
    <w:rsid w:val="00E21CFC"/>
    <w:rsid w:val="00E21D16"/>
    <w:rsid w:val="00E227A8"/>
    <w:rsid w:val="00E23508"/>
    <w:rsid w:val="00E23E26"/>
    <w:rsid w:val="00E250D5"/>
    <w:rsid w:val="00E25958"/>
    <w:rsid w:val="00E25EB4"/>
    <w:rsid w:val="00E3048B"/>
    <w:rsid w:val="00E30FFE"/>
    <w:rsid w:val="00E3120A"/>
    <w:rsid w:val="00E319F1"/>
    <w:rsid w:val="00E31B70"/>
    <w:rsid w:val="00E3284A"/>
    <w:rsid w:val="00E32B86"/>
    <w:rsid w:val="00E32F8A"/>
    <w:rsid w:val="00E3450F"/>
    <w:rsid w:val="00E35150"/>
    <w:rsid w:val="00E35603"/>
    <w:rsid w:val="00E36441"/>
    <w:rsid w:val="00E40A55"/>
    <w:rsid w:val="00E40BD9"/>
    <w:rsid w:val="00E41A3C"/>
    <w:rsid w:val="00E427EA"/>
    <w:rsid w:val="00E42915"/>
    <w:rsid w:val="00E43501"/>
    <w:rsid w:val="00E445F3"/>
    <w:rsid w:val="00E45076"/>
    <w:rsid w:val="00E45EC6"/>
    <w:rsid w:val="00E47096"/>
    <w:rsid w:val="00E47297"/>
    <w:rsid w:val="00E47572"/>
    <w:rsid w:val="00E47746"/>
    <w:rsid w:val="00E47C0C"/>
    <w:rsid w:val="00E51017"/>
    <w:rsid w:val="00E512E5"/>
    <w:rsid w:val="00E51C05"/>
    <w:rsid w:val="00E51E7C"/>
    <w:rsid w:val="00E51FF3"/>
    <w:rsid w:val="00E520D4"/>
    <w:rsid w:val="00E52503"/>
    <w:rsid w:val="00E52EDE"/>
    <w:rsid w:val="00E5416C"/>
    <w:rsid w:val="00E54809"/>
    <w:rsid w:val="00E54EAC"/>
    <w:rsid w:val="00E551D1"/>
    <w:rsid w:val="00E5574E"/>
    <w:rsid w:val="00E56D72"/>
    <w:rsid w:val="00E60486"/>
    <w:rsid w:val="00E60783"/>
    <w:rsid w:val="00E619D0"/>
    <w:rsid w:val="00E635C3"/>
    <w:rsid w:val="00E63F62"/>
    <w:rsid w:val="00E64AD6"/>
    <w:rsid w:val="00E6584B"/>
    <w:rsid w:val="00E65BC7"/>
    <w:rsid w:val="00E6626C"/>
    <w:rsid w:val="00E663DA"/>
    <w:rsid w:val="00E663EC"/>
    <w:rsid w:val="00E66BAA"/>
    <w:rsid w:val="00E66E32"/>
    <w:rsid w:val="00E671D9"/>
    <w:rsid w:val="00E6777C"/>
    <w:rsid w:val="00E677BA"/>
    <w:rsid w:val="00E67A03"/>
    <w:rsid w:val="00E723C5"/>
    <w:rsid w:val="00E72584"/>
    <w:rsid w:val="00E72A21"/>
    <w:rsid w:val="00E73116"/>
    <w:rsid w:val="00E73369"/>
    <w:rsid w:val="00E741A2"/>
    <w:rsid w:val="00E7481D"/>
    <w:rsid w:val="00E76096"/>
    <w:rsid w:val="00E77ABA"/>
    <w:rsid w:val="00E77E24"/>
    <w:rsid w:val="00E81029"/>
    <w:rsid w:val="00E814F0"/>
    <w:rsid w:val="00E827B2"/>
    <w:rsid w:val="00E83678"/>
    <w:rsid w:val="00E84A19"/>
    <w:rsid w:val="00E84B9A"/>
    <w:rsid w:val="00E8694E"/>
    <w:rsid w:val="00E907C5"/>
    <w:rsid w:val="00E907EE"/>
    <w:rsid w:val="00E909E3"/>
    <w:rsid w:val="00E90EFD"/>
    <w:rsid w:val="00E911DB"/>
    <w:rsid w:val="00E91206"/>
    <w:rsid w:val="00E91283"/>
    <w:rsid w:val="00E91363"/>
    <w:rsid w:val="00E91FAD"/>
    <w:rsid w:val="00E93425"/>
    <w:rsid w:val="00E934D3"/>
    <w:rsid w:val="00E93A9C"/>
    <w:rsid w:val="00E93D79"/>
    <w:rsid w:val="00E93F6E"/>
    <w:rsid w:val="00E93FFC"/>
    <w:rsid w:val="00E948A2"/>
    <w:rsid w:val="00E95C23"/>
    <w:rsid w:val="00E96EF4"/>
    <w:rsid w:val="00E970B9"/>
    <w:rsid w:val="00E97543"/>
    <w:rsid w:val="00EA0910"/>
    <w:rsid w:val="00EA0B82"/>
    <w:rsid w:val="00EA0C58"/>
    <w:rsid w:val="00EA0CD7"/>
    <w:rsid w:val="00EA1B99"/>
    <w:rsid w:val="00EA1D7E"/>
    <w:rsid w:val="00EA1F5C"/>
    <w:rsid w:val="00EA1FD4"/>
    <w:rsid w:val="00EA2232"/>
    <w:rsid w:val="00EA2B23"/>
    <w:rsid w:val="00EA3514"/>
    <w:rsid w:val="00EA40C7"/>
    <w:rsid w:val="00EA436F"/>
    <w:rsid w:val="00EA51D0"/>
    <w:rsid w:val="00EA521D"/>
    <w:rsid w:val="00EA5559"/>
    <w:rsid w:val="00EA63B2"/>
    <w:rsid w:val="00EA7D35"/>
    <w:rsid w:val="00EB0493"/>
    <w:rsid w:val="00EB17AB"/>
    <w:rsid w:val="00EB1F0B"/>
    <w:rsid w:val="00EB2E69"/>
    <w:rsid w:val="00EB36BE"/>
    <w:rsid w:val="00EB4726"/>
    <w:rsid w:val="00EB536D"/>
    <w:rsid w:val="00EB72A8"/>
    <w:rsid w:val="00EC13FD"/>
    <w:rsid w:val="00EC16DC"/>
    <w:rsid w:val="00EC2624"/>
    <w:rsid w:val="00EC28CB"/>
    <w:rsid w:val="00EC34FE"/>
    <w:rsid w:val="00EC3D97"/>
    <w:rsid w:val="00EC3F1F"/>
    <w:rsid w:val="00EC4022"/>
    <w:rsid w:val="00EC4718"/>
    <w:rsid w:val="00EC5262"/>
    <w:rsid w:val="00EC5974"/>
    <w:rsid w:val="00EC636E"/>
    <w:rsid w:val="00EC6448"/>
    <w:rsid w:val="00EC7751"/>
    <w:rsid w:val="00EC7F4E"/>
    <w:rsid w:val="00ED0231"/>
    <w:rsid w:val="00ED02EF"/>
    <w:rsid w:val="00ED0831"/>
    <w:rsid w:val="00ED1C4A"/>
    <w:rsid w:val="00ED2254"/>
    <w:rsid w:val="00ED2C8D"/>
    <w:rsid w:val="00ED314B"/>
    <w:rsid w:val="00ED37D0"/>
    <w:rsid w:val="00ED439F"/>
    <w:rsid w:val="00ED526A"/>
    <w:rsid w:val="00ED55C0"/>
    <w:rsid w:val="00ED71D5"/>
    <w:rsid w:val="00ED74F5"/>
    <w:rsid w:val="00EE042C"/>
    <w:rsid w:val="00EE0913"/>
    <w:rsid w:val="00EE0A0B"/>
    <w:rsid w:val="00EE25D9"/>
    <w:rsid w:val="00EE2C59"/>
    <w:rsid w:val="00EE2E0D"/>
    <w:rsid w:val="00EE3C92"/>
    <w:rsid w:val="00EE3D95"/>
    <w:rsid w:val="00EE7E4F"/>
    <w:rsid w:val="00EF006C"/>
    <w:rsid w:val="00EF009D"/>
    <w:rsid w:val="00EF083D"/>
    <w:rsid w:val="00EF0962"/>
    <w:rsid w:val="00EF0F18"/>
    <w:rsid w:val="00EF209D"/>
    <w:rsid w:val="00EF233D"/>
    <w:rsid w:val="00EF26EA"/>
    <w:rsid w:val="00EF3590"/>
    <w:rsid w:val="00EF6277"/>
    <w:rsid w:val="00EF6FDB"/>
    <w:rsid w:val="00F00420"/>
    <w:rsid w:val="00F00E39"/>
    <w:rsid w:val="00F0127B"/>
    <w:rsid w:val="00F01B9E"/>
    <w:rsid w:val="00F0229E"/>
    <w:rsid w:val="00F0302D"/>
    <w:rsid w:val="00F03244"/>
    <w:rsid w:val="00F034BC"/>
    <w:rsid w:val="00F03FCD"/>
    <w:rsid w:val="00F05134"/>
    <w:rsid w:val="00F05BD3"/>
    <w:rsid w:val="00F0627D"/>
    <w:rsid w:val="00F06AF5"/>
    <w:rsid w:val="00F07C7C"/>
    <w:rsid w:val="00F07FE2"/>
    <w:rsid w:val="00F10903"/>
    <w:rsid w:val="00F117BC"/>
    <w:rsid w:val="00F11DCF"/>
    <w:rsid w:val="00F1248E"/>
    <w:rsid w:val="00F12BCB"/>
    <w:rsid w:val="00F14E40"/>
    <w:rsid w:val="00F1515F"/>
    <w:rsid w:val="00F15DDB"/>
    <w:rsid w:val="00F16098"/>
    <w:rsid w:val="00F16779"/>
    <w:rsid w:val="00F17131"/>
    <w:rsid w:val="00F20D61"/>
    <w:rsid w:val="00F21854"/>
    <w:rsid w:val="00F21EAD"/>
    <w:rsid w:val="00F24C39"/>
    <w:rsid w:val="00F24CA5"/>
    <w:rsid w:val="00F279A6"/>
    <w:rsid w:val="00F27B39"/>
    <w:rsid w:val="00F30812"/>
    <w:rsid w:val="00F30FB2"/>
    <w:rsid w:val="00F313CA"/>
    <w:rsid w:val="00F31A9A"/>
    <w:rsid w:val="00F32236"/>
    <w:rsid w:val="00F325C1"/>
    <w:rsid w:val="00F332C3"/>
    <w:rsid w:val="00F34A42"/>
    <w:rsid w:val="00F35074"/>
    <w:rsid w:val="00F35505"/>
    <w:rsid w:val="00F358AF"/>
    <w:rsid w:val="00F35AF8"/>
    <w:rsid w:val="00F35E29"/>
    <w:rsid w:val="00F36479"/>
    <w:rsid w:val="00F36BC3"/>
    <w:rsid w:val="00F36FB1"/>
    <w:rsid w:val="00F3715D"/>
    <w:rsid w:val="00F3729E"/>
    <w:rsid w:val="00F37A57"/>
    <w:rsid w:val="00F40263"/>
    <w:rsid w:val="00F40CAB"/>
    <w:rsid w:val="00F41740"/>
    <w:rsid w:val="00F417D4"/>
    <w:rsid w:val="00F41895"/>
    <w:rsid w:val="00F41AFC"/>
    <w:rsid w:val="00F41CFE"/>
    <w:rsid w:val="00F42D37"/>
    <w:rsid w:val="00F432FB"/>
    <w:rsid w:val="00F44B84"/>
    <w:rsid w:val="00F45144"/>
    <w:rsid w:val="00F45F42"/>
    <w:rsid w:val="00F47FF8"/>
    <w:rsid w:val="00F50A31"/>
    <w:rsid w:val="00F51C04"/>
    <w:rsid w:val="00F53111"/>
    <w:rsid w:val="00F53406"/>
    <w:rsid w:val="00F5395D"/>
    <w:rsid w:val="00F53A99"/>
    <w:rsid w:val="00F55983"/>
    <w:rsid w:val="00F55991"/>
    <w:rsid w:val="00F55E2C"/>
    <w:rsid w:val="00F56579"/>
    <w:rsid w:val="00F56887"/>
    <w:rsid w:val="00F620DD"/>
    <w:rsid w:val="00F623D8"/>
    <w:rsid w:val="00F6277C"/>
    <w:rsid w:val="00F647F9"/>
    <w:rsid w:val="00F64B62"/>
    <w:rsid w:val="00F661C7"/>
    <w:rsid w:val="00F66588"/>
    <w:rsid w:val="00F67FD8"/>
    <w:rsid w:val="00F70838"/>
    <w:rsid w:val="00F71D5C"/>
    <w:rsid w:val="00F71E7A"/>
    <w:rsid w:val="00F720C1"/>
    <w:rsid w:val="00F727AF"/>
    <w:rsid w:val="00F727FE"/>
    <w:rsid w:val="00F72B0B"/>
    <w:rsid w:val="00F72C8D"/>
    <w:rsid w:val="00F73D97"/>
    <w:rsid w:val="00F74D56"/>
    <w:rsid w:val="00F7593E"/>
    <w:rsid w:val="00F76078"/>
    <w:rsid w:val="00F760EB"/>
    <w:rsid w:val="00F76F9D"/>
    <w:rsid w:val="00F800B9"/>
    <w:rsid w:val="00F8076E"/>
    <w:rsid w:val="00F80B77"/>
    <w:rsid w:val="00F80FBC"/>
    <w:rsid w:val="00F8153F"/>
    <w:rsid w:val="00F8163A"/>
    <w:rsid w:val="00F81C9D"/>
    <w:rsid w:val="00F8208F"/>
    <w:rsid w:val="00F8218E"/>
    <w:rsid w:val="00F82F71"/>
    <w:rsid w:val="00F833DC"/>
    <w:rsid w:val="00F83F8F"/>
    <w:rsid w:val="00F840FB"/>
    <w:rsid w:val="00F862D0"/>
    <w:rsid w:val="00F86B60"/>
    <w:rsid w:val="00F87092"/>
    <w:rsid w:val="00F87A56"/>
    <w:rsid w:val="00F87CD7"/>
    <w:rsid w:val="00F87D5F"/>
    <w:rsid w:val="00F90760"/>
    <w:rsid w:val="00F91869"/>
    <w:rsid w:val="00F91CFE"/>
    <w:rsid w:val="00F9374F"/>
    <w:rsid w:val="00F93D8D"/>
    <w:rsid w:val="00F93E96"/>
    <w:rsid w:val="00F9525F"/>
    <w:rsid w:val="00F96269"/>
    <w:rsid w:val="00F968A3"/>
    <w:rsid w:val="00F96A2B"/>
    <w:rsid w:val="00FA0219"/>
    <w:rsid w:val="00FA1431"/>
    <w:rsid w:val="00FA1A82"/>
    <w:rsid w:val="00FA30A2"/>
    <w:rsid w:val="00FA389D"/>
    <w:rsid w:val="00FA3CCE"/>
    <w:rsid w:val="00FA5273"/>
    <w:rsid w:val="00FA5BFD"/>
    <w:rsid w:val="00FA5E36"/>
    <w:rsid w:val="00FA641D"/>
    <w:rsid w:val="00FA6F79"/>
    <w:rsid w:val="00FA71F0"/>
    <w:rsid w:val="00FB02FF"/>
    <w:rsid w:val="00FB0AF5"/>
    <w:rsid w:val="00FB25C5"/>
    <w:rsid w:val="00FB2C5B"/>
    <w:rsid w:val="00FB2FBC"/>
    <w:rsid w:val="00FB4813"/>
    <w:rsid w:val="00FB4AF7"/>
    <w:rsid w:val="00FB5965"/>
    <w:rsid w:val="00FB71AA"/>
    <w:rsid w:val="00FC01F5"/>
    <w:rsid w:val="00FC0E9A"/>
    <w:rsid w:val="00FC2426"/>
    <w:rsid w:val="00FC2723"/>
    <w:rsid w:val="00FC2D25"/>
    <w:rsid w:val="00FC30B1"/>
    <w:rsid w:val="00FC3259"/>
    <w:rsid w:val="00FC3DF3"/>
    <w:rsid w:val="00FC4084"/>
    <w:rsid w:val="00FC4453"/>
    <w:rsid w:val="00FC7687"/>
    <w:rsid w:val="00FC76D9"/>
    <w:rsid w:val="00FC7EC6"/>
    <w:rsid w:val="00FD0814"/>
    <w:rsid w:val="00FD248D"/>
    <w:rsid w:val="00FD285D"/>
    <w:rsid w:val="00FD332A"/>
    <w:rsid w:val="00FD33E5"/>
    <w:rsid w:val="00FD3840"/>
    <w:rsid w:val="00FD49DA"/>
    <w:rsid w:val="00FD4B20"/>
    <w:rsid w:val="00FD5589"/>
    <w:rsid w:val="00FD570A"/>
    <w:rsid w:val="00FD5847"/>
    <w:rsid w:val="00FD5E12"/>
    <w:rsid w:val="00FD656E"/>
    <w:rsid w:val="00FD7143"/>
    <w:rsid w:val="00FD7C4B"/>
    <w:rsid w:val="00FE0AF7"/>
    <w:rsid w:val="00FE0ECD"/>
    <w:rsid w:val="00FE1323"/>
    <w:rsid w:val="00FE1DB5"/>
    <w:rsid w:val="00FE1F5E"/>
    <w:rsid w:val="00FE26AD"/>
    <w:rsid w:val="00FE28BE"/>
    <w:rsid w:val="00FE3142"/>
    <w:rsid w:val="00FE3CB1"/>
    <w:rsid w:val="00FE4342"/>
    <w:rsid w:val="00FE52E2"/>
    <w:rsid w:val="00FE5F99"/>
    <w:rsid w:val="00FE63F3"/>
    <w:rsid w:val="00FE6A9A"/>
    <w:rsid w:val="00FE79C1"/>
    <w:rsid w:val="00FE7B87"/>
    <w:rsid w:val="00FF00E1"/>
    <w:rsid w:val="00FF0587"/>
    <w:rsid w:val="00FF1F49"/>
    <w:rsid w:val="00FF3335"/>
    <w:rsid w:val="00FF3C71"/>
    <w:rsid w:val="00FF3DEC"/>
    <w:rsid w:val="00FF47F6"/>
    <w:rsid w:val="00FF4A83"/>
    <w:rsid w:val="00FF52CF"/>
    <w:rsid w:val="00FF5CC9"/>
    <w:rsid w:val="00FF6D43"/>
    <w:rsid w:val="00FF73E8"/>
    <w:rsid w:val="00FF7CC0"/>
    <w:rsid w:val="01635FE7"/>
    <w:rsid w:val="016F637D"/>
    <w:rsid w:val="0180000E"/>
    <w:rsid w:val="01F076C8"/>
    <w:rsid w:val="022F6E3F"/>
    <w:rsid w:val="043929F2"/>
    <w:rsid w:val="05A25F04"/>
    <w:rsid w:val="06B122BF"/>
    <w:rsid w:val="07554B90"/>
    <w:rsid w:val="07BF1379"/>
    <w:rsid w:val="07DF5B1D"/>
    <w:rsid w:val="08A31CBC"/>
    <w:rsid w:val="09D05DEC"/>
    <w:rsid w:val="09F63639"/>
    <w:rsid w:val="0C231896"/>
    <w:rsid w:val="0CCC4F6A"/>
    <w:rsid w:val="10283414"/>
    <w:rsid w:val="11820132"/>
    <w:rsid w:val="11951C6C"/>
    <w:rsid w:val="11D108B4"/>
    <w:rsid w:val="11DC15A3"/>
    <w:rsid w:val="120E4283"/>
    <w:rsid w:val="12FE547B"/>
    <w:rsid w:val="13105CBE"/>
    <w:rsid w:val="13725B5C"/>
    <w:rsid w:val="13D4113C"/>
    <w:rsid w:val="1437337D"/>
    <w:rsid w:val="14C15224"/>
    <w:rsid w:val="151A2CC3"/>
    <w:rsid w:val="152B31F8"/>
    <w:rsid w:val="15D77075"/>
    <w:rsid w:val="162669D4"/>
    <w:rsid w:val="16B54D41"/>
    <w:rsid w:val="16C62AAA"/>
    <w:rsid w:val="16CE3A0D"/>
    <w:rsid w:val="17744A6A"/>
    <w:rsid w:val="17B369E0"/>
    <w:rsid w:val="180D4573"/>
    <w:rsid w:val="18AB5CBA"/>
    <w:rsid w:val="18DB1319"/>
    <w:rsid w:val="19174EF9"/>
    <w:rsid w:val="1AEA2059"/>
    <w:rsid w:val="1C9F3E88"/>
    <w:rsid w:val="1CD1367D"/>
    <w:rsid w:val="1D806D30"/>
    <w:rsid w:val="1DC1536C"/>
    <w:rsid w:val="1E58289A"/>
    <w:rsid w:val="1F191D04"/>
    <w:rsid w:val="20E241CE"/>
    <w:rsid w:val="226D27CD"/>
    <w:rsid w:val="235F1A86"/>
    <w:rsid w:val="2384659F"/>
    <w:rsid w:val="24263CBA"/>
    <w:rsid w:val="24CF7447"/>
    <w:rsid w:val="25D043BC"/>
    <w:rsid w:val="260B5C01"/>
    <w:rsid w:val="260F7586"/>
    <w:rsid w:val="261F4388"/>
    <w:rsid w:val="264045E2"/>
    <w:rsid w:val="2689550D"/>
    <w:rsid w:val="26A0199C"/>
    <w:rsid w:val="26AB0EC4"/>
    <w:rsid w:val="27696974"/>
    <w:rsid w:val="27CC56CF"/>
    <w:rsid w:val="28435462"/>
    <w:rsid w:val="29302639"/>
    <w:rsid w:val="29541305"/>
    <w:rsid w:val="29B64C00"/>
    <w:rsid w:val="2AD55E55"/>
    <w:rsid w:val="2AE67127"/>
    <w:rsid w:val="2B752FD7"/>
    <w:rsid w:val="2D3C2D65"/>
    <w:rsid w:val="2E652751"/>
    <w:rsid w:val="2EBF09CC"/>
    <w:rsid w:val="2F722E5B"/>
    <w:rsid w:val="2F8702E9"/>
    <w:rsid w:val="2F972F62"/>
    <w:rsid w:val="2FAF3271"/>
    <w:rsid w:val="2FB45DE0"/>
    <w:rsid w:val="2FE52C0C"/>
    <w:rsid w:val="3018437E"/>
    <w:rsid w:val="304D44B0"/>
    <w:rsid w:val="306A241D"/>
    <w:rsid w:val="31376F9A"/>
    <w:rsid w:val="329830F5"/>
    <w:rsid w:val="332E3A59"/>
    <w:rsid w:val="34667B96"/>
    <w:rsid w:val="3500432B"/>
    <w:rsid w:val="350D428B"/>
    <w:rsid w:val="36003D4E"/>
    <w:rsid w:val="365A31BB"/>
    <w:rsid w:val="367F3BE8"/>
    <w:rsid w:val="37B74EB3"/>
    <w:rsid w:val="3A20171F"/>
    <w:rsid w:val="3B427B7F"/>
    <w:rsid w:val="3B49488C"/>
    <w:rsid w:val="3C6C4FC1"/>
    <w:rsid w:val="3C914ACF"/>
    <w:rsid w:val="3D291B2A"/>
    <w:rsid w:val="3DF329A0"/>
    <w:rsid w:val="3DF645B9"/>
    <w:rsid w:val="3E94048C"/>
    <w:rsid w:val="3EC15781"/>
    <w:rsid w:val="3EF609D0"/>
    <w:rsid w:val="3F231C95"/>
    <w:rsid w:val="3FC74C91"/>
    <w:rsid w:val="407F1B73"/>
    <w:rsid w:val="41287911"/>
    <w:rsid w:val="417E1065"/>
    <w:rsid w:val="42421F01"/>
    <w:rsid w:val="4264449E"/>
    <w:rsid w:val="42F74956"/>
    <w:rsid w:val="436573A1"/>
    <w:rsid w:val="4475430E"/>
    <w:rsid w:val="45057032"/>
    <w:rsid w:val="45B545EF"/>
    <w:rsid w:val="45E7197B"/>
    <w:rsid w:val="47251314"/>
    <w:rsid w:val="48F153A5"/>
    <w:rsid w:val="4947221A"/>
    <w:rsid w:val="4A47326A"/>
    <w:rsid w:val="4A831809"/>
    <w:rsid w:val="4AB02478"/>
    <w:rsid w:val="4AE93077"/>
    <w:rsid w:val="4AFA5C20"/>
    <w:rsid w:val="4B782949"/>
    <w:rsid w:val="4BA86969"/>
    <w:rsid w:val="4BDD0A4C"/>
    <w:rsid w:val="4C001DFA"/>
    <w:rsid w:val="4D2E0515"/>
    <w:rsid w:val="4DD565A0"/>
    <w:rsid w:val="4E6D0F26"/>
    <w:rsid w:val="4F3A239D"/>
    <w:rsid w:val="501C6CBB"/>
    <w:rsid w:val="51172746"/>
    <w:rsid w:val="517F3852"/>
    <w:rsid w:val="5222222F"/>
    <w:rsid w:val="52960257"/>
    <w:rsid w:val="52E0574D"/>
    <w:rsid w:val="53211FCF"/>
    <w:rsid w:val="53E14797"/>
    <w:rsid w:val="53EC390E"/>
    <w:rsid w:val="54344051"/>
    <w:rsid w:val="559910C2"/>
    <w:rsid w:val="55BD7D96"/>
    <w:rsid w:val="55CF0BC5"/>
    <w:rsid w:val="55D6268C"/>
    <w:rsid w:val="55F50648"/>
    <w:rsid w:val="56B009DD"/>
    <w:rsid w:val="58535A60"/>
    <w:rsid w:val="58680439"/>
    <w:rsid w:val="58741C5A"/>
    <w:rsid w:val="58DC26CE"/>
    <w:rsid w:val="594A6F4C"/>
    <w:rsid w:val="599853C3"/>
    <w:rsid w:val="59ED08E0"/>
    <w:rsid w:val="5B067668"/>
    <w:rsid w:val="5B21158A"/>
    <w:rsid w:val="5B296A45"/>
    <w:rsid w:val="5B532983"/>
    <w:rsid w:val="5B897A39"/>
    <w:rsid w:val="5BB0596F"/>
    <w:rsid w:val="5CCC5500"/>
    <w:rsid w:val="5D6F3C5B"/>
    <w:rsid w:val="5EDC6BF2"/>
    <w:rsid w:val="5F18231B"/>
    <w:rsid w:val="60714CAF"/>
    <w:rsid w:val="60723523"/>
    <w:rsid w:val="6185567A"/>
    <w:rsid w:val="61A85346"/>
    <w:rsid w:val="61C6632C"/>
    <w:rsid w:val="62DC368C"/>
    <w:rsid w:val="6310415D"/>
    <w:rsid w:val="644308FF"/>
    <w:rsid w:val="6495790C"/>
    <w:rsid w:val="658D2E98"/>
    <w:rsid w:val="666E2F65"/>
    <w:rsid w:val="66A963B5"/>
    <w:rsid w:val="66BB2BE0"/>
    <w:rsid w:val="673958B7"/>
    <w:rsid w:val="67B652C8"/>
    <w:rsid w:val="68AC6647"/>
    <w:rsid w:val="68DA2FED"/>
    <w:rsid w:val="69065FBE"/>
    <w:rsid w:val="6A2A571F"/>
    <w:rsid w:val="6A64728A"/>
    <w:rsid w:val="6ACC3641"/>
    <w:rsid w:val="6BE425C0"/>
    <w:rsid w:val="6BF70848"/>
    <w:rsid w:val="6C5C6DD8"/>
    <w:rsid w:val="6CE566C7"/>
    <w:rsid w:val="6D4D7092"/>
    <w:rsid w:val="6EFF046E"/>
    <w:rsid w:val="7075522F"/>
    <w:rsid w:val="70980461"/>
    <w:rsid w:val="70A3788F"/>
    <w:rsid w:val="70AA2CE6"/>
    <w:rsid w:val="71746DAA"/>
    <w:rsid w:val="71876026"/>
    <w:rsid w:val="71C85B07"/>
    <w:rsid w:val="71E07B48"/>
    <w:rsid w:val="7231215E"/>
    <w:rsid w:val="724E7FC4"/>
    <w:rsid w:val="72D4487B"/>
    <w:rsid w:val="73694B50"/>
    <w:rsid w:val="75A84C46"/>
    <w:rsid w:val="76241F35"/>
    <w:rsid w:val="76F24A51"/>
    <w:rsid w:val="77006B5D"/>
    <w:rsid w:val="777B53DA"/>
    <w:rsid w:val="77D4039C"/>
    <w:rsid w:val="77DD3AED"/>
    <w:rsid w:val="77E40508"/>
    <w:rsid w:val="780821CF"/>
    <w:rsid w:val="78263735"/>
    <w:rsid w:val="78397F16"/>
    <w:rsid w:val="78834766"/>
    <w:rsid w:val="794D01A0"/>
    <w:rsid w:val="79BE7B03"/>
    <w:rsid w:val="7AC775E1"/>
    <w:rsid w:val="7B055CE0"/>
    <w:rsid w:val="7B10569F"/>
    <w:rsid w:val="7B8A37CF"/>
    <w:rsid w:val="7BEB3EB3"/>
    <w:rsid w:val="7C777E67"/>
    <w:rsid w:val="7C8D5540"/>
    <w:rsid w:val="7D7934B9"/>
    <w:rsid w:val="7E5107C6"/>
    <w:rsid w:val="7E88183C"/>
    <w:rsid w:val="7EC568B4"/>
    <w:rsid w:val="7EF13CB2"/>
    <w:rsid w:val="7F471A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weight="1.25pt" color="#739CC3"/>
    </o:shapedefaults>
    <o:shapelayout v:ext="edit">
      <o:idmap v:ext="edit" data="1"/>
      <o:rules v:ext="edit">
        <o:r id="V:Rule1" type="connector" idref="#Straight Connector 2"/>
        <o:r id="V:Rule2" type="connector" idref="#Straight Connector 4"/>
        <o:r id="V:Rule3" type="connector" idref="#Straight Connector 5"/>
        <o:r id="V:Rule4" type="connector" idref="#Straight Connector 3"/>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iPriority="99" w:semiHidden="0" w:name="header"/>
    <w:lsdException w:qFormat="1"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qFormat="1"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9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link w:val="24"/>
    <w:qFormat/>
    <w:uiPriority w:val="9"/>
    <w:pPr>
      <w:widowControl/>
      <w:spacing w:before="100" w:beforeAutospacing="1" w:after="100" w:afterAutospacing="1"/>
      <w:jc w:val="left"/>
      <w:outlineLvl w:val="1"/>
    </w:pPr>
    <w:rPr>
      <w:rFonts w:ascii="宋体" w:hAnsi="宋体" w:cs="宋体"/>
      <w:kern w:val="0"/>
      <w:sz w:val="36"/>
      <w:szCs w:val="36"/>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paragraph" w:styleId="5">
    <w:name w:val="heading 4"/>
    <w:basedOn w:val="1"/>
    <w:next w:val="1"/>
    <w:link w:val="25"/>
    <w:qFormat/>
    <w:uiPriority w:val="9"/>
    <w:pPr>
      <w:widowControl/>
      <w:spacing w:before="100" w:beforeAutospacing="1" w:after="100" w:afterAutospacing="1"/>
      <w:jc w:val="left"/>
      <w:outlineLvl w:val="3"/>
    </w:pPr>
    <w:rPr>
      <w:rFonts w:ascii="宋体" w:hAnsi="宋体" w:cs="宋体"/>
      <w:kern w:val="0"/>
      <w:sz w:val="24"/>
      <w:szCs w:val="24"/>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35"/>
    <w:semiHidden/>
    <w:unhideWhenUsed/>
    <w:qFormat/>
    <w:uiPriority w:val="0"/>
    <w:pPr>
      <w:ind w:left="100" w:leftChars="2500"/>
    </w:pPr>
  </w:style>
  <w:style w:type="paragraph" w:styleId="7">
    <w:name w:val="Balloon Text"/>
    <w:basedOn w:val="1"/>
    <w:link w:val="17"/>
    <w:unhideWhenUsed/>
    <w:qFormat/>
    <w:uiPriority w:val="99"/>
    <w:rPr>
      <w:sz w:val="18"/>
      <w:szCs w:val="18"/>
    </w:rPr>
  </w:style>
  <w:style w:type="paragraph" w:styleId="8">
    <w:name w:val="footer"/>
    <w:basedOn w:val="1"/>
    <w:link w:val="19"/>
    <w:unhideWhenUsed/>
    <w:qFormat/>
    <w:uiPriority w:val="99"/>
    <w:pPr>
      <w:tabs>
        <w:tab w:val="center" w:pos="4153"/>
        <w:tab w:val="right" w:pos="8306"/>
      </w:tabs>
      <w:snapToGrid w:val="0"/>
      <w:jc w:val="left"/>
    </w:pPr>
    <w:rPr>
      <w:sz w:val="18"/>
      <w:szCs w:val="18"/>
    </w:rPr>
  </w:style>
  <w:style w:type="paragraph" w:styleId="9">
    <w:name w:val="header"/>
    <w:basedOn w:val="1"/>
    <w:link w:val="18"/>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table" w:styleId="12">
    <w:name w:val="Table Grid"/>
    <w:basedOn w:val="11"/>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4">
    <w:name w:val="Strong"/>
    <w:basedOn w:val="13"/>
    <w:qFormat/>
    <w:uiPriority w:val="22"/>
    <w:rPr>
      <w:b/>
      <w:bCs/>
    </w:rPr>
  </w:style>
  <w:style w:type="character" w:styleId="15">
    <w:name w:val="Emphasis"/>
    <w:basedOn w:val="13"/>
    <w:qFormat/>
    <w:uiPriority w:val="20"/>
    <w:rPr>
      <w:i/>
      <w:iCs/>
    </w:rPr>
  </w:style>
  <w:style w:type="character" w:styleId="16">
    <w:name w:val="Hyperlink"/>
    <w:basedOn w:val="13"/>
    <w:unhideWhenUsed/>
    <w:qFormat/>
    <w:uiPriority w:val="99"/>
    <w:rPr>
      <w:color w:val="0000FF"/>
      <w:u w:val="single"/>
    </w:rPr>
  </w:style>
  <w:style w:type="character" w:customStyle="1" w:styleId="17">
    <w:name w:val="批注框文本 Char"/>
    <w:basedOn w:val="13"/>
    <w:link w:val="7"/>
    <w:semiHidden/>
    <w:qFormat/>
    <w:uiPriority w:val="99"/>
    <w:rPr>
      <w:sz w:val="18"/>
      <w:szCs w:val="18"/>
    </w:rPr>
  </w:style>
  <w:style w:type="character" w:customStyle="1" w:styleId="18">
    <w:name w:val="页眉 Char"/>
    <w:basedOn w:val="13"/>
    <w:link w:val="9"/>
    <w:semiHidden/>
    <w:qFormat/>
    <w:uiPriority w:val="99"/>
    <w:rPr>
      <w:sz w:val="18"/>
      <w:szCs w:val="18"/>
    </w:rPr>
  </w:style>
  <w:style w:type="character" w:customStyle="1" w:styleId="19">
    <w:name w:val="页脚 Char"/>
    <w:basedOn w:val="13"/>
    <w:link w:val="8"/>
    <w:qFormat/>
    <w:uiPriority w:val="99"/>
    <w:rPr>
      <w:sz w:val="18"/>
      <w:szCs w:val="18"/>
    </w:rPr>
  </w:style>
  <w:style w:type="paragraph" w:styleId="20">
    <w:name w:val="No Spacing"/>
    <w:link w:val="21"/>
    <w:qFormat/>
    <w:uiPriority w:val="1"/>
    <w:rPr>
      <w:rFonts w:asciiTheme="minorHAnsi" w:hAnsiTheme="minorHAnsi" w:eastAsiaTheme="minorEastAsia" w:cstheme="minorBidi"/>
      <w:sz w:val="22"/>
      <w:szCs w:val="22"/>
      <w:lang w:val="en-US" w:eastAsia="zh-CN" w:bidi="ar-SA"/>
    </w:rPr>
  </w:style>
  <w:style w:type="character" w:customStyle="1" w:styleId="21">
    <w:name w:val="无间隔 Char"/>
    <w:basedOn w:val="13"/>
    <w:link w:val="20"/>
    <w:qFormat/>
    <w:uiPriority w:val="1"/>
    <w:rPr>
      <w:rFonts w:asciiTheme="minorHAnsi" w:hAnsiTheme="minorHAnsi" w:eastAsiaTheme="minorEastAsia" w:cstheme="minorBidi"/>
      <w:sz w:val="22"/>
      <w:szCs w:val="22"/>
    </w:rPr>
  </w:style>
  <w:style w:type="paragraph" w:styleId="22">
    <w:name w:val="List Paragraph"/>
    <w:basedOn w:val="1"/>
    <w:unhideWhenUsed/>
    <w:qFormat/>
    <w:uiPriority w:val="34"/>
    <w:pPr>
      <w:ind w:firstLine="420" w:firstLineChars="200"/>
    </w:pPr>
  </w:style>
  <w:style w:type="paragraph" w:customStyle="1" w:styleId="23">
    <w:name w:val="cont-summary"/>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24">
    <w:name w:val="标题 2 Char"/>
    <w:basedOn w:val="13"/>
    <w:link w:val="3"/>
    <w:qFormat/>
    <w:uiPriority w:val="9"/>
    <w:rPr>
      <w:rFonts w:ascii="宋体" w:hAnsi="宋体" w:cs="宋体"/>
      <w:sz w:val="36"/>
      <w:szCs w:val="36"/>
    </w:rPr>
  </w:style>
  <w:style w:type="character" w:customStyle="1" w:styleId="25">
    <w:name w:val="标题 4 Char"/>
    <w:basedOn w:val="13"/>
    <w:link w:val="5"/>
    <w:qFormat/>
    <w:uiPriority w:val="9"/>
    <w:rPr>
      <w:rFonts w:ascii="宋体" w:hAnsi="宋体" w:cs="宋体"/>
      <w:sz w:val="24"/>
      <w:szCs w:val="24"/>
    </w:rPr>
  </w:style>
  <w:style w:type="paragraph" w:customStyle="1" w:styleId="26">
    <w:name w:val="summary"/>
    <w:basedOn w:val="1"/>
    <w:qFormat/>
    <w:uiPriority w:val="0"/>
    <w:pPr>
      <w:widowControl/>
      <w:spacing w:before="100" w:beforeAutospacing="1" w:after="480" w:line="375" w:lineRule="atLeast"/>
      <w:jc w:val="left"/>
    </w:pPr>
    <w:rPr>
      <w:rFonts w:ascii="宋体" w:hAnsi="宋体" w:cs="宋体"/>
      <w:kern w:val="0"/>
      <w:sz w:val="24"/>
      <w:szCs w:val="24"/>
    </w:rPr>
  </w:style>
  <w:style w:type="character" w:customStyle="1" w:styleId="27">
    <w:name w:val="articlel"/>
    <w:basedOn w:val="13"/>
    <w:qFormat/>
    <w:uiPriority w:val="0"/>
  </w:style>
  <w:style w:type="character" w:customStyle="1" w:styleId="28">
    <w:name w:val="articler"/>
    <w:basedOn w:val="13"/>
    <w:qFormat/>
    <w:uiPriority w:val="0"/>
  </w:style>
  <w:style w:type="paragraph" w:customStyle="1" w:styleId="29">
    <w:name w:val="profile_meta"/>
    <w:basedOn w:val="1"/>
    <w:qFormat/>
    <w:uiPriority w:val="0"/>
    <w:pPr>
      <w:widowControl/>
      <w:spacing w:before="75" w:after="100" w:afterAutospacing="1"/>
      <w:jc w:val="left"/>
    </w:pPr>
    <w:rPr>
      <w:rFonts w:ascii="宋体" w:hAnsi="宋体" w:cs="宋体"/>
      <w:kern w:val="0"/>
      <w:sz w:val="24"/>
      <w:szCs w:val="24"/>
    </w:rPr>
  </w:style>
  <w:style w:type="character" w:customStyle="1" w:styleId="30">
    <w:name w:val="rich_media_meta1"/>
    <w:basedOn w:val="13"/>
    <w:qFormat/>
    <w:uiPriority w:val="0"/>
    <w:rPr>
      <w:sz w:val="24"/>
      <w:szCs w:val="24"/>
    </w:rPr>
  </w:style>
  <w:style w:type="character" w:customStyle="1" w:styleId="31">
    <w:name w:val="profile_meta_value1"/>
    <w:basedOn w:val="13"/>
    <w:qFormat/>
    <w:uiPriority w:val="0"/>
    <w:rPr>
      <w:color w:val="ADADAD"/>
    </w:rPr>
  </w:style>
  <w:style w:type="character" w:customStyle="1" w:styleId="32">
    <w:name w:val="apple-converted-space"/>
    <w:basedOn w:val="13"/>
    <w:qFormat/>
    <w:uiPriority w:val="0"/>
  </w:style>
  <w:style w:type="character" w:customStyle="1" w:styleId="33">
    <w:name w:val="rich_media_meta"/>
    <w:basedOn w:val="13"/>
    <w:qFormat/>
    <w:uiPriority w:val="0"/>
  </w:style>
  <w:style w:type="character" w:customStyle="1" w:styleId="34">
    <w:name w:val="blue"/>
    <w:basedOn w:val="13"/>
    <w:qFormat/>
    <w:uiPriority w:val="0"/>
  </w:style>
  <w:style w:type="character" w:customStyle="1" w:styleId="35">
    <w:name w:val="日期 Char"/>
    <w:basedOn w:val="13"/>
    <w:link w:val="6"/>
    <w:semiHidden/>
    <w:qFormat/>
    <w:uiPriority w:val="0"/>
    <w:rPr>
      <w:rFonts w:ascii="Calibri" w:hAnsi="Calibri"/>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33"/>
    <customShpInfo spid="_x0000_s1026"/>
    <customShpInfo spid="_x0000_s1032"/>
    <customShpInfo spid="_x0000_s1027"/>
    <customShpInfo spid="_x0000_s1031"/>
    <customShpInfo spid="_x0000_s1028"/>
    <customShpInfo spid="_x0000_s1029"/>
    <customShpInfo spid="_x0000_s1030"/>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2A45B3-66E2-4338-8F19-4FCD87919FD5}">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46</Pages>
  <Words>12596</Words>
  <Characters>13567</Characters>
  <Lines>1</Lines>
  <Paragraphs>1</Paragraphs>
  <TotalTime>8</TotalTime>
  <ScaleCrop>false</ScaleCrop>
  <LinksUpToDate>false</LinksUpToDate>
  <CharactersWithSpaces>13872</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2018-04-26T07:53:00Z</dcterms:created>
  <dc:creator>FtpDown</dc:creator>
  <cp:lastModifiedBy>王麒懿</cp:lastModifiedBy>
  <cp:lastPrinted>2018-09-29T05:55:00Z</cp:lastPrinted>
  <dcterms:modified xsi:type="dcterms:W3CDTF">2023-02-02T04:36:47Z</dcterms:modified>
  <dc:subject>2015年7月29日</dc:subject>
  <dc:title>2015年第一期</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7EB6DB202D15400ABD3B585EBF018C2B</vt:lpwstr>
  </property>
</Properties>
</file>