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id w:val="11921172"/>
      </w:sdtPr>
      <w:sdtContent>
        <w:p>
          <w:r>
            <w:drawing>
              <wp:anchor distT="0" distB="0" distL="114300" distR="114300" simplePos="0" relativeHeight="251659264" behindDoc="1" locked="0" layoutInCell="1" allowOverlap="1">
                <wp:simplePos x="0" y="0"/>
                <wp:positionH relativeFrom="column">
                  <wp:posOffset>-1188720</wp:posOffset>
                </wp:positionH>
                <wp:positionV relativeFrom="paragraph">
                  <wp:posOffset>-914400</wp:posOffset>
                </wp:positionV>
                <wp:extent cx="7686675" cy="10873105"/>
                <wp:effectExtent l="0" t="0" r="0" b="0"/>
                <wp:wrapNone/>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a:xfrm>
                          <a:off x="0" y="0"/>
                          <a:ext cx="7686674" cy="10872925"/>
                        </a:xfrm>
                        <a:prstGeom prst="rect">
                          <a:avLst/>
                        </a:prstGeom>
                        <a:noFill/>
                        <a:ln w="9525">
                          <a:noFill/>
                          <a:miter lim="800000"/>
                          <a:headEnd/>
                          <a:tailEnd/>
                        </a:ln>
                      </pic:spPr>
                    </pic:pic>
                  </a:graphicData>
                </a:graphic>
              </wp:anchor>
            </w:drawing>
          </w:r>
        </w:p>
        <w:p/>
        <w:tbl>
          <w:tblPr>
            <w:tblStyle w:val="10"/>
            <w:tblpPr w:leftFromText="187" w:rightFromText="187" w:horzAnchor="margin" w:tblpXSpec="center" w:tblpYSpec="bottom"/>
            <w:tblW w:w="4000" w:type="pct"/>
            <w:tblInd w:w="0" w:type="dxa"/>
            <w:tblLayout w:type="autofit"/>
            <w:tblCellMar>
              <w:top w:w="0" w:type="dxa"/>
              <w:left w:w="108" w:type="dxa"/>
              <w:bottom w:w="0" w:type="dxa"/>
              <w:right w:w="108" w:type="dxa"/>
            </w:tblCellMar>
          </w:tblPr>
          <w:tblGrid>
            <w:gridCol w:w="6834"/>
          </w:tblGrid>
          <w:tr>
            <w:tblPrEx>
              <w:tblCellMar>
                <w:top w:w="0" w:type="dxa"/>
                <w:left w:w="108" w:type="dxa"/>
                <w:bottom w:w="0" w:type="dxa"/>
                <w:right w:w="108" w:type="dxa"/>
              </w:tblCellMar>
            </w:tblPrEx>
            <w:tc>
              <w:tcPr>
                <w:tcW w:w="7672" w:type="dxa"/>
                <w:tcMar>
                  <w:top w:w="216" w:type="dxa"/>
                  <w:left w:w="115" w:type="dxa"/>
                  <w:bottom w:w="216" w:type="dxa"/>
                  <w:right w:w="115" w:type="dxa"/>
                </w:tcMar>
              </w:tcPr>
              <w:p>
                <w:pPr>
                  <w:pStyle w:val="19"/>
                  <w:rPr>
                    <w:color w:val="4F81BD" w:themeColor="accent1"/>
                    <w14:textFill>
                      <w14:solidFill>
                        <w14:schemeClr w14:val="accent1"/>
                      </w14:solidFill>
                    </w14:textFill>
                  </w:rPr>
                </w:pPr>
              </w:p>
            </w:tc>
          </w:tr>
        </w:tbl>
        <w:p/>
        <w:p/>
        <w:p/>
        <w:p/>
        <w:p>
          <w:r>
            <w:rPr>
              <w:rFonts w:hint="eastAsia"/>
            </w:rPr>
            <w:t xml:space="preserve">   </w:t>
          </w:r>
        </w:p>
        <w:p/>
        <w:p/>
        <w:p/>
        <w:p/>
        <w:p/>
        <w:p/>
        <w:p/>
        <w:p/>
        <w:p>
          <w:pPr>
            <w:tabs>
              <w:tab w:val="left" w:pos="7050"/>
            </w:tabs>
          </w:pPr>
          <w:r>
            <w:tab/>
          </w:r>
        </w:p>
        <w:p/>
        <w:p/>
        <w:p/>
        <w:p/>
        <w:p>
          <w:pPr>
            <w:jc w:val="center"/>
            <w:rPr>
              <w:rFonts w:ascii="Heiti SC Light" w:eastAsia="Heiti SC Light"/>
              <w:color w:val="FFFFFF"/>
              <w:sz w:val="32"/>
              <w:szCs w:val="32"/>
            </w:rPr>
          </w:pPr>
          <w:r>
            <w:rPr>
              <w:rFonts w:hint="eastAsia" w:ascii="Heiti SC Light" w:eastAsia="Heiti SC Light"/>
              <w:color w:val="FFFFFF"/>
              <w:sz w:val="32"/>
              <w:szCs w:val="32"/>
            </w:rPr>
            <w:t>（2023年第2期） 2023年2月27日</w:t>
          </w:r>
        </w:p>
        <w:p/>
        <w:p/>
        <w:p/>
        <w:p/>
        <w:p/>
        <w:p>
          <w:r>
            <w:rPr>
              <w:rFonts w:hint="eastAsia"/>
            </w:rPr>
            <w:t xml:space="preserve"> </w:t>
          </w:r>
        </w:p>
        <w:p/>
        <w:p/>
        <w:p/>
        <w:p/>
        <w:p/>
        <w:p/>
        <w:p/>
        <w:p/>
        <w:p/>
        <w:p/>
        <w:p/>
        <w:p/>
        <w:p>
          <w:pPr>
            <w:tabs>
              <w:tab w:val="left" w:pos="5245"/>
            </w:tabs>
          </w:pPr>
        </w:p>
        <w:p>
          <w:pPr>
            <w:tabs>
              <w:tab w:val="left" w:pos="5245"/>
            </w:tabs>
          </w:pPr>
        </w:p>
        <w:p>
          <w:pPr>
            <w:widowControl/>
            <w:tabs>
              <w:tab w:val="left" w:pos="5245"/>
            </w:tabs>
            <w:jc w:val="left"/>
          </w:pPr>
        </w:p>
        <w:p>
          <w:pPr>
            <w:widowControl/>
            <w:tabs>
              <w:tab w:val="left" w:pos="5245"/>
            </w:tabs>
            <w:jc w:val="left"/>
          </w:pPr>
        </w:p>
        <w:p>
          <w:pPr>
            <w:widowControl/>
            <w:tabs>
              <w:tab w:val="left" w:pos="5245"/>
            </w:tabs>
            <w:jc w:val="left"/>
          </w:pPr>
        </w:p>
      </w:sdtContent>
    </w:sdt>
    <w:p>
      <w:pPr>
        <w:tabs>
          <w:tab w:val="left" w:pos="5245"/>
        </w:tabs>
      </w:pPr>
      <w:r>
        <mc:AlternateContent>
          <mc:Choice Requires="wps">
            <w:drawing>
              <wp:anchor distT="0" distB="0" distL="114300" distR="114300" simplePos="0" relativeHeight="251660288" behindDoc="0" locked="0" layoutInCell="1" allowOverlap="1">
                <wp:simplePos x="0" y="0"/>
                <wp:positionH relativeFrom="column">
                  <wp:posOffset>-857250</wp:posOffset>
                </wp:positionH>
                <wp:positionV relativeFrom="paragraph">
                  <wp:posOffset>9525</wp:posOffset>
                </wp:positionV>
                <wp:extent cx="6848475" cy="635"/>
                <wp:effectExtent l="0" t="19050" r="9525" b="37465"/>
                <wp:wrapNone/>
                <wp:docPr id="52" name="Straight Connector 2"/>
                <wp:cNvGraphicFramePr/>
                <a:graphic xmlns:a="http://schemas.openxmlformats.org/drawingml/2006/main">
                  <a:graphicData uri="http://schemas.microsoft.com/office/word/2010/wordprocessingShape">
                    <wps:wsp>
                      <wps:cNvCnPr/>
                      <wps:spPr>
                        <a:xfrm>
                          <a:off x="0" y="0"/>
                          <a:ext cx="6848475" cy="635"/>
                        </a:xfrm>
                        <a:prstGeom prst="straightConnector1">
                          <a:avLst/>
                        </a:prstGeom>
                        <a:ln w="38100" cap="flat" cmpd="sng">
                          <a:solidFill>
                            <a:srgbClr val="548DD4"/>
                          </a:solidFill>
                          <a:prstDash val="solid"/>
                          <a:headEnd type="none" w="med" len="med"/>
                          <a:tailEnd type="none" w="med" len="med"/>
                        </a:ln>
                      </wps:spPr>
                      <wps:bodyPr/>
                    </wps:wsp>
                  </a:graphicData>
                </a:graphic>
              </wp:anchor>
            </w:drawing>
          </mc:Choice>
          <mc:Fallback>
            <w:pict>
              <v:shape id="Straight Connector 2" o:spid="_x0000_s1026" o:spt="32" type="#_x0000_t32" style="position:absolute;left:0pt;margin-left:-67.5pt;margin-top:0.75pt;height:0.05pt;width:539.25pt;z-index:251660288;mso-width-relative:page;mso-height-relative:page;" filled="f" stroked="t" coordsize="21600,21600" o:gfxdata="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JvGPpbWAAAA&#10;CAEAAA8AAAAAAAAAAQAgAAAAIgAAAGRycy9kb3ducmV2LnhtbFBLAQIUABQAAAAIAIdO4kB2rrkF&#10;5gEAAO0DAAAOAAAAAAAAAAEAIAAAACUBAABkcnMvZTJvRG9jLnhtbFBLBQYAAAAABgAGAFkBAAB9&#10;BQAAAAA=&#10;">
                <v:fill on="f" focussize="0,0"/>
                <v:stroke weight="3pt" color="#548DD4" joinstyle="round"/>
                <v:imagedata o:title=""/>
                <o:lock v:ext="edit" aspectratio="f"/>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1295400</wp:posOffset>
                </wp:positionH>
                <wp:positionV relativeFrom="paragraph">
                  <wp:posOffset>10160</wp:posOffset>
                </wp:positionV>
                <wp:extent cx="635" cy="8800465"/>
                <wp:effectExtent l="19050" t="0" r="37465" b="635"/>
                <wp:wrapNone/>
                <wp:docPr id="51" name="Straight Connector 3"/>
                <wp:cNvGraphicFramePr/>
                <a:graphic xmlns:a="http://schemas.openxmlformats.org/drawingml/2006/main">
                  <a:graphicData uri="http://schemas.microsoft.com/office/word/2010/wordprocessingShape">
                    <wps:wsp>
                      <wps:cNvCnPr/>
                      <wps:spPr>
                        <a:xfrm>
                          <a:off x="0" y="0"/>
                          <a:ext cx="635" cy="8800465"/>
                        </a:xfrm>
                        <a:prstGeom prst="straightConnector1">
                          <a:avLst/>
                        </a:prstGeom>
                        <a:ln w="31750" cap="flat" cmpd="sng">
                          <a:solidFill>
                            <a:srgbClr val="548DD4"/>
                          </a:solidFill>
                          <a:prstDash val="solid"/>
                          <a:headEnd type="none" w="med" len="med"/>
                          <a:tailEnd type="none" w="med" len="med"/>
                        </a:ln>
                      </wps:spPr>
                      <wps:bodyPr/>
                    </wps:wsp>
                  </a:graphicData>
                </a:graphic>
              </wp:anchor>
            </w:drawing>
          </mc:Choice>
          <mc:Fallback>
            <w:pict>
              <v:shape id="Straight Connector 3" o:spid="_x0000_s1026" o:spt="32" type="#_x0000_t32" style="position:absolute;left:0pt;margin-left:102pt;margin-top:0.8pt;height:692.95pt;width:0.05pt;z-index:251661312;mso-width-relative:page;mso-height-relative:page;" filled="f" stroked="t" coordsize="21600,21600" o:gfxdata="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upmvDZ&#10;AAAACgEAAA8AAAAAAAAAAQAgAAAAIgAAAGRycy9kb3ducmV2LnhtbFBLAQIUABQAAAAIAIdO4kCn&#10;5Q7J5gEAAO0DAAAOAAAAAAAAAAEAIAAAACgBAABkcnMvZTJvRG9jLnhtbFBLBQYAAAAABgAGAFkB&#10;AACABQAAAAA=&#10;">
                <v:fill on="f" focussize="0,0"/>
                <v:stroke weight="2.5pt" color="#548DD4" joinstyle="round"/>
                <v:imagedata o:title=""/>
                <o:lock v:ext="edit" aspectratio="f"/>
              </v:shape>
            </w:pict>
          </mc:Fallback>
        </mc:AlternateContent>
      </w:r>
      <w:r>
        <w:rPr>
          <w:rFonts w:hint="eastAsia"/>
        </w:rPr>
        <w:t xml:space="preserve"> </w:t>
      </w:r>
    </w:p>
    <w:p>
      <w:pPr>
        <w:tabs>
          <w:tab w:val="center" w:pos="4156"/>
        </w:tabs>
      </w:pPr>
      <w:r>
        <mc:AlternateContent>
          <mc:Choice Requires="wps">
            <w:drawing>
              <wp:anchor distT="0" distB="0" distL="114300" distR="114300" simplePos="0" relativeHeight="251663360" behindDoc="0" locked="0" layoutInCell="1" allowOverlap="1">
                <wp:simplePos x="0" y="0"/>
                <wp:positionH relativeFrom="column">
                  <wp:posOffset>-788670</wp:posOffset>
                </wp:positionH>
                <wp:positionV relativeFrom="paragraph">
                  <wp:posOffset>40005</wp:posOffset>
                </wp:positionV>
                <wp:extent cx="1982470" cy="3190875"/>
                <wp:effectExtent l="0" t="0" r="0" b="0"/>
                <wp:wrapNone/>
                <wp:docPr id="49" name="文本框 11"/>
                <wp:cNvGraphicFramePr/>
                <a:graphic xmlns:a="http://schemas.openxmlformats.org/drawingml/2006/main">
                  <a:graphicData uri="http://schemas.microsoft.com/office/word/2010/wordprocessingShape">
                    <wps:wsp>
                      <wps:cNvSpPr txBox="1"/>
                      <wps:spPr>
                        <a:xfrm>
                          <a:off x="0" y="0"/>
                          <a:ext cx="1982470" cy="3190875"/>
                        </a:xfrm>
                        <a:prstGeom prst="rect">
                          <a:avLst/>
                        </a:prstGeom>
                        <a:noFill/>
                        <a:ln w="15875">
                          <a:noFill/>
                        </a:ln>
                      </wps:spPr>
                      <wps:txbx>
                        <w:txbxContent>
                          <w:p/>
                          <w:p/>
                          <w:p/>
                          <w:p>
                            <w:pPr>
                              <w:jc w:val="center"/>
                              <w:rPr>
                                <w:b/>
                                <w:sz w:val="44"/>
                                <w:szCs w:val="44"/>
                              </w:rPr>
                            </w:pPr>
                            <w:r>
                              <w:rPr>
                                <w:rFonts w:hint="eastAsia"/>
                                <w:b/>
                                <w:sz w:val="44"/>
                                <w:szCs w:val="44"/>
                              </w:rPr>
                              <w:t>目录</w:t>
                            </w:r>
                          </w:p>
                          <w:p>
                            <w:pPr>
                              <w:jc w:val="center"/>
                              <w:rPr>
                                <w:b/>
                                <w:sz w:val="44"/>
                                <w:szCs w:val="44"/>
                              </w:rPr>
                            </w:pPr>
                          </w:p>
                          <w:p>
                            <w:pPr>
                              <w:jc w:val="center"/>
                              <w:rPr>
                                <w:b/>
                                <w:sz w:val="44"/>
                                <w:szCs w:val="44"/>
                              </w:rPr>
                            </w:pPr>
                          </w:p>
                          <w:p>
                            <w:pPr>
                              <w:jc w:val="center"/>
                              <w:rPr>
                                <w:b/>
                                <w:sz w:val="44"/>
                                <w:szCs w:val="44"/>
                              </w:rPr>
                            </w:pPr>
                          </w:p>
                          <w:p>
                            <w:pPr>
                              <w:jc w:val="center"/>
                              <w:rPr>
                                <w:b/>
                                <w:sz w:val="36"/>
                                <w:szCs w:val="36"/>
                              </w:rPr>
                            </w:pPr>
                            <w:r>
                              <w:rPr>
                                <w:rFonts w:hint="eastAsia"/>
                                <w:b/>
                                <w:sz w:val="36"/>
                                <w:szCs w:val="36"/>
                              </w:rPr>
                              <w:t>（2月第2期）</w:t>
                            </w:r>
                          </w:p>
                        </w:txbxContent>
                      </wps:txbx>
                      <wps:bodyPr upright="1"/>
                    </wps:wsp>
                  </a:graphicData>
                </a:graphic>
              </wp:anchor>
            </w:drawing>
          </mc:Choice>
          <mc:Fallback>
            <w:pict>
              <v:shape id="文本框 11" o:spid="_x0000_s1026" o:spt="202" type="#_x0000_t202" style="position:absolute;left:0pt;margin-left:-62.1pt;margin-top:3.15pt;height:251.25pt;width:156.1pt;z-index:251663360;mso-width-relative:page;mso-height-relative:page;" filled="f" stroked="f" coordsize="21600,21600" o:gfxdata="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fYunetwAAAAKAQAADwAAAAAAAAABACAAAAAiAAAAZHJzL2Rvd25yZXYueG1sUEsBAhQA&#10;FAAAAAgAh07iQFnbW4m1AQAAWwMAAA4AAAAAAAAAAQAgAAAAKwEAAGRycy9lMm9Eb2MueG1sUEsF&#10;BgAAAAAGAAYAWQEAAFIFAAAAAA==&#10;">
                <v:fill on="f" focussize="0,0"/>
                <v:stroke on="f" weight="1.25pt"/>
                <v:imagedata o:title=""/>
                <o:lock v:ext="edit" aspectratio="f"/>
                <v:textbox>
                  <w:txbxContent>
                    <w:p/>
                    <w:p/>
                    <w:p/>
                    <w:p>
                      <w:pPr>
                        <w:jc w:val="center"/>
                        <w:rPr>
                          <w:b/>
                          <w:sz w:val="44"/>
                          <w:szCs w:val="44"/>
                        </w:rPr>
                      </w:pPr>
                      <w:r>
                        <w:rPr>
                          <w:rFonts w:hint="eastAsia"/>
                          <w:b/>
                          <w:sz w:val="44"/>
                          <w:szCs w:val="44"/>
                        </w:rPr>
                        <w:t>目录</w:t>
                      </w:r>
                    </w:p>
                    <w:p>
                      <w:pPr>
                        <w:jc w:val="center"/>
                        <w:rPr>
                          <w:b/>
                          <w:sz w:val="44"/>
                          <w:szCs w:val="44"/>
                        </w:rPr>
                      </w:pPr>
                    </w:p>
                    <w:p>
                      <w:pPr>
                        <w:jc w:val="center"/>
                        <w:rPr>
                          <w:b/>
                          <w:sz w:val="44"/>
                          <w:szCs w:val="44"/>
                        </w:rPr>
                      </w:pPr>
                    </w:p>
                    <w:p>
                      <w:pPr>
                        <w:jc w:val="center"/>
                        <w:rPr>
                          <w:b/>
                          <w:sz w:val="44"/>
                          <w:szCs w:val="44"/>
                        </w:rPr>
                      </w:pPr>
                    </w:p>
                    <w:p>
                      <w:pPr>
                        <w:jc w:val="center"/>
                        <w:rPr>
                          <w:b/>
                          <w:sz w:val="36"/>
                          <w:szCs w:val="36"/>
                        </w:rPr>
                      </w:pPr>
                      <w:r>
                        <w:rPr>
                          <w:rFonts w:hint="eastAsia"/>
                          <w:b/>
                          <w:sz w:val="36"/>
                          <w:szCs w:val="36"/>
                        </w:rPr>
                        <w:t>（2月第2期）</w:t>
                      </w:r>
                    </w:p>
                  </w:txbxContent>
                </v:textbox>
              </v:shape>
            </w:pict>
          </mc:Fallback>
        </mc:AlternateContent>
      </w:r>
    </w:p>
    <w:p>
      <w:pPr>
        <w:tabs>
          <w:tab w:val="left" w:pos="5245"/>
        </w:tabs>
      </w:pPr>
      <w:r>
        <mc:AlternateContent>
          <mc:Choice Requires="wps">
            <w:drawing>
              <wp:anchor distT="0" distB="0" distL="114300" distR="114300" simplePos="0" relativeHeight="251666432" behindDoc="0" locked="0" layoutInCell="1" allowOverlap="1">
                <wp:simplePos x="0" y="0"/>
                <wp:positionH relativeFrom="column">
                  <wp:posOffset>1554480</wp:posOffset>
                </wp:positionH>
                <wp:positionV relativeFrom="paragraph">
                  <wp:posOffset>53340</wp:posOffset>
                </wp:positionV>
                <wp:extent cx="4210050" cy="8143875"/>
                <wp:effectExtent l="0" t="0" r="0" b="0"/>
                <wp:wrapNone/>
                <wp:docPr id="3" name="文本框 14"/>
                <wp:cNvGraphicFramePr/>
                <a:graphic xmlns:a="http://schemas.openxmlformats.org/drawingml/2006/main">
                  <a:graphicData uri="http://schemas.microsoft.com/office/word/2010/wordprocessingShape">
                    <wps:wsp>
                      <wps:cNvSpPr txBox="1"/>
                      <wps:spPr>
                        <a:xfrm>
                          <a:off x="0" y="0"/>
                          <a:ext cx="4210050" cy="8143875"/>
                        </a:xfrm>
                        <a:prstGeom prst="rect">
                          <a:avLst/>
                        </a:prstGeom>
                        <a:noFill/>
                        <a:ln w="15875">
                          <a:noFill/>
                        </a:ln>
                      </wps:spPr>
                      <wps:txbx>
                        <w:txbxContent>
                          <w:p>
                            <w:pPr>
                              <w:widowControl/>
                              <w:shd w:val="clear" w:color="auto" w:fill="FFFFFF"/>
                              <w:spacing w:after="210"/>
                              <w:jc w:val="left"/>
                              <w:outlineLvl w:val="1"/>
                              <w:rPr>
                                <w:rFonts w:asciiTheme="minorEastAsia" w:hAnsiTheme="minorEastAsia" w:eastAsiaTheme="minorEastAsia"/>
                                <w:b/>
                                <w:sz w:val="36"/>
                                <w:szCs w:val="36"/>
                              </w:rPr>
                            </w:pPr>
                            <w:r>
                              <w:rPr>
                                <w:rFonts w:hint="eastAsia" w:asciiTheme="minorEastAsia" w:hAnsiTheme="minorEastAsia" w:eastAsiaTheme="minorEastAsia"/>
                                <w:b/>
                                <w:sz w:val="36"/>
                                <w:szCs w:val="36"/>
                              </w:rPr>
                              <w:t>1.</w:t>
                            </w:r>
                            <w:r>
                              <w:rPr>
                                <w:rFonts w:hint="eastAsia"/>
                              </w:rPr>
                              <w:t xml:space="preserve"> </w:t>
                            </w:r>
                            <w:r>
                              <w:rPr>
                                <w:rFonts w:hint="eastAsia" w:asciiTheme="minorEastAsia" w:hAnsiTheme="minorEastAsia" w:eastAsiaTheme="minorEastAsia"/>
                                <w:b/>
                                <w:sz w:val="36"/>
                                <w:szCs w:val="36"/>
                              </w:rPr>
                              <w:t>2022年药品零售行业发展报告</w:t>
                            </w:r>
                          </w:p>
                          <w:p>
                            <w:pPr>
                              <w:widowControl/>
                              <w:shd w:val="clear" w:color="auto" w:fill="FFFFFF"/>
                              <w:spacing w:after="210" w:line="600" w:lineRule="auto"/>
                              <w:jc w:val="left"/>
                              <w:outlineLvl w:val="1"/>
                              <w:rPr>
                                <w:rFonts w:asciiTheme="minorEastAsia" w:hAnsiTheme="minorEastAsia" w:eastAsiaTheme="minorEastAsia"/>
                                <w:b/>
                                <w:sz w:val="36"/>
                                <w:szCs w:val="36"/>
                              </w:rPr>
                            </w:pPr>
                          </w:p>
                          <w:p>
                            <w:pPr>
                              <w:widowControl/>
                              <w:shd w:val="clear" w:color="auto" w:fill="FFFFFF"/>
                              <w:spacing w:after="210"/>
                              <w:jc w:val="left"/>
                              <w:outlineLvl w:val="1"/>
                              <w:rPr>
                                <w:rFonts w:asciiTheme="minorEastAsia" w:hAnsiTheme="minorEastAsia" w:eastAsiaTheme="minorEastAsia"/>
                                <w:b/>
                                <w:sz w:val="36"/>
                                <w:szCs w:val="36"/>
                              </w:rPr>
                            </w:pPr>
                            <w:r>
                              <w:rPr>
                                <w:rFonts w:hint="eastAsia" w:asciiTheme="minorEastAsia" w:hAnsiTheme="minorEastAsia" w:eastAsiaTheme="minorEastAsia"/>
                                <w:b/>
                                <w:sz w:val="36"/>
                                <w:szCs w:val="36"/>
                              </w:rPr>
                              <w:t>2.</w:t>
                            </w:r>
                            <w:r>
                              <w:rPr>
                                <w:rFonts w:hint="eastAsia"/>
                              </w:rPr>
                              <w:t xml:space="preserve"> </w:t>
                            </w:r>
                            <w:r>
                              <w:rPr>
                                <w:rFonts w:hint="eastAsia" w:asciiTheme="minorEastAsia" w:hAnsiTheme="minorEastAsia" w:eastAsiaTheme="minorEastAsia"/>
                                <w:b/>
                                <w:sz w:val="36"/>
                                <w:szCs w:val="36"/>
                              </w:rPr>
                              <w:t>国家医疗保障局办公室关于进一步做好定点零售药店纳入门诊统筹管理的通知</w:t>
                            </w:r>
                          </w:p>
                          <w:p>
                            <w:pPr>
                              <w:widowControl/>
                              <w:shd w:val="clear" w:color="auto" w:fill="FFFFFF"/>
                              <w:spacing w:after="210" w:line="600" w:lineRule="auto"/>
                              <w:jc w:val="left"/>
                              <w:outlineLvl w:val="1"/>
                              <w:rPr>
                                <w:rFonts w:asciiTheme="minorEastAsia" w:hAnsiTheme="minorEastAsia" w:eastAsiaTheme="minorEastAsia"/>
                                <w:b/>
                                <w:sz w:val="36"/>
                                <w:szCs w:val="36"/>
                              </w:rPr>
                            </w:pPr>
                          </w:p>
                          <w:p>
                            <w:pPr>
                              <w:widowControl/>
                              <w:shd w:val="clear" w:color="auto" w:fill="FFFFFF"/>
                              <w:spacing w:after="210"/>
                              <w:jc w:val="left"/>
                              <w:outlineLvl w:val="1"/>
                              <w:rPr>
                                <w:rFonts w:asciiTheme="minorEastAsia" w:hAnsiTheme="minorEastAsia" w:eastAsiaTheme="minorEastAsia"/>
                                <w:b/>
                                <w:sz w:val="36"/>
                                <w:szCs w:val="36"/>
                              </w:rPr>
                            </w:pPr>
                            <w:r>
                              <w:rPr>
                                <w:rFonts w:hint="eastAsia" w:asciiTheme="minorEastAsia" w:hAnsiTheme="minorEastAsia" w:eastAsiaTheme="minorEastAsia"/>
                                <w:b/>
                                <w:sz w:val="36"/>
                                <w:szCs w:val="36"/>
                              </w:rPr>
                              <w:t>3.</w:t>
                            </w:r>
                            <w:r>
                              <w:rPr>
                                <w:rFonts w:hint="eastAsia"/>
                              </w:rPr>
                              <w:t xml:space="preserve"> </w:t>
                            </w:r>
                            <w:r>
                              <w:rPr>
                                <w:rFonts w:hint="eastAsia" w:asciiTheme="minorEastAsia" w:hAnsiTheme="minorEastAsia" w:eastAsiaTheme="minorEastAsia"/>
                                <w:b/>
                                <w:sz w:val="36"/>
                                <w:szCs w:val="36"/>
                              </w:rPr>
                              <w:t>第八批国采官宣</w:t>
                            </w:r>
                          </w:p>
                          <w:p>
                            <w:pPr>
                              <w:widowControl/>
                              <w:shd w:val="clear" w:color="auto" w:fill="FFFFFF"/>
                              <w:spacing w:after="210" w:line="600" w:lineRule="auto"/>
                              <w:jc w:val="left"/>
                              <w:outlineLvl w:val="1"/>
                              <w:rPr>
                                <w:rFonts w:asciiTheme="minorEastAsia" w:hAnsiTheme="minorEastAsia" w:eastAsiaTheme="minorEastAsia"/>
                                <w:b/>
                                <w:sz w:val="36"/>
                                <w:szCs w:val="36"/>
                              </w:rPr>
                            </w:pPr>
                          </w:p>
                          <w:p>
                            <w:pPr>
                              <w:widowControl/>
                              <w:shd w:val="clear" w:color="auto" w:fill="FFFFFF"/>
                              <w:spacing w:after="210"/>
                              <w:jc w:val="left"/>
                              <w:outlineLvl w:val="1"/>
                              <w:rPr>
                                <w:rFonts w:asciiTheme="minorEastAsia" w:hAnsiTheme="minorEastAsia" w:eastAsiaTheme="minorEastAsia"/>
                                <w:b/>
                                <w:sz w:val="36"/>
                                <w:szCs w:val="36"/>
                              </w:rPr>
                            </w:pPr>
                            <w:r>
                              <w:rPr>
                                <w:rFonts w:hint="eastAsia" w:asciiTheme="minorEastAsia" w:hAnsiTheme="minorEastAsia" w:eastAsiaTheme="minorEastAsia"/>
                                <w:b/>
                                <w:sz w:val="36"/>
                                <w:szCs w:val="36"/>
                              </w:rPr>
                              <w:t>4.</w:t>
                            </w:r>
                            <w:r>
                              <w:rPr>
                                <w:rFonts w:hint="eastAsia"/>
                              </w:rPr>
                              <w:t xml:space="preserve"> </w:t>
                            </w:r>
                            <w:r>
                              <w:rPr>
                                <w:rFonts w:hint="eastAsia" w:asciiTheme="minorEastAsia" w:hAnsiTheme="minorEastAsia" w:eastAsiaTheme="minorEastAsia"/>
                                <w:b/>
                                <w:sz w:val="36"/>
                                <w:szCs w:val="36"/>
                              </w:rPr>
                              <w:t>2022年医药B2C市场规模近千亿，同比增长27%</w:t>
                            </w:r>
                          </w:p>
                          <w:p>
                            <w:pPr>
                              <w:widowControl/>
                              <w:shd w:val="clear" w:color="auto" w:fill="FFFFFF"/>
                              <w:spacing w:after="210" w:line="600" w:lineRule="auto"/>
                              <w:jc w:val="left"/>
                              <w:outlineLvl w:val="1"/>
                              <w:rPr>
                                <w:rFonts w:asciiTheme="minorEastAsia" w:hAnsiTheme="minorEastAsia" w:eastAsiaTheme="minorEastAsia"/>
                                <w:b/>
                                <w:sz w:val="36"/>
                                <w:szCs w:val="36"/>
                              </w:rPr>
                            </w:pPr>
                          </w:p>
                          <w:p>
                            <w:pPr>
                              <w:widowControl/>
                              <w:shd w:val="clear" w:color="auto" w:fill="FFFFFF"/>
                              <w:spacing w:after="210"/>
                              <w:jc w:val="left"/>
                              <w:outlineLvl w:val="1"/>
                              <w:rPr>
                                <w:rFonts w:hint="eastAsia" w:asciiTheme="minorEastAsia" w:hAnsiTheme="minorEastAsia" w:eastAsiaTheme="minorEastAsia"/>
                                <w:b/>
                                <w:sz w:val="36"/>
                                <w:szCs w:val="36"/>
                              </w:rPr>
                            </w:pPr>
                            <w:r>
                              <w:rPr>
                                <w:rFonts w:hint="eastAsia" w:asciiTheme="minorEastAsia" w:hAnsiTheme="minorEastAsia" w:eastAsiaTheme="minorEastAsia"/>
                                <w:b/>
                                <w:sz w:val="36"/>
                                <w:szCs w:val="36"/>
                              </w:rPr>
                              <w:t>5.</w:t>
                            </w:r>
                            <w:r>
                              <w:rPr>
                                <w:rFonts w:hint="eastAsia"/>
                              </w:rPr>
                              <w:t xml:space="preserve"> </w:t>
                            </w:r>
                            <w:r>
                              <w:rPr>
                                <w:rFonts w:hint="eastAsia" w:asciiTheme="minorEastAsia" w:hAnsiTheme="minorEastAsia" w:eastAsiaTheme="minorEastAsia"/>
                                <w:b/>
                                <w:sz w:val="36"/>
                                <w:szCs w:val="36"/>
                              </w:rPr>
                              <w:t>华人健康上市</w:t>
                            </w:r>
                          </w:p>
                          <w:p>
                            <w:pPr>
                              <w:widowControl/>
                              <w:shd w:val="clear" w:color="auto" w:fill="FFFFFF"/>
                              <w:spacing w:after="210" w:line="600" w:lineRule="auto"/>
                              <w:jc w:val="left"/>
                              <w:outlineLvl w:val="1"/>
                              <w:rPr>
                                <w:rFonts w:hint="eastAsia" w:asciiTheme="minorEastAsia" w:hAnsiTheme="minorEastAsia" w:eastAsiaTheme="minorEastAsia"/>
                                <w:b/>
                                <w:sz w:val="36"/>
                                <w:szCs w:val="36"/>
                              </w:rPr>
                            </w:pPr>
                          </w:p>
                          <w:p>
                            <w:pPr>
                              <w:widowControl/>
                              <w:shd w:val="clear" w:color="auto" w:fill="FFFFFF"/>
                              <w:spacing w:after="210"/>
                              <w:jc w:val="left"/>
                              <w:outlineLvl w:val="1"/>
                              <w:rPr>
                                <w:rFonts w:asciiTheme="minorEastAsia" w:hAnsiTheme="minorEastAsia" w:eastAsiaTheme="minorEastAsia"/>
                                <w:b/>
                                <w:sz w:val="36"/>
                                <w:szCs w:val="36"/>
                              </w:rPr>
                            </w:pPr>
                            <w:r>
                              <w:rPr>
                                <w:rFonts w:hint="eastAsia" w:asciiTheme="minorEastAsia" w:hAnsiTheme="minorEastAsia" w:eastAsiaTheme="minorEastAsia"/>
                                <w:b/>
                                <w:sz w:val="36"/>
                                <w:szCs w:val="36"/>
                              </w:rPr>
                              <w:t>6.</w:t>
                            </w:r>
                            <w:r>
                              <w:rPr>
                                <w:rFonts w:hint="eastAsia"/>
                              </w:rPr>
                              <w:t xml:space="preserve"> </w:t>
                            </w:r>
                            <w:r>
                              <w:rPr>
                                <w:rFonts w:hint="eastAsia" w:asciiTheme="minorEastAsia" w:hAnsiTheme="minorEastAsia" w:eastAsiaTheme="minorEastAsia"/>
                                <w:b/>
                                <w:sz w:val="36"/>
                                <w:szCs w:val="36"/>
                              </w:rPr>
                              <w:t>春季药店必备的7大品类方案</w:t>
                            </w:r>
                          </w:p>
                        </w:txbxContent>
                      </wps:txbx>
                      <wps:bodyPr upright="1"/>
                    </wps:wsp>
                  </a:graphicData>
                </a:graphic>
              </wp:anchor>
            </w:drawing>
          </mc:Choice>
          <mc:Fallback>
            <w:pict>
              <v:shape id="文本框 14" o:spid="_x0000_s1026" o:spt="202" type="#_x0000_t202" style="position:absolute;left:0pt;margin-left:122.4pt;margin-top:4.2pt;height:641.25pt;width:331.5pt;z-index:251666432;mso-width-relative:page;mso-height-relative:page;" filled="f" stroked="f" coordsize="21600,21600" o:gfxdata="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n2Ldo9oAAAAKAQAADwAAAAAAAAABACAAAAAiAAAAZHJzL2Rvd25yZXYueG1sUEsBAhQAFAAA&#10;AAgAh07iQGWvMkq0AQAAWgMAAA4AAAAAAAAAAQAgAAAAKQEAAGRycy9lMm9Eb2MueG1sUEsFBgAA&#10;AAAGAAYAWQEAAE8FAAAAAA==&#10;">
                <v:fill on="f" focussize="0,0"/>
                <v:stroke on="f" weight="1.25pt"/>
                <v:imagedata o:title=""/>
                <o:lock v:ext="edit" aspectratio="f"/>
                <v:textbox>
                  <w:txbxContent>
                    <w:p>
                      <w:pPr>
                        <w:widowControl/>
                        <w:shd w:val="clear" w:color="auto" w:fill="FFFFFF"/>
                        <w:spacing w:after="210"/>
                        <w:jc w:val="left"/>
                        <w:outlineLvl w:val="1"/>
                        <w:rPr>
                          <w:rFonts w:asciiTheme="minorEastAsia" w:hAnsiTheme="minorEastAsia" w:eastAsiaTheme="minorEastAsia"/>
                          <w:b/>
                          <w:sz w:val="36"/>
                          <w:szCs w:val="36"/>
                        </w:rPr>
                      </w:pPr>
                      <w:r>
                        <w:rPr>
                          <w:rFonts w:hint="eastAsia" w:asciiTheme="minorEastAsia" w:hAnsiTheme="minorEastAsia" w:eastAsiaTheme="minorEastAsia"/>
                          <w:b/>
                          <w:sz w:val="36"/>
                          <w:szCs w:val="36"/>
                        </w:rPr>
                        <w:t>1.</w:t>
                      </w:r>
                      <w:r>
                        <w:rPr>
                          <w:rFonts w:hint="eastAsia"/>
                        </w:rPr>
                        <w:t xml:space="preserve"> </w:t>
                      </w:r>
                      <w:r>
                        <w:rPr>
                          <w:rFonts w:hint="eastAsia" w:asciiTheme="minorEastAsia" w:hAnsiTheme="minorEastAsia" w:eastAsiaTheme="minorEastAsia"/>
                          <w:b/>
                          <w:sz w:val="36"/>
                          <w:szCs w:val="36"/>
                        </w:rPr>
                        <w:t>2022年药品零售行业发展报告</w:t>
                      </w:r>
                    </w:p>
                    <w:p>
                      <w:pPr>
                        <w:widowControl/>
                        <w:shd w:val="clear" w:color="auto" w:fill="FFFFFF"/>
                        <w:spacing w:after="210" w:line="600" w:lineRule="auto"/>
                        <w:jc w:val="left"/>
                        <w:outlineLvl w:val="1"/>
                        <w:rPr>
                          <w:rFonts w:asciiTheme="minorEastAsia" w:hAnsiTheme="minorEastAsia" w:eastAsiaTheme="minorEastAsia"/>
                          <w:b/>
                          <w:sz w:val="36"/>
                          <w:szCs w:val="36"/>
                        </w:rPr>
                      </w:pPr>
                    </w:p>
                    <w:p>
                      <w:pPr>
                        <w:widowControl/>
                        <w:shd w:val="clear" w:color="auto" w:fill="FFFFFF"/>
                        <w:spacing w:after="210"/>
                        <w:jc w:val="left"/>
                        <w:outlineLvl w:val="1"/>
                        <w:rPr>
                          <w:rFonts w:asciiTheme="minorEastAsia" w:hAnsiTheme="minorEastAsia" w:eastAsiaTheme="minorEastAsia"/>
                          <w:b/>
                          <w:sz w:val="36"/>
                          <w:szCs w:val="36"/>
                        </w:rPr>
                      </w:pPr>
                      <w:r>
                        <w:rPr>
                          <w:rFonts w:hint="eastAsia" w:asciiTheme="minorEastAsia" w:hAnsiTheme="minorEastAsia" w:eastAsiaTheme="minorEastAsia"/>
                          <w:b/>
                          <w:sz w:val="36"/>
                          <w:szCs w:val="36"/>
                        </w:rPr>
                        <w:t>2.</w:t>
                      </w:r>
                      <w:r>
                        <w:rPr>
                          <w:rFonts w:hint="eastAsia"/>
                        </w:rPr>
                        <w:t xml:space="preserve"> </w:t>
                      </w:r>
                      <w:r>
                        <w:rPr>
                          <w:rFonts w:hint="eastAsia" w:asciiTheme="minorEastAsia" w:hAnsiTheme="minorEastAsia" w:eastAsiaTheme="minorEastAsia"/>
                          <w:b/>
                          <w:sz w:val="36"/>
                          <w:szCs w:val="36"/>
                        </w:rPr>
                        <w:t>国家医疗保障局办公室关于进一步做好定点零售药店纳入门诊统筹管理的通知</w:t>
                      </w:r>
                    </w:p>
                    <w:p>
                      <w:pPr>
                        <w:widowControl/>
                        <w:shd w:val="clear" w:color="auto" w:fill="FFFFFF"/>
                        <w:spacing w:after="210" w:line="600" w:lineRule="auto"/>
                        <w:jc w:val="left"/>
                        <w:outlineLvl w:val="1"/>
                        <w:rPr>
                          <w:rFonts w:asciiTheme="minorEastAsia" w:hAnsiTheme="minorEastAsia" w:eastAsiaTheme="minorEastAsia"/>
                          <w:b/>
                          <w:sz w:val="36"/>
                          <w:szCs w:val="36"/>
                        </w:rPr>
                      </w:pPr>
                    </w:p>
                    <w:p>
                      <w:pPr>
                        <w:widowControl/>
                        <w:shd w:val="clear" w:color="auto" w:fill="FFFFFF"/>
                        <w:spacing w:after="210"/>
                        <w:jc w:val="left"/>
                        <w:outlineLvl w:val="1"/>
                        <w:rPr>
                          <w:rFonts w:asciiTheme="minorEastAsia" w:hAnsiTheme="minorEastAsia" w:eastAsiaTheme="minorEastAsia"/>
                          <w:b/>
                          <w:sz w:val="36"/>
                          <w:szCs w:val="36"/>
                        </w:rPr>
                      </w:pPr>
                      <w:r>
                        <w:rPr>
                          <w:rFonts w:hint="eastAsia" w:asciiTheme="minorEastAsia" w:hAnsiTheme="minorEastAsia" w:eastAsiaTheme="minorEastAsia"/>
                          <w:b/>
                          <w:sz w:val="36"/>
                          <w:szCs w:val="36"/>
                        </w:rPr>
                        <w:t>3.</w:t>
                      </w:r>
                      <w:r>
                        <w:rPr>
                          <w:rFonts w:hint="eastAsia"/>
                        </w:rPr>
                        <w:t xml:space="preserve"> </w:t>
                      </w:r>
                      <w:r>
                        <w:rPr>
                          <w:rFonts w:hint="eastAsia" w:asciiTheme="minorEastAsia" w:hAnsiTheme="minorEastAsia" w:eastAsiaTheme="minorEastAsia"/>
                          <w:b/>
                          <w:sz w:val="36"/>
                          <w:szCs w:val="36"/>
                        </w:rPr>
                        <w:t>第八批国采官宣</w:t>
                      </w:r>
                    </w:p>
                    <w:p>
                      <w:pPr>
                        <w:widowControl/>
                        <w:shd w:val="clear" w:color="auto" w:fill="FFFFFF"/>
                        <w:spacing w:after="210" w:line="600" w:lineRule="auto"/>
                        <w:jc w:val="left"/>
                        <w:outlineLvl w:val="1"/>
                        <w:rPr>
                          <w:rFonts w:asciiTheme="minorEastAsia" w:hAnsiTheme="minorEastAsia" w:eastAsiaTheme="minorEastAsia"/>
                          <w:b/>
                          <w:sz w:val="36"/>
                          <w:szCs w:val="36"/>
                        </w:rPr>
                      </w:pPr>
                    </w:p>
                    <w:p>
                      <w:pPr>
                        <w:widowControl/>
                        <w:shd w:val="clear" w:color="auto" w:fill="FFFFFF"/>
                        <w:spacing w:after="210"/>
                        <w:jc w:val="left"/>
                        <w:outlineLvl w:val="1"/>
                        <w:rPr>
                          <w:rFonts w:asciiTheme="minorEastAsia" w:hAnsiTheme="minorEastAsia" w:eastAsiaTheme="minorEastAsia"/>
                          <w:b/>
                          <w:sz w:val="36"/>
                          <w:szCs w:val="36"/>
                        </w:rPr>
                      </w:pPr>
                      <w:r>
                        <w:rPr>
                          <w:rFonts w:hint="eastAsia" w:asciiTheme="minorEastAsia" w:hAnsiTheme="minorEastAsia" w:eastAsiaTheme="minorEastAsia"/>
                          <w:b/>
                          <w:sz w:val="36"/>
                          <w:szCs w:val="36"/>
                        </w:rPr>
                        <w:t>4.</w:t>
                      </w:r>
                      <w:r>
                        <w:rPr>
                          <w:rFonts w:hint="eastAsia"/>
                        </w:rPr>
                        <w:t xml:space="preserve"> </w:t>
                      </w:r>
                      <w:r>
                        <w:rPr>
                          <w:rFonts w:hint="eastAsia" w:asciiTheme="minorEastAsia" w:hAnsiTheme="minorEastAsia" w:eastAsiaTheme="minorEastAsia"/>
                          <w:b/>
                          <w:sz w:val="36"/>
                          <w:szCs w:val="36"/>
                        </w:rPr>
                        <w:t>2022年医药B2C市场规模近千亿，同比增长27%</w:t>
                      </w:r>
                    </w:p>
                    <w:p>
                      <w:pPr>
                        <w:widowControl/>
                        <w:shd w:val="clear" w:color="auto" w:fill="FFFFFF"/>
                        <w:spacing w:after="210" w:line="600" w:lineRule="auto"/>
                        <w:jc w:val="left"/>
                        <w:outlineLvl w:val="1"/>
                        <w:rPr>
                          <w:rFonts w:asciiTheme="minorEastAsia" w:hAnsiTheme="minorEastAsia" w:eastAsiaTheme="minorEastAsia"/>
                          <w:b/>
                          <w:sz w:val="36"/>
                          <w:szCs w:val="36"/>
                        </w:rPr>
                      </w:pPr>
                    </w:p>
                    <w:p>
                      <w:pPr>
                        <w:widowControl/>
                        <w:shd w:val="clear" w:color="auto" w:fill="FFFFFF"/>
                        <w:spacing w:after="210"/>
                        <w:jc w:val="left"/>
                        <w:outlineLvl w:val="1"/>
                        <w:rPr>
                          <w:rFonts w:hint="eastAsia" w:asciiTheme="minorEastAsia" w:hAnsiTheme="minorEastAsia" w:eastAsiaTheme="minorEastAsia"/>
                          <w:b/>
                          <w:sz w:val="36"/>
                          <w:szCs w:val="36"/>
                        </w:rPr>
                      </w:pPr>
                      <w:r>
                        <w:rPr>
                          <w:rFonts w:hint="eastAsia" w:asciiTheme="minorEastAsia" w:hAnsiTheme="minorEastAsia" w:eastAsiaTheme="minorEastAsia"/>
                          <w:b/>
                          <w:sz w:val="36"/>
                          <w:szCs w:val="36"/>
                        </w:rPr>
                        <w:t>5.</w:t>
                      </w:r>
                      <w:r>
                        <w:rPr>
                          <w:rFonts w:hint="eastAsia"/>
                        </w:rPr>
                        <w:t xml:space="preserve"> </w:t>
                      </w:r>
                      <w:r>
                        <w:rPr>
                          <w:rFonts w:hint="eastAsia" w:asciiTheme="minorEastAsia" w:hAnsiTheme="minorEastAsia" w:eastAsiaTheme="minorEastAsia"/>
                          <w:b/>
                          <w:sz w:val="36"/>
                          <w:szCs w:val="36"/>
                        </w:rPr>
                        <w:t>华人健康上市</w:t>
                      </w:r>
                    </w:p>
                    <w:p>
                      <w:pPr>
                        <w:widowControl/>
                        <w:shd w:val="clear" w:color="auto" w:fill="FFFFFF"/>
                        <w:spacing w:after="210" w:line="600" w:lineRule="auto"/>
                        <w:jc w:val="left"/>
                        <w:outlineLvl w:val="1"/>
                        <w:rPr>
                          <w:rFonts w:hint="eastAsia" w:asciiTheme="minorEastAsia" w:hAnsiTheme="minorEastAsia" w:eastAsiaTheme="minorEastAsia"/>
                          <w:b/>
                          <w:sz w:val="36"/>
                          <w:szCs w:val="36"/>
                        </w:rPr>
                      </w:pPr>
                    </w:p>
                    <w:p>
                      <w:pPr>
                        <w:widowControl/>
                        <w:shd w:val="clear" w:color="auto" w:fill="FFFFFF"/>
                        <w:spacing w:after="210"/>
                        <w:jc w:val="left"/>
                        <w:outlineLvl w:val="1"/>
                        <w:rPr>
                          <w:rFonts w:asciiTheme="minorEastAsia" w:hAnsiTheme="minorEastAsia" w:eastAsiaTheme="minorEastAsia"/>
                          <w:b/>
                          <w:sz w:val="36"/>
                          <w:szCs w:val="36"/>
                        </w:rPr>
                      </w:pPr>
                      <w:r>
                        <w:rPr>
                          <w:rFonts w:hint="eastAsia" w:asciiTheme="minorEastAsia" w:hAnsiTheme="minorEastAsia" w:eastAsiaTheme="minorEastAsia"/>
                          <w:b/>
                          <w:sz w:val="36"/>
                          <w:szCs w:val="36"/>
                        </w:rPr>
                        <w:t>6.</w:t>
                      </w:r>
                      <w:r>
                        <w:rPr>
                          <w:rFonts w:hint="eastAsia"/>
                        </w:rPr>
                        <w:t xml:space="preserve"> </w:t>
                      </w:r>
                      <w:r>
                        <w:rPr>
                          <w:rFonts w:hint="eastAsia" w:asciiTheme="minorEastAsia" w:hAnsiTheme="minorEastAsia" w:eastAsiaTheme="minorEastAsia"/>
                          <w:b/>
                          <w:sz w:val="36"/>
                          <w:szCs w:val="36"/>
                        </w:rPr>
                        <w:t>春季药店必备的7大品类方案</w:t>
                      </w:r>
                    </w:p>
                  </w:txbxContent>
                </v:textbox>
              </v:shape>
            </w:pict>
          </mc:Fallback>
        </mc:AlternateContent>
      </w:r>
      <w:r>
        <w:rPr>
          <w:rFonts w:hint="eastAsia"/>
        </w:rPr>
        <w:t xml:space="preserve">    </w:t>
      </w:r>
    </w:p>
    <w:p>
      <w:pPr>
        <w:tabs>
          <w:tab w:val="left" w:pos="5245"/>
        </w:tabs>
      </w:pPr>
      <w:r>
        <w:rPr>
          <w:rFonts w:hint="eastAsia"/>
        </w:rPr>
        <w:t xml:space="preserve"> </w:t>
      </w: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r>
        <mc:AlternateContent>
          <mc:Choice Requires="wps">
            <w:drawing>
              <wp:anchor distT="0" distB="0" distL="114300" distR="114300" simplePos="0" relativeHeight="251663360" behindDoc="0" locked="0" layoutInCell="1" allowOverlap="1">
                <wp:simplePos x="0" y="0"/>
                <wp:positionH relativeFrom="column">
                  <wp:posOffset>-857250</wp:posOffset>
                </wp:positionH>
                <wp:positionV relativeFrom="paragraph">
                  <wp:posOffset>120015</wp:posOffset>
                </wp:positionV>
                <wp:extent cx="2143125" cy="635"/>
                <wp:effectExtent l="0" t="19050" r="9525" b="37465"/>
                <wp:wrapNone/>
                <wp:docPr id="48" name="Straight Connector 5"/>
                <wp:cNvGraphicFramePr/>
                <a:graphic xmlns:a="http://schemas.openxmlformats.org/drawingml/2006/main">
                  <a:graphicData uri="http://schemas.microsoft.com/office/word/2010/wordprocessingShape">
                    <wps:wsp>
                      <wps:cNvCnPr/>
                      <wps:spPr>
                        <a:xfrm>
                          <a:off x="0" y="0"/>
                          <a:ext cx="2143125" cy="635"/>
                        </a:xfrm>
                        <a:prstGeom prst="straightConnector1">
                          <a:avLst/>
                        </a:prstGeom>
                        <a:ln w="34925" cap="flat" cmpd="sng">
                          <a:solidFill>
                            <a:srgbClr val="548DD4"/>
                          </a:solidFill>
                          <a:prstDash val="solid"/>
                          <a:headEnd type="none" w="med" len="med"/>
                          <a:tailEnd type="none" w="med" len="med"/>
                        </a:ln>
                      </wps:spPr>
                      <wps:bodyPr/>
                    </wps:wsp>
                  </a:graphicData>
                </a:graphic>
              </wp:anchor>
            </w:drawing>
          </mc:Choice>
          <mc:Fallback>
            <w:pict>
              <v:shape id="Straight Connector 5" o:spid="_x0000_s1026" o:spt="32" type="#_x0000_t32" style="position:absolute;left:0pt;margin-left:-67.5pt;margin-top:9.45pt;height:0.05pt;width:168.75pt;z-index:251663360;mso-width-relative:page;mso-height-relative:page;" filled="f" stroked="t" coordsize="21600,21600" o:gfxdata="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WIe3S2AAA&#10;AAoBAAAPAAAAAAAAAAEAIAAAACIAAABkcnMvZG93bnJldi54bWxQSwECFAAUAAAACACHTuJAtpQj&#10;HOUBAADtAwAADgAAAAAAAAABACAAAAAnAQAAZHJzL2Uyb0RvYy54bWxQSwUGAAAAAAYABgBZAQAA&#10;fgUAAAAA&#10;">
                <v:fill on="f" focussize="0,0"/>
                <v:stroke weight="2.75pt" color="#548DD4" joinstyle="round"/>
                <v:imagedata o:title=""/>
                <o:lock v:ext="edit" aspectratio="f"/>
              </v:shape>
            </w:pict>
          </mc:Fallback>
        </mc:AlternateContent>
      </w:r>
    </w:p>
    <w:p>
      <w:pPr>
        <w:tabs>
          <w:tab w:val="left" w:pos="5245"/>
        </w:tabs>
      </w:pPr>
    </w:p>
    <w:p>
      <w:pPr>
        <w:tabs>
          <w:tab w:val="left" w:pos="5245"/>
        </w:tabs>
      </w:pPr>
    </w:p>
    <w:p>
      <w:pPr>
        <w:tabs>
          <w:tab w:val="left" w:pos="5245"/>
        </w:tabs>
      </w:pPr>
    </w:p>
    <w:p>
      <w:pPr>
        <w:tabs>
          <w:tab w:val="left" w:pos="5245"/>
        </w:tabs>
      </w:pPr>
      <w:r>
        <mc:AlternateContent>
          <mc:Choice Requires="wps">
            <w:drawing>
              <wp:anchor distT="0" distB="0" distL="114300" distR="114300" simplePos="0" relativeHeight="251664384" behindDoc="0" locked="0" layoutInCell="1" allowOverlap="1">
                <wp:simplePos x="0" y="0"/>
                <wp:positionH relativeFrom="column">
                  <wp:posOffset>-674370</wp:posOffset>
                </wp:positionH>
                <wp:positionV relativeFrom="paragraph">
                  <wp:posOffset>135255</wp:posOffset>
                </wp:positionV>
                <wp:extent cx="1781175" cy="762000"/>
                <wp:effectExtent l="0" t="0" r="0" b="0"/>
                <wp:wrapNone/>
                <wp:docPr id="47" name="文本框 12"/>
                <wp:cNvGraphicFramePr/>
                <a:graphic xmlns:a="http://schemas.openxmlformats.org/drawingml/2006/main">
                  <a:graphicData uri="http://schemas.microsoft.com/office/word/2010/wordprocessingShape">
                    <wps:wsp>
                      <wps:cNvSpPr txBox="1"/>
                      <wps:spPr>
                        <a:xfrm>
                          <a:off x="0" y="0"/>
                          <a:ext cx="1781175" cy="762000"/>
                        </a:xfrm>
                        <a:prstGeom prst="rect">
                          <a:avLst/>
                        </a:prstGeom>
                        <a:noFill/>
                        <a:ln w="15875">
                          <a:noFill/>
                        </a:ln>
                      </wps:spPr>
                      <wps:txbx>
                        <w:txbxContent>
                          <w:p>
                            <w:pPr>
                              <w:jc w:val="center"/>
                              <w:rPr>
                                <w:sz w:val="44"/>
                                <w:szCs w:val="44"/>
                              </w:rPr>
                            </w:pPr>
                            <w:r>
                              <w:rPr>
                                <w:rFonts w:hint="eastAsia"/>
                                <w:sz w:val="44"/>
                                <w:szCs w:val="44"/>
                              </w:rPr>
                              <w:t>2023.2.27</w:t>
                            </w:r>
                          </w:p>
                        </w:txbxContent>
                      </wps:txbx>
                      <wps:bodyPr upright="1"/>
                    </wps:wsp>
                  </a:graphicData>
                </a:graphic>
              </wp:anchor>
            </w:drawing>
          </mc:Choice>
          <mc:Fallback>
            <w:pict>
              <v:shape id="文本框 12" o:spid="_x0000_s1026" o:spt="202" type="#_x0000_t202" style="position:absolute;left:0pt;margin-left:-53.1pt;margin-top:10.65pt;height:60pt;width:140.25pt;z-index:251664384;mso-width-relative:page;mso-height-relative:page;" filled="f" stroked="f" coordsize="21600,21600" o:gfxdata="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F2MqpXcAAAACwEAAA8AAAAAAAAAAQAgAAAAIgAAAGRycy9kb3ducmV2LnhtbFBLAQIU&#10;ABQAAAAIAIdO4kDFDdJhtgEAAFoDAAAOAAAAAAAAAAEAIAAAACsBAABkcnMvZTJvRG9jLnhtbFBL&#10;BQYAAAAABgAGAFkBAABTBQAAAAA=&#10;">
                <v:fill on="f" focussize="0,0"/>
                <v:stroke on="f" weight="1.25pt"/>
                <v:imagedata o:title=""/>
                <o:lock v:ext="edit" aspectratio="f"/>
                <v:textbox>
                  <w:txbxContent>
                    <w:p>
                      <w:pPr>
                        <w:jc w:val="center"/>
                        <w:rPr>
                          <w:sz w:val="44"/>
                          <w:szCs w:val="44"/>
                        </w:rPr>
                      </w:pPr>
                      <w:r>
                        <w:rPr>
                          <w:rFonts w:hint="eastAsia"/>
                          <w:sz w:val="44"/>
                          <w:szCs w:val="44"/>
                        </w:rPr>
                        <w:t>2023.2.27</w:t>
                      </w:r>
                    </w:p>
                  </w:txbxContent>
                </v:textbox>
              </v:shape>
            </w:pict>
          </mc:Fallback>
        </mc:AlternateContent>
      </w: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r>
        <mc:AlternateContent>
          <mc:Choice Requires="wps">
            <w:drawing>
              <wp:anchor distT="0" distB="0" distL="114300" distR="114300" simplePos="0" relativeHeight="251665408" behindDoc="0" locked="0" layoutInCell="1" allowOverlap="1">
                <wp:simplePos x="0" y="0"/>
                <wp:positionH relativeFrom="column">
                  <wp:posOffset>-586740</wp:posOffset>
                </wp:positionH>
                <wp:positionV relativeFrom="paragraph">
                  <wp:posOffset>152400</wp:posOffset>
                </wp:positionV>
                <wp:extent cx="1695450" cy="2562225"/>
                <wp:effectExtent l="0" t="0" r="0" b="0"/>
                <wp:wrapNone/>
                <wp:docPr id="46" name="文本框 13"/>
                <wp:cNvGraphicFramePr/>
                <a:graphic xmlns:a="http://schemas.openxmlformats.org/drawingml/2006/main">
                  <a:graphicData uri="http://schemas.microsoft.com/office/word/2010/wordprocessingShape">
                    <wps:wsp>
                      <wps:cNvSpPr txBox="1"/>
                      <wps:spPr>
                        <a:xfrm>
                          <a:off x="0" y="0"/>
                          <a:ext cx="1695450" cy="2562225"/>
                        </a:xfrm>
                        <a:prstGeom prst="rect">
                          <a:avLst/>
                        </a:prstGeom>
                        <a:noFill/>
                        <a:ln w="15875">
                          <a:noFill/>
                        </a:ln>
                      </wps:spPr>
                      <wps:txbx>
                        <w:txbxContent>
                          <w:p/>
                          <w:p/>
                          <w:p/>
                          <w:p>
                            <w:pPr>
                              <w:rPr>
                                <w:b/>
                                <w:sz w:val="32"/>
                                <w:szCs w:val="32"/>
                              </w:rPr>
                            </w:pPr>
                            <w:r>
                              <w:rPr>
                                <w:rFonts w:hint="eastAsia"/>
                                <w:b/>
                                <w:sz w:val="32"/>
                                <w:szCs w:val="32"/>
                              </w:rPr>
                              <w:t>总  编  朱卫东副总编  杨亚南  责任编</w:t>
                            </w:r>
                            <w:r>
                              <w:rPr>
                                <w:rFonts w:hint="eastAsia"/>
                                <w:b/>
                                <w:spacing w:val="22"/>
                                <w:sz w:val="32"/>
                                <w:szCs w:val="32"/>
                              </w:rPr>
                              <w:t>辑彭</w:t>
                            </w:r>
                            <w:r>
                              <w:rPr>
                                <w:rFonts w:hint="eastAsia"/>
                                <w:b/>
                                <w:sz w:val="32"/>
                                <w:szCs w:val="32"/>
                              </w:rPr>
                              <w:t>宇飞</w:t>
                            </w:r>
                          </w:p>
                        </w:txbxContent>
                      </wps:txbx>
                      <wps:bodyPr upright="1"/>
                    </wps:wsp>
                  </a:graphicData>
                </a:graphic>
              </wp:anchor>
            </w:drawing>
          </mc:Choice>
          <mc:Fallback>
            <w:pict>
              <v:shape id="文本框 13" o:spid="_x0000_s1026" o:spt="202" type="#_x0000_t202" style="position:absolute;left:0pt;margin-left:-46.2pt;margin-top:12pt;height:201.75pt;width:133.5pt;z-index:251665408;mso-width-relative:page;mso-height-relative:page;" filled="f" stroked="f" coordsize="21600,21600" o:gfxdata="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4QXmEdwAAAAKAQAADwAAAAAAAAABACAAAAAiAAAAZHJzL2Rvd25yZXYueG1sUEsB&#10;AhQAFAAAAAgAh07iQLodRq64AQAAWwMAAA4AAAAAAAAAAQAgAAAAKwEAAGRycy9lMm9Eb2MueG1s&#10;UEsFBgAAAAAGAAYAWQEAAFUFAAAAAA==&#10;">
                <v:fill on="f" focussize="0,0"/>
                <v:stroke on="f" weight="1.25pt"/>
                <v:imagedata o:title=""/>
                <o:lock v:ext="edit" aspectratio="f"/>
                <v:textbox>
                  <w:txbxContent>
                    <w:p/>
                    <w:p/>
                    <w:p/>
                    <w:p>
                      <w:pPr>
                        <w:rPr>
                          <w:b/>
                          <w:sz w:val="32"/>
                          <w:szCs w:val="32"/>
                        </w:rPr>
                      </w:pPr>
                      <w:r>
                        <w:rPr>
                          <w:rFonts w:hint="eastAsia"/>
                          <w:b/>
                          <w:sz w:val="32"/>
                          <w:szCs w:val="32"/>
                        </w:rPr>
                        <w:t>总  编  朱卫东副总编  杨亚南  责任编</w:t>
                      </w:r>
                      <w:r>
                        <w:rPr>
                          <w:rFonts w:hint="eastAsia"/>
                          <w:b/>
                          <w:spacing w:val="22"/>
                          <w:sz w:val="32"/>
                          <w:szCs w:val="32"/>
                        </w:rPr>
                        <w:t>辑彭</w:t>
                      </w:r>
                      <w:r>
                        <w:rPr>
                          <w:rFonts w:hint="eastAsia"/>
                          <w:b/>
                          <w:sz w:val="32"/>
                          <w:szCs w:val="32"/>
                        </w:rPr>
                        <w:t>宇飞</w:t>
                      </w:r>
                    </w:p>
                  </w:txbxContent>
                </v:textbox>
              </v:shape>
            </w:pict>
          </mc:Fallback>
        </mc:AlternateContent>
      </w: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p>
    <w:p>
      <w:pPr>
        <w:tabs>
          <w:tab w:val="left" w:pos="5245"/>
        </w:tabs>
      </w:pPr>
      <w:r>
        <mc:AlternateContent>
          <mc:Choice Requires="wps">
            <w:drawing>
              <wp:anchor distT="0" distB="0" distL="114300" distR="114300" simplePos="0" relativeHeight="251662336" behindDoc="0" locked="0" layoutInCell="1" allowOverlap="1">
                <wp:simplePos x="0" y="0"/>
                <wp:positionH relativeFrom="column">
                  <wp:posOffset>-857250</wp:posOffset>
                </wp:positionH>
                <wp:positionV relativeFrom="paragraph">
                  <wp:posOffset>488950</wp:posOffset>
                </wp:positionV>
                <wp:extent cx="6781800" cy="635"/>
                <wp:effectExtent l="0" t="19050" r="0" b="37465"/>
                <wp:wrapNone/>
                <wp:docPr id="44" name="Straight Connector 4"/>
                <wp:cNvGraphicFramePr/>
                <a:graphic xmlns:a="http://schemas.openxmlformats.org/drawingml/2006/main">
                  <a:graphicData uri="http://schemas.microsoft.com/office/word/2010/wordprocessingShape">
                    <wps:wsp>
                      <wps:cNvCnPr/>
                      <wps:spPr>
                        <a:xfrm>
                          <a:off x="0" y="0"/>
                          <a:ext cx="6781800" cy="635"/>
                        </a:xfrm>
                        <a:prstGeom prst="straightConnector1">
                          <a:avLst/>
                        </a:prstGeom>
                        <a:ln w="38100" cap="flat" cmpd="sng">
                          <a:solidFill>
                            <a:srgbClr val="548DD4"/>
                          </a:solidFill>
                          <a:prstDash val="solid"/>
                          <a:headEnd type="none" w="med" len="med"/>
                          <a:tailEnd type="none" w="med" len="med"/>
                        </a:ln>
                      </wps:spPr>
                      <wps:bodyPr/>
                    </wps:wsp>
                  </a:graphicData>
                </a:graphic>
              </wp:anchor>
            </w:drawing>
          </mc:Choice>
          <mc:Fallback>
            <w:pict>
              <v:shape id="Straight Connector 4" o:spid="_x0000_s1026" o:spt="32" type="#_x0000_t32" style="position:absolute;left:0pt;margin-left:-67.5pt;margin-top:38.5pt;height:0.05pt;width:534pt;z-index:251662336;mso-width-relative:page;mso-height-relative:page;" filled="f" stroked="t" coordsize="21600,21600" o:gfxdata="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hstRc2AAA&#10;AAoBAAAPAAAAAAAAAAEAIAAAACIAAABkcnMvZG93bnJldi54bWxQSwECFAAUAAAACACHTuJAOhep&#10;k+UBAADtAwAADgAAAAAAAAABACAAAAAnAQAAZHJzL2Uyb0RvYy54bWxQSwUGAAAAAAYABgBZAQAA&#10;fgUAAAAA&#10;">
                <v:fill on="f" focussize="0,0"/>
                <v:stroke weight="3pt" color="#548DD4" joinstyle="round"/>
                <v:imagedata o:title=""/>
                <o:lock v:ext="edit" aspectratio="f"/>
              </v:shape>
            </w:pict>
          </mc:Fallback>
        </mc:AlternateContent>
      </w:r>
      <w:r>
        <w:rPr>
          <w:rFonts w:hint="eastAsia"/>
        </w:rPr>
        <w:t xml:space="preserve">                               </w:t>
      </w:r>
    </w:p>
    <w:tbl>
      <w:tblPr>
        <w:tblStyle w:val="11"/>
        <w:tblW w:w="9073" w:type="dxa"/>
        <w:tblInd w:w="-1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27"/>
        <w:gridCol w:w="69"/>
        <w:gridCol w:w="2199"/>
        <w:gridCol w:w="142"/>
        <w:gridCol w:w="1417"/>
        <w:gridCol w:w="426"/>
        <w:gridCol w:w="206"/>
        <w:gridCol w:w="24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4" w:hRule="atLeast"/>
        </w:trPr>
        <w:tc>
          <w:tcPr>
            <w:tcW w:w="2196" w:type="dxa"/>
            <w:gridSpan w:val="2"/>
            <w:vAlign w:val="center"/>
          </w:tcPr>
          <w:p>
            <w:pPr>
              <w:tabs>
                <w:tab w:val="left" w:pos="7088"/>
              </w:tabs>
              <w:jc w:val="center"/>
              <w:rPr>
                <w:b/>
                <w:sz w:val="30"/>
                <w:szCs w:val="30"/>
              </w:rPr>
            </w:pPr>
            <w:r>
              <w:rPr>
                <w:rFonts w:hint="eastAsia"/>
                <w:b/>
                <w:sz w:val="30"/>
                <w:szCs w:val="30"/>
              </w:rPr>
              <w:t>信息01</w:t>
            </w:r>
          </w:p>
        </w:tc>
        <w:tc>
          <w:tcPr>
            <w:tcW w:w="6877" w:type="dxa"/>
            <w:gridSpan w:val="6"/>
            <w:vAlign w:val="center"/>
          </w:tcPr>
          <w:p>
            <w:pPr>
              <w:widowControl/>
              <w:shd w:val="clear" w:color="auto" w:fill="FFFFFF"/>
              <w:spacing w:after="210"/>
              <w:jc w:val="left"/>
              <w:outlineLvl w:val="1"/>
              <w:rPr>
                <w:b/>
                <w:sz w:val="32"/>
                <w:szCs w:val="32"/>
              </w:rPr>
            </w:pPr>
            <w:r>
              <w:rPr>
                <w:rFonts w:hint="eastAsia" w:asciiTheme="minorEastAsia" w:hAnsiTheme="minorEastAsia" w:eastAsiaTheme="minorEastAsia"/>
                <w:b/>
                <w:sz w:val="36"/>
                <w:szCs w:val="36"/>
              </w:rPr>
              <w:t>2022年药品零售行业发展报告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7" w:hRule="atLeast"/>
        </w:trPr>
        <w:tc>
          <w:tcPr>
            <w:tcW w:w="2196" w:type="dxa"/>
            <w:gridSpan w:val="2"/>
            <w:vAlign w:val="center"/>
          </w:tcPr>
          <w:p>
            <w:pPr>
              <w:tabs>
                <w:tab w:val="left" w:pos="7088"/>
              </w:tabs>
              <w:jc w:val="center"/>
            </w:pPr>
            <w:r>
              <w:rPr>
                <w:rFonts w:hint="eastAsia"/>
                <w:b/>
                <w:sz w:val="30"/>
                <w:szCs w:val="30"/>
              </w:rPr>
              <w:t>发布</w:t>
            </w:r>
            <w:r>
              <w:rPr>
                <w:b/>
                <w:sz w:val="30"/>
                <w:szCs w:val="30"/>
              </w:rPr>
              <w:t>时间</w:t>
            </w:r>
          </w:p>
        </w:tc>
        <w:tc>
          <w:tcPr>
            <w:tcW w:w="2341" w:type="dxa"/>
            <w:gridSpan w:val="2"/>
            <w:vAlign w:val="center"/>
          </w:tcPr>
          <w:p>
            <w:pPr>
              <w:tabs>
                <w:tab w:val="left" w:pos="7088"/>
              </w:tabs>
              <w:jc w:val="center"/>
              <w:rPr>
                <w:rFonts w:asciiTheme="minorEastAsia" w:hAnsiTheme="minorEastAsia" w:eastAsiaTheme="minorEastAsia"/>
                <w:sz w:val="28"/>
                <w:szCs w:val="28"/>
              </w:rPr>
            </w:pPr>
            <w:r>
              <w:rPr>
                <w:rFonts w:asciiTheme="minorEastAsia" w:hAnsiTheme="minorEastAsia" w:eastAsiaTheme="minorEastAsia"/>
                <w:sz w:val="28"/>
                <w:szCs w:val="28"/>
              </w:rPr>
              <w:t>202</w:t>
            </w:r>
            <w:r>
              <w:rPr>
                <w:rFonts w:hint="eastAsia" w:asciiTheme="minorEastAsia" w:hAnsiTheme="minorEastAsia" w:eastAsiaTheme="minorEastAsia"/>
                <w:sz w:val="28"/>
                <w:szCs w:val="28"/>
              </w:rPr>
              <w:t>3</w:t>
            </w:r>
            <w:r>
              <w:rPr>
                <w:rFonts w:asciiTheme="minorEastAsia" w:hAnsiTheme="minorEastAsia" w:eastAsiaTheme="minorEastAsia"/>
                <w:sz w:val="28"/>
                <w:szCs w:val="28"/>
              </w:rPr>
              <w:t>-</w:t>
            </w:r>
            <w:r>
              <w:rPr>
                <w:rFonts w:hint="eastAsia" w:asciiTheme="minorEastAsia" w:hAnsiTheme="minorEastAsia" w:eastAsiaTheme="minorEastAsia"/>
                <w:sz w:val="28"/>
                <w:szCs w:val="28"/>
              </w:rPr>
              <w:t>2</w:t>
            </w:r>
            <w:r>
              <w:rPr>
                <w:rFonts w:asciiTheme="minorEastAsia" w:hAnsiTheme="minorEastAsia" w:eastAsiaTheme="minorEastAsia"/>
                <w:sz w:val="28"/>
                <w:szCs w:val="28"/>
              </w:rPr>
              <w:t>-</w:t>
            </w:r>
            <w:r>
              <w:rPr>
                <w:rFonts w:hint="eastAsia" w:asciiTheme="minorEastAsia" w:hAnsiTheme="minorEastAsia" w:eastAsiaTheme="minorEastAsia"/>
                <w:sz w:val="28"/>
                <w:szCs w:val="28"/>
              </w:rPr>
              <w:t>9</w:t>
            </w:r>
          </w:p>
        </w:tc>
        <w:tc>
          <w:tcPr>
            <w:tcW w:w="2049" w:type="dxa"/>
            <w:gridSpan w:val="3"/>
            <w:vAlign w:val="center"/>
          </w:tcPr>
          <w:p>
            <w:pPr>
              <w:tabs>
                <w:tab w:val="left" w:pos="7088"/>
              </w:tabs>
              <w:jc w:val="center"/>
              <w:rPr>
                <w:b/>
                <w:sz w:val="28"/>
                <w:szCs w:val="28"/>
              </w:rPr>
            </w:pPr>
            <w:r>
              <w:rPr>
                <w:rFonts w:hint="eastAsia"/>
                <w:b/>
                <w:sz w:val="30"/>
                <w:szCs w:val="30"/>
              </w:rPr>
              <w:t>信息来源</w:t>
            </w:r>
          </w:p>
        </w:tc>
        <w:tc>
          <w:tcPr>
            <w:tcW w:w="2487" w:type="dxa"/>
            <w:vAlign w:val="center"/>
          </w:tcPr>
          <w:p>
            <w:pPr>
              <w:tabs>
                <w:tab w:val="left" w:pos="7088"/>
              </w:tabs>
              <w:jc w:val="center"/>
              <w:rPr>
                <w:sz w:val="28"/>
                <w:szCs w:val="28"/>
              </w:rPr>
            </w:pPr>
            <w:r>
              <w:rPr>
                <w:rFonts w:hint="eastAsia"/>
                <w:sz w:val="28"/>
                <w:szCs w:val="28"/>
              </w:rPr>
              <w:t>新康界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0" w:hRule="atLeast"/>
        </w:trPr>
        <w:tc>
          <w:tcPr>
            <w:tcW w:w="2196" w:type="dxa"/>
            <w:gridSpan w:val="2"/>
            <w:vAlign w:val="center"/>
          </w:tcPr>
          <w:p>
            <w:pPr>
              <w:tabs>
                <w:tab w:val="left" w:pos="7088"/>
              </w:tabs>
              <w:jc w:val="center"/>
              <w:rPr>
                <w:b/>
                <w:sz w:val="30"/>
                <w:szCs w:val="30"/>
              </w:rPr>
            </w:pPr>
            <w:r>
              <w:rPr>
                <w:rFonts w:hint="eastAsia"/>
                <w:b/>
                <w:sz w:val="30"/>
                <w:szCs w:val="30"/>
              </w:rPr>
              <w:t>信息</w:t>
            </w:r>
            <w:r>
              <w:rPr>
                <w:b/>
                <w:sz w:val="30"/>
                <w:szCs w:val="30"/>
              </w:rPr>
              <w:t>提供</w:t>
            </w:r>
          </w:p>
        </w:tc>
        <w:tc>
          <w:tcPr>
            <w:tcW w:w="2341" w:type="dxa"/>
            <w:gridSpan w:val="2"/>
            <w:vAlign w:val="center"/>
          </w:tcPr>
          <w:p>
            <w:pPr>
              <w:tabs>
                <w:tab w:val="left" w:pos="7088"/>
              </w:tabs>
              <w:jc w:val="center"/>
              <w:rPr>
                <w:sz w:val="28"/>
                <w:szCs w:val="28"/>
              </w:rPr>
            </w:pPr>
            <w:r>
              <w:rPr>
                <w:rFonts w:hint="eastAsia"/>
                <w:sz w:val="28"/>
                <w:szCs w:val="28"/>
              </w:rPr>
              <w:t>运营管理部</w:t>
            </w:r>
          </w:p>
        </w:tc>
        <w:tc>
          <w:tcPr>
            <w:tcW w:w="2049" w:type="dxa"/>
            <w:gridSpan w:val="3"/>
            <w:vAlign w:val="center"/>
          </w:tcPr>
          <w:p>
            <w:pPr>
              <w:tabs>
                <w:tab w:val="left" w:pos="7088"/>
              </w:tabs>
              <w:jc w:val="center"/>
              <w:rPr>
                <w:b/>
                <w:sz w:val="28"/>
                <w:szCs w:val="28"/>
              </w:rPr>
            </w:pPr>
            <w:r>
              <w:rPr>
                <w:rFonts w:hint="eastAsia"/>
                <w:b/>
                <w:sz w:val="30"/>
                <w:szCs w:val="30"/>
              </w:rPr>
              <w:t>信息确认</w:t>
            </w:r>
          </w:p>
        </w:tc>
        <w:tc>
          <w:tcPr>
            <w:tcW w:w="2487" w:type="dxa"/>
            <w:vAlign w:val="center"/>
          </w:tcPr>
          <w:p>
            <w:pPr>
              <w:tabs>
                <w:tab w:val="left" w:pos="7088"/>
              </w:tabs>
              <w:jc w:val="center"/>
              <w:rPr>
                <w:sz w:val="28"/>
                <w:szCs w:val="28"/>
              </w:rPr>
            </w:pPr>
            <w:r>
              <w:rPr>
                <w:rFonts w:hint="eastAsia"/>
                <w:sz w:val="28"/>
                <w:szCs w:val="28"/>
              </w:rPr>
              <w:t>彭宇飞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0" w:hRule="atLeast"/>
        </w:trPr>
        <w:tc>
          <w:tcPr>
            <w:tcW w:w="2196" w:type="dxa"/>
            <w:gridSpan w:val="2"/>
            <w:tcBorders>
              <w:bottom w:val="single" w:color="auto" w:sz="4" w:space="0"/>
            </w:tcBorders>
            <w:vAlign w:val="center"/>
          </w:tcPr>
          <w:p>
            <w:pPr>
              <w:tabs>
                <w:tab w:val="left" w:pos="7088"/>
              </w:tabs>
              <w:ind w:firstLine="301" w:firstLineChars="100"/>
              <w:rPr>
                <w:b/>
                <w:sz w:val="30"/>
                <w:szCs w:val="30"/>
              </w:rPr>
            </w:pPr>
            <w:r>
              <w:rPr>
                <w:rFonts w:hint="eastAsia"/>
                <w:b/>
                <w:sz w:val="30"/>
                <w:szCs w:val="30"/>
              </w:rPr>
              <w:t>确认</w:t>
            </w:r>
            <w:r>
              <w:rPr>
                <w:b/>
                <w:sz w:val="30"/>
                <w:szCs w:val="30"/>
              </w:rPr>
              <w:t>结果</w:t>
            </w:r>
          </w:p>
        </w:tc>
        <w:tc>
          <w:tcPr>
            <w:tcW w:w="6877" w:type="dxa"/>
            <w:gridSpan w:val="6"/>
            <w:tcBorders>
              <w:bottom w:val="single" w:color="auto" w:sz="4" w:space="0"/>
            </w:tcBorders>
            <w:vAlign w:val="center"/>
          </w:tcPr>
          <w:p>
            <w:pPr>
              <w:tabs>
                <w:tab w:val="left" w:pos="7088"/>
              </w:tabs>
              <w:jc w:val="left"/>
              <w:rPr>
                <w:sz w:val="28"/>
                <w:szCs w:val="28"/>
              </w:rPr>
            </w:pPr>
            <w:r>
              <w:rPr>
                <w:rFonts w:hint="eastAsia" w:asciiTheme="minorEastAsia" w:hAnsiTheme="minorEastAsia" w:eastAsiaTheme="minorEastAsia"/>
                <w:sz w:val="28"/>
                <w:szCs w:val="28"/>
              </w:rPr>
              <w:t>来源：</w:t>
            </w:r>
            <w:r>
              <w:rPr>
                <w:rFonts w:hint="eastAsia"/>
                <w:sz w:val="28"/>
                <w:szCs w:val="28"/>
              </w:rPr>
              <w:t xml:space="preserve"> 新康界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27" w:hRule="atLeast"/>
        </w:trPr>
        <w:tc>
          <w:tcPr>
            <w:tcW w:w="2196" w:type="dxa"/>
            <w:gridSpan w:val="2"/>
            <w:tcBorders>
              <w:top w:val="single" w:color="auto" w:sz="4" w:space="0"/>
            </w:tcBorders>
            <w:vAlign w:val="center"/>
          </w:tcPr>
          <w:p>
            <w:pPr>
              <w:tabs>
                <w:tab w:val="left" w:pos="7088"/>
              </w:tabs>
              <w:jc w:val="center"/>
              <w:rPr>
                <w:b/>
                <w:sz w:val="30"/>
                <w:szCs w:val="30"/>
              </w:rPr>
            </w:pPr>
            <w:r>
              <w:rPr>
                <w:rFonts w:hint="eastAsia"/>
                <w:b/>
                <w:sz w:val="30"/>
                <w:szCs w:val="30"/>
              </w:rPr>
              <w:t>关键词</w:t>
            </w:r>
          </w:p>
        </w:tc>
        <w:tc>
          <w:tcPr>
            <w:tcW w:w="6877" w:type="dxa"/>
            <w:gridSpan w:val="6"/>
            <w:tcBorders>
              <w:top w:val="single" w:color="auto" w:sz="4" w:space="0"/>
            </w:tcBorders>
            <w:vAlign w:val="center"/>
          </w:tcPr>
          <w:p>
            <w:pPr>
              <w:tabs>
                <w:tab w:val="left" w:pos="7088"/>
              </w:tabs>
              <w:jc w:val="left"/>
              <w:rPr>
                <w:rFonts w:cs="宋体" w:asciiTheme="minorEastAsia" w:hAnsiTheme="minorEastAsia" w:eastAsiaTheme="minorEastAsia"/>
                <w:kern w:val="0"/>
                <w:sz w:val="28"/>
                <w:szCs w:val="28"/>
              </w:rPr>
            </w:pPr>
            <w:r>
              <w:rPr>
                <w:rFonts w:hint="eastAsia" w:cs="宋体" w:asciiTheme="minorEastAsia" w:hAnsiTheme="minorEastAsia" w:eastAsiaTheme="minorEastAsia"/>
                <w:kern w:val="0"/>
                <w:sz w:val="28"/>
                <w:szCs w:val="28"/>
              </w:rPr>
              <w:t xml:space="preserve">药品零售  市场  现状  趋势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76" w:hRule="atLeast"/>
        </w:trPr>
        <w:tc>
          <w:tcPr>
            <w:tcW w:w="2196" w:type="dxa"/>
            <w:gridSpan w:val="2"/>
            <w:vAlign w:val="center"/>
          </w:tcPr>
          <w:p>
            <w:pPr>
              <w:tabs>
                <w:tab w:val="left" w:pos="7088"/>
              </w:tabs>
              <w:jc w:val="center"/>
              <w:rPr>
                <w:b/>
                <w:sz w:val="30"/>
                <w:szCs w:val="30"/>
              </w:rPr>
            </w:pPr>
            <w:r>
              <w:rPr>
                <w:b/>
                <w:sz w:val="30"/>
                <w:szCs w:val="30"/>
              </w:rPr>
              <w:t>内容概要</w:t>
            </w:r>
          </w:p>
        </w:tc>
        <w:tc>
          <w:tcPr>
            <w:tcW w:w="6877" w:type="dxa"/>
            <w:gridSpan w:val="6"/>
          </w:tcPr>
          <w:p>
            <w:pPr>
              <w:rPr>
                <w:rFonts w:asciiTheme="minorEastAsia" w:hAnsiTheme="minorEastAsia" w:eastAsiaTheme="minorEastAsia"/>
                <w:sz w:val="28"/>
                <w:szCs w:val="28"/>
                <w:shd w:val="clear" w:color="auto" w:fill="FFFFFF"/>
              </w:rPr>
            </w:pPr>
            <w:r>
              <w:rPr>
                <w:rFonts w:hint="eastAsia" w:asciiTheme="minorEastAsia" w:hAnsiTheme="minorEastAsia" w:eastAsiaTheme="minorEastAsia"/>
                <w:sz w:val="28"/>
                <w:szCs w:val="28"/>
                <w:shd w:val="clear" w:color="auto" w:fill="FFFFFF"/>
              </w:rPr>
              <w:t>1、行 业 政 策 背 景</w:t>
            </w:r>
          </w:p>
          <w:p>
            <w:pPr>
              <w:rPr>
                <w:rFonts w:asciiTheme="minorEastAsia" w:hAnsiTheme="minorEastAsia" w:eastAsiaTheme="minorEastAsia"/>
                <w:sz w:val="28"/>
                <w:szCs w:val="28"/>
                <w:shd w:val="clear" w:color="auto" w:fill="FFFFFF"/>
              </w:rPr>
            </w:pPr>
            <w:r>
              <w:rPr>
                <w:rFonts w:hint="eastAsia" w:asciiTheme="minorEastAsia" w:hAnsiTheme="minorEastAsia" w:eastAsiaTheme="minorEastAsia"/>
                <w:sz w:val="28"/>
                <w:szCs w:val="28"/>
                <w:shd w:val="clear" w:color="auto" w:fill="FFFFFF"/>
              </w:rPr>
              <w:t>集采、“零差率”对药店经营带来挑战，双通道政策有利地推动了处方药外流，个账改革对药品零售行业的影响分析。</w:t>
            </w:r>
          </w:p>
          <w:p>
            <w:pPr>
              <w:rPr>
                <w:rFonts w:asciiTheme="minorEastAsia" w:hAnsiTheme="minorEastAsia" w:eastAsiaTheme="minorEastAsia"/>
                <w:sz w:val="28"/>
                <w:szCs w:val="28"/>
                <w:shd w:val="clear" w:color="auto" w:fill="FFFFFF"/>
              </w:rPr>
            </w:pPr>
            <w:r>
              <w:rPr>
                <w:rFonts w:hint="eastAsia" w:asciiTheme="minorEastAsia" w:hAnsiTheme="minorEastAsia" w:eastAsiaTheme="minorEastAsia"/>
                <w:sz w:val="28"/>
                <w:szCs w:val="28"/>
                <w:shd w:val="clear" w:color="auto" w:fill="FFFFFF"/>
              </w:rPr>
              <w:t>2、行 业 发 展 现 状</w:t>
            </w:r>
          </w:p>
          <w:p>
            <w:pPr>
              <w:rPr>
                <w:rFonts w:asciiTheme="minorEastAsia" w:hAnsiTheme="minorEastAsia" w:eastAsiaTheme="minorEastAsia"/>
                <w:sz w:val="28"/>
                <w:szCs w:val="28"/>
                <w:shd w:val="clear" w:color="auto" w:fill="FFFFFF"/>
              </w:rPr>
            </w:pPr>
            <w:r>
              <w:rPr>
                <w:rFonts w:hint="eastAsia" w:asciiTheme="minorEastAsia" w:hAnsiTheme="minorEastAsia" w:eastAsiaTheme="minorEastAsia"/>
                <w:sz w:val="28"/>
                <w:szCs w:val="28"/>
                <w:shd w:val="clear" w:color="auto" w:fill="FFFFFF"/>
              </w:rPr>
              <w:t>近5年全国药店总数年复合增长率达6.6%，保持快速增长势头；药店连锁化率从2017年的50.5%增加到2021年的57.2%，增速较快，但发达国家相比我国药店连锁率仍然较低。</w:t>
            </w:r>
          </w:p>
          <w:p>
            <w:pPr>
              <w:rPr>
                <w:rFonts w:asciiTheme="minorEastAsia" w:hAnsiTheme="minorEastAsia" w:eastAsiaTheme="minorEastAsia"/>
                <w:sz w:val="28"/>
                <w:szCs w:val="28"/>
              </w:rPr>
            </w:pPr>
            <w:r>
              <w:rPr>
                <w:rFonts w:hint="eastAsia" w:asciiTheme="minorEastAsia" w:hAnsiTheme="minorEastAsia" w:eastAsiaTheme="minorEastAsia"/>
                <w:sz w:val="28"/>
                <w:szCs w:val="28"/>
              </w:rPr>
              <w:t>3、行 业 发 展 趋 势</w:t>
            </w:r>
          </w:p>
          <w:p>
            <w:pPr>
              <w:widowControl/>
              <w:shd w:val="clear" w:color="auto" w:fill="FFFFFF"/>
              <w:spacing w:after="190"/>
              <w:outlineLvl w:val="1"/>
            </w:pPr>
            <w:r>
              <w:rPr>
                <w:rFonts w:hint="eastAsia" w:asciiTheme="minorEastAsia" w:hAnsiTheme="minorEastAsia" w:eastAsiaTheme="minorEastAsia"/>
                <w:sz w:val="28"/>
                <w:szCs w:val="28"/>
              </w:rPr>
              <w:t>DTP药房具有确切发展前景，药店并购趋于理性、上市企业借助资本的力量持续扩张，连锁药店围绕大健康全产业链，探索多元化经营。</w:t>
            </w:r>
          </w:p>
          <w:p>
            <w:pPr>
              <w:widowControl/>
              <w:shd w:val="clear" w:color="auto" w:fill="FFFFFF"/>
              <w:spacing w:after="190"/>
              <w:outlineLvl w:val="1"/>
            </w:pPr>
          </w:p>
          <w:p>
            <w:pPr>
              <w:widowControl/>
              <w:shd w:val="clear" w:color="auto" w:fill="FFFFFF"/>
              <w:spacing w:after="190"/>
              <w:outlineLvl w:val="1"/>
              <w:rPr>
                <w:rFonts w:asciiTheme="minorEastAsia" w:hAnsiTheme="minorEastAsia"/>
                <w:sz w:val="28"/>
                <w:szCs w:val="28"/>
                <w:shd w:val="clear" w:color="auto" w:fill="FFFFFF"/>
              </w:rPr>
            </w:pPr>
            <w:r>
              <w:rPr>
                <w:rFonts w:hint="eastAsia"/>
              </w:rPr>
              <w:t>附件1: 2022年药品零售行业发展报告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8" w:hRule="atLeast"/>
        </w:trPr>
        <w:tc>
          <w:tcPr>
            <w:tcW w:w="2127" w:type="dxa"/>
            <w:vAlign w:val="center"/>
          </w:tcPr>
          <w:p>
            <w:pPr>
              <w:tabs>
                <w:tab w:val="left" w:pos="5245"/>
              </w:tabs>
              <w:jc w:val="center"/>
              <w:rPr>
                <w:b/>
                <w:sz w:val="30"/>
                <w:szCs w:val="30"/>
              </w:rPr>
            </w:pPr>
            <w:r>
              <w:rPr>
                <w:rFonts w:hint="eastAsia"/>
                <w:b/>
                <w:sz w:val="30"/>
                <w:szCs w:val="30"/>
              </w:rPr>
              <w:t>信息02</w:t>
            </w:r>
          </w:p>
        </w:tc>
        <w:tc>
          <w:tcPr>
            <w:tcW w:w="6946" w:type="dxa"/>
            <w:gridSpan w:val="7"/>
            <w:vAlign w:val="center"/>
          </w:tcPr>
          <w:p>
            <w:pPr>
              <w:pStyle w:val="21"/>
              <w:ind w:firstLine="0" w:firstLineChars="0"/>
              <w:rPr>
                <w:rFonts w:asciiTheme="minorEastAsia" w:hAnsiTheme="minorEastAsia" w:eastAsiaTheme="minorEastAsia"/>
                <w:b/>
                <w:sz w:val="32"/>
                <w:szCs w:val="32"/>
              </w:rPr>
            </w:pPr>
            <w:r>
              <w:rPr>
                <w:rFonts w:hint="eastAsia" w:asciiTheme="minorEastAsia" w:hAnsiTheme="minorEastAsia" w:eastAsiaTheme="minorEastAsia"/>
                <w:b/>
                <w:sz w:val="36"/>
                <w:szCs w:val="36"/>
              </w:rPr>
              <w:t>国家医疗保障局办公室关于进一步做好定点零售药店纳入门诊统筹管理的通知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8" w:hRule="atLeast"/>
        </w:trPr>
        <w:tc>
          <w:tcPr>
            <w:tcW w:w="2127" w:type="dxa"/>
            <w:vAlign w:val="center"/>
          </w:tcPr>
          <w:p>
            <w:pPr>
              <w:tabs>
                <w:tab w:val="left" w:pos="5245"/>
              </w:tabs>
              <w:jc w:val="center"/>
            </w:pPr>
            <w:r>
              <w:rPr>
                <w:rFonts w:hint="eastAsia"/>
                <w:b/>
                <w:sz w:val="30"/>
                <w:szCs w:val="30"/>
              </w:rPr>
              <w:t>发布</w:t>
            </w:r>
            <w:r>
              <w:rPr>
                <w:b/>
                <w:sz w:val="30"/>
                <w:szCs w:val="30"/>
              </w:rPr>
              <w:t>时间</w:t>
            </w:r>
          </w:p>
        </w:tc>
        <w:tc>
          <w:tcPr>
            <w:tcW w:w="2268" w:type="dxa"/>
            <w:gridSpan w:val="2"/>
            <w:vAlign w:val="center"/>
          </w:tcPr>
          <w:p>
            <w:pPr>
              <w:widowControl/>
              <w:spacing w:line="300" w:lineRule="atLeast"/>
              <w:jc w:val="center"/>
              <w:rPr>
                <w:rFonts w:asciiTheme="minorEastAsia" w:hAnsiTheme="minorEastAsia" w:eastAsiaTheme="minorEastAsia"/>
                <w:sz w:val="28"/>
                <w:szCs w:val="28"/>
              </w:rPr>
            </w:pPr>
            <w:r>
              <w:rPr>
                <w:rFonts w:cs="Helvetica" w:asciiTheme="minorEastAsia" w:hAnsiTheme="minorEastAsia" w:eastAsiaTheme="minorEastAsia"/>
                <w:kern w:val="0"/>
                <w:sz w:val="28"/>
                <w:szCs w:val="28"/>
              </w:rPr>
              <w:t>202</w:t>
            </w:r>
            <w:r>
              <w:rPr>
                <w:rFonts w:hint="eastAsia" w:cs="Helvetica" w:asciiTheme="minorEastAsia" w:hAnsiTheme="minorEastAsia" w:eastAsiaTheme="minorEastAsia"/>
                <w:kern w:val="0"/>
                <w:sz w:val="28"/>
                <w:szCs w:val="28"/>
              </w:rPr>
              <w:t>3</w:t>
            </w:r>
            <w:r>
              <w:rPr>
                <w:rFonts w:cs="Helvetica" w:asciiTheme="minorEastAsia" w:hAnsiTheme="minorEastAsia" w:eastAsiaTheme="minorEastAsia"/>
                <w:kern w:val="0"/>
                <w:sz w:val="28"/>
                <w:szCs w:val="28"/>
              </w:rPr>
              <w:t>-</w:t>
            </w:r>
            <w:r>
              <w:rPr>
                <w:rFonts w:hint="eastAsia" w:cs="Helvetica" w:asciiTheme="minorEastAsia" w:hAnsiTheme="minorEastAsia" w:eastAsiaTheme="minorEastAsia"/>
                <w:kern w:val="0"/>
                <w:sz w:val="28"/>
                <w:szCs w:val="28"/>
              </w:rPr>
              <w:t>2</w:t>
            </w:r>
            <w:r>
              <w:rPr>
                <w:rFonts w:cs="Helvetica" w:asciiTheme="minorEastAsia" w:hAnsiTheme="minorEastAsia" w:eastAsiaTheme="minorEastAsia"/>
                <w:kern w:val="0"/>
                <w:sz w:val="28"/>
                <w:szCs w:val="28"/>
              </w:rPr>
              <w:t>-</w:t>
            </w:r>
            <w:r>
              <w:rPr>
                <w:rFonts w:hint="eastAsia" w:cs="Helvetica" w:asciiTheme="minorEastAsia" w:hAnsiTheme="minorEastAsia" w:eastAsiaTheme="minorEastAsia"/>
                <w:kern w:val="0"/>
                <w:sz w:val="28"/>
                <w:szCs w:val="28"/>
              </w:rPr>
              <w:t>15</w:t>
            </w:r>
          </w:p>
        </w:tc>
        <w:tc>
          <w:tcPr>
            <w:tcW w:w="1559" w:type="dxa"/>
            <w:gridSpan w:val="2"/>
            <w:vAlign w:val="center"/>
          </w:tcPr>
          <w:p>
            <w:pPr>
              <w:jc w:val="center"/>
              <w:rPr>
                <w:b/>
                <w:sz w:val="30"/>
                <w:szCs w:val="30"/>
              </w:rPr>
            </w:pPr>
            <w:r>
              <w:rPr>
                <w:rFonts w:hint="eastAsia"/>
                <w:b/>
                <w:sz w:val="30"/>
                <w:szCs w:val="30"/>
              </w:rPr>
              <w:t>信息来源</w:t>
            </w:r>
          </w:p>
        </w:tc>
        <w:tc>
          <w:tcPr>
            <w:tcW w:w="3119" w:type="dxa"/>
            <w:gridSpan w:val="3"/>
            <w:vAlign w:val="center"/>
          </w:tcPr>
          <w:p>
            <w:pPr>
              <w:jc w:val="center"/>
              <w:rPr>
                <w:rFonts w:ascii="Helvetica" w:hAnsi="Helvetica" w:cs="Helvetica"/>
                <w:kern w:val="0"/>
                <w:sz w:val="28"/>
                <w:szCs w:val="28"/>
              </w:rPr>
            </w:pPr>
            <w:r>
              <w:rPr>
                <w:rFonts w:hint="eastAsia" w:ascii="Helvetica" w:hAnsi="Helvetica" w:cs="Helvetica"/>
                <w:kern w:val="0"/>
                <w:sz w:val="28"/>
                <w:szCs w:val="28"/>
              </w:rPr>
              <w:t>国家医保局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trPr>
        <w:tc>
          <w:tcPr>
            <w:tcW w:w="2127" w:type="dxa"/>
            <w:vAlign w:val="center"/>
          </w:tcPr>
          <w:p>
            <w:pPr>
              <w:tabs>
                <w:tab w:val="left" w:pos="5245"/>
              </w:tabs>
              <w:jc w:val="center"/>
              <w:rPr>
                <w:b/>
                <w:sz w:val="30"/>
                <w:szCs w:val="30"/>
              </w:rPr>
            </w:pPr>
            <w:r>
              <w:rPr>
                <w:rFonts w:hint="eastAsia"/>
                <w:b/>
                <w:sz w:val="30"/>
                <w:szCs w:val="30"/>
              </w:rPr>
              <w:t>信息</w:t>
            </w:r>
            <w:r>
              <w:rPr>
                <w:b/>
                <w:sz w:val="30"/>
                <w:szCs w:val="30"/>
              </w:rPr>
              <w:t>提供</w:t>
            </w:r>
          </w:p>
        </w:tc>
        <w:tc>
          <w:tcPr>
            <w:tcW w:w="2268" w:type="dxa"/>
            <w:gridSpan w:val="2"/>
            <w:vAlign w:val="center"/>
          </w:tcPr>
          <w:p>
            <w:pPr>
              <w:jc w:val="center"/>
              <w:rPr>
                <w:sz w:val="28"/>
                <w:szCs w:val="28"/>
              </w:rPr>
            </w:pPr>
            <w:r>
              <w:rPr>
                <w:rFonts w:hint="eastAsia"/>
                <w:sz w:val="28"/>
                <w:szCs w:val="28"/>
              </w:rPr>
              <w:t>运营管理部</w:t>
            </w:r>
          </w:p>
        </w:tc>
        <w:tc>
          <w:tcPr>
            <w:tcW w:w="1559" w:type="dxa"/>
            <w:gridSpan w:val="2"/>
            <w:vAlign w:val="center"/>
          </w:tcPr>
          <w:p>
            <w:pPr>
              <w:jc w:val="center"/>
              <w:rPr>
                <w:b/>
                <w:sz w:val="28"/>
                <w:szCs w:val="28"/>
              </w:rPr>
            </w:pPr>
            <w:r>
              <w:rPr>
                <w:rFonts w:hint="eastAsia"/>
                <w:b/>
                <w:sz w:val="30"/>
                <w:szCs w:val="30"/>
              </w:rPr>
              <w:t>信息确认</w:t>
            </w:r>
          </w:p>
        </w:tc>
        <w:tc>
          <w:tcPr>
            <w:tcW w:w="3119" w:type="dxa"/>
            <w:gridSpan w:val="3"/>
            <w:vAlign w:val="center"/>
          </w:tcPr>
          <w:p>
            <w:pPr>
              <w:jc w:val="center"/>
              <w:rPr>
                <w:sz w:val="28"/>
                <w:szCs w:val="28"/>
              </w:rPr>
            </w:pPr>
            <w:r>
              <w:rPr>
                <w:rFonts w:hint="eastAsia"/>
                <w:sz w:val="28"/>
                <w:szCs w:val="28"/>
              </w:rPr>
              <w:t>彭宇飞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9" w:hRule="atLeast"/>
        </w:trPr>
        <w:tc>
          <w:tcPr>
            <w:tcW w:w="2127" w:type="dxa"/>
            <w:vAlign w:val="center"/>
          </w:tcPr>
          <w:p>
            <w:pPr>
              <w:tabs>
                <w:tab w:val="left" w:pos="5245"/>
              </w:tabs>
              <w:jc w:val="center"/>
              <w:rPr>
                <w:b/>
                <w:sz w:val="30"/>
                <w:szCs w:val="30"/>
              </w:rPr>
            </w:pPr>
            <w:r>
              <w:rPr>
                <w:rFonts w:hint="eastAsia"/>
                <w:b/>
                <w:sz w:val="30"/>
                <w:szCs w:val="30"/>
              </w:rPr>
              <w:t>确认</w:t>
            </w:r>
            <w:r>
              <w:rPr>
                <w:b/>
                <w:sz w:val="30"/>
                <w:szCs w:val="30"/>
              </w:rPr>
              <w:t>结果</w:t>
            </w:r>
          </w:p>
        </w:tc>
        <w:tc>
          <w:tcPr>
            <w:tcW w:w="6946" w:type="dxa"/>
            <w:gridSpan w:val="7"/>
            <w:vAlign w:val="center"/>
          </w:tcPr>
          <w:p>
            <w:pPr>
              <w:rPr>
                <w:rFonts w:cs="Helvetica" w:asciiTheme="minorEastAsia" w:hAnsiTheme="minorEastAsia" w:eastAsiaTheme="minorEastAsia"/>
                <w:kern w:val="0"/>
                <w:sz w:val="32"/>
                <w:szCs w:val="32"/>
              </w:rPr>
            </w:pPr>
            <w:r>
              <w:rPr>
                <w:rFonts w:asciiTheme="minorEastAsia" w:hAnsiTheme="minorEastAsia" w:eastAsiaTheme="minorEastAsia"/>
                <w:sz w:val="28"/>
                <w:szCs w:val="28"/>
              </w:rPr>
              <w:t>来源：</w:t>
            </w:r>
            <w:r>
              <w:rPr>
                <w:rFonts w:hint="eastAsia" w:ascii="Helvetica" w:hAnsi="Helvetica" w:cs="Helvetica"/>
                <w:kern w:val="0"/>
                <w:sz w:val="28"/>
                <w:szCs w:val="28"/>
              </w:rPr>
              <w:t>国家医保局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8" w:hRule="atLeast"/>
        </w:trPr>
        <w:tc>
          <w:tcPr>
            <w:tcW w:w="2127" w:type="dxa"/>
            <w:vAlign w:val="center"/>
          </w:tcPr>
          <w:p>
            <w:pPr>
              <w:tabs>
                <w:tab w:val="left" w:pos="5245"/>
              </w:tabs>
              <w:jc w:val="center"/>
              <w:rPr>
                <w:b/>
                <w:sz w:val="30"/>
                <w:szCs w:val="30"/>
              </w:rPr>
            </w:pPr>
            <w:r>
              <w:rPr>
                <w:rFonts w:hint="eastAsia"/>
                <w:b/>
                <w:sz w:val="30"/>
                <w:szCs w:val="30"/>
              </w:rPr>
              <w:t>关键词</w:t>
            </w:r>
          </w:p>
        </w:tc>
        <w:tc>
          <w:tcPr>
            <w:tcW w:w="6946" w:type="dxa"/>
            <w:gridSpan w:val="7"/>
            <w:vAlign w:val="center"/>
          </w:tcPr>
          <w:p>
            <w:pPr>
              <w:jc w:val="left"/>
              <w:rPr>
                <w:sz w:val="28"/>
                <w:szCs w:val="28"/>
              </w:rPr>
            </w:pPr>
            <w:r>
              <w:rPr>
                <w:rFonts w:hint="eastAsia" w:asciiTheme="minorEastAsia" w:hAnsiTheme="minorEastAsia"/>
                <w:sz w:val="28"/>
                <w:szCs w:val="28"/>
                <w:shd w:val="clear" w:color="auto" w:fill="FFFFFF"/>
              </w:rPr>
              <w:t>零售药店  门诊统筹</w:t>
            </w:r>
            <w:r>
              <w:rPr>
                <w:rFonts w:hint="eastAsia" w:asciiTheme="minorEastAsia" w:hAnsiTheme="minorEastAsia"/>
                <w:sz w:val="28"/>
                <w:szCs w:val="28"/>
              </w:rPr>
              <w:t xml:space="preserve">  支付政策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71" w:hRule="atLeast"/>
        </w:trPr>
        <w:tc>
          <w:tcPr>
            <w:tcW w:w="2127" w:type="dxa"/>
            <w:vAlign w:val="center"/>
          </w:tcPr>
          <w:p>
            <w:pPr>
              <w:tabs>
                <w:tab w:val="left" w:pos="5245"/>
              </w:tabs>
              <w:jc w:val="center"/>
              <w:rPr>
                <w:b/>
                <w:sz w:val="30"/>
                <w:szCs w:val="30"/>
              </w:rPr>
            </w:pPr>
            <w:r>
              <w:rPr>
                <w:rFonts w:hint="eastAsia"/>
                <w:b/>
                <w:sz w:val="30"/>
                <w:szCs w:val="30"/>
              </w:rPr>
              <w:t>内容概要</w:t>
            </w:r>
          </w:p>
        </w:tc>
        <w:tc>
          <w:tcPr>
            <w:tcW w:w="6946" w:type="dxa"/>
            <w:gridSpan w:val="7"/>
          </w:tcPr>
          <w:p>
            <w:pPr>
              <w:widowControl/>
              <w:shd w:val="clear" w:color="auto" w:fill="FFFFFF"/>
              <w:spacing w:after="190"/>
              <w:ind w:firstLine="620" w:firstLineChars="200"/>
              <w:outlineLvl w:val="1"/>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2月15日晚，国家医保局发布《国家医疗保障局办公室关于进一步做好定点零售药店纳入门诊统筹管理的通知》（以下简称《通知》），《通知》的发布意味着药店纳入门诊统筹正式起步，这是医改走向医药分家的关键一步。</w:t>
            </w:r>
          </w:p>
          <w:p>
            <w:pPr>
              <w:widowControl/>
              <w:numPr>
                <w:ilvl w:val="0"/>
                <w:numId w:val="1"/>
              </w:numPr>
              <w:shd w:val="clear" w:color="auto" w:fill="FFFFFF"/>
              <w:spacing w:after="190"/>
              <w:ind w:firstLine="620" w:firstLineChars="200"/>
              <w:outlineLvl w:val="1"/>
              <w:rPr>
                <w:rStyle w:val="13"/>
                <w:rFonts w:cs="Helvetica" w:asciiTheme="minorEastAsia" w:hAnsiTheme="minorEastAsia" w:eastAsiaTheme="minorEastAsia"/>
                <w:b w:val="0"/>
                <w:spacing w:val="15"/>
                <w:sz w:val="28"/>
                <w:szCs w:val="28"/>
              </w:rPr>
            </w:pPr>
            <w:r>
              <w:rPr>
                <w:rStyle w:val="13"/>
                <w:rFonts w:hint="eastAsia" w:cs="Helvetica" w:asciiTheme="minorEastAsia" w:hAnsiTheme="minorEastAsia" w:eastAsiaTheme="minorEastAsia"/>
                <w:b w:val="0"/>
                <w:spacing w:val="15"/>
                <w:sz w:val="28"/>
                <w:szCs w:val="28"/>
              </w:rPr>
              <w:t>高度重视定点零售药店纳入门诊统筹工作；</w:t>
            </w:r>
          </w:p>
          <w:p>
            <w:pPr>
              <w:widowControl/>
              <w:numPr>
                <w:ilvl w:val="0"/>
                <w:numId w:val="1"/>
              </w:numPr>
              <w:shd w:val="clear" w:color="auto" w:fill="FFFFFF"/>
              <w:spacing w:after="190"/>
              <w:ind w:firstLine="620" w:firstLineChars="200"/>
              <w:outlineLvl w:val="1"/>
              <w:rPr>
                <w:rStyle w:val="13"/>
                <w:rFonts w:cs="Helvetica" w:asciiTheme="minorEastAsia" w:hAnsiTheme="minorEastAsia" w:eastAsiaTheme="minorEastAsia"/>
                <w:b w:val="0"/>
                <w:spacing w:val="15"/>
                <w:sz w:val="28"/>
                <w:szCs w:val="28"/>
              </w:rPr>
            </w:pPr>
            <w:r>
              <w:rPr>
                <w:rStyle w:val="13"/>
                <w:rFonts w:hint="eastAsia" w:cs="Helvetica" w:asciiTheme="minorEastAsia" w:hAnsiTheme="minorEastAsia" w:eastAsiaTheme="minorEastAsia"/>
                <w:b w:val="0"/>
                <w:spacing w:val="15"/>
                <w:sz w:val="28"/>
                <w:szCs w:val="28"/>
              </w:rPr>
              <w:t>积极支持定点零售药店开通门诊统筹服务</w:t>
            </w:r>
          </w:p>
          <w:p>
            <w:pPr>
              <w:widowControl/>
              <w:numPr>
                <w:ilvl w:val="0"/>
                <w:numId w:val="1"/>
              </w:numPr>
              <w:shd w:val="clear" w:color="auto" w:fill="FFFFFF"/>
              <w:spacing w:after="190"/>
              <w:ind w:firstLine="620" w:firstLineChars="200"/>
              <w:outlineLvl w:val="1"/>
              <w:rPr>
                <w:rStyle w:val="13"/>
                <w:rFonts w:cs="Helvetica" w:asciiTheme="minorEastAsia" w:hAnsiTheme="minorEastAsia" w:eastAsiaTheme="minorEastAsia"/>
                <w:b w:val="0"/>
                <w:spacing w:val="15"/>
                <w:sz w:val="28"/>
                <w:szCs w:val="28"/>
              </w:rPr>
            </w:pPr>
            <w:r>
              <w:rPr>
                <w:rStyle w:val="13"/>
                <w:rFonts w:hint="eastAsia" w:cs="Helvetica" w:asciiTheme="minorEastAsia" w:hAnsiTheme="minorEastAsia" w:eastAsiaTheme="minorEastAsia"/>
                <w:b w:val="0"/>
                <w:spacing w:val="15"/>
                <w:sz w:val="28"/>
                <w:szCs w:val="28"/>
              </w:rPr>
              <w:t>完善定点零售药店门诊统筹支付政策</w:t>
            </w:r>
          </w:p>
          <w:p>
            <w:pPr>
              <w:widowControl/>
              <w:numPr>
                <w:ilvl w:val="0"/>
                <w:numId w:val="1"/>
              </w:numPr>
              <w:shd w:val="clear" w:color="auto" w:fill="FFFFFF"/>
              <w:spacing w:after="190"/>
              <w:ind w:firstLine="620" w:firstLineChars="200"/>
              <w:outlineLvl w:val="1"/>
              <w:rPr>
                <w:rStyle w:val="13"/>
                <w:rFonts w:cs="Helvetica" w:asciiTheme="minorEastAsia" w:hAnsiTheme="minorEastAsia" w:eastAsiaTheme="minorEastAsia"/>
                <w:b w:val="0"/>
                <w:spacing w:val="15"/>
                <w:sz w:val="28"/>
                <w:szCs w:val="28"/>
              </w:rPr>
            </w:pPr>
            <w:r>
              <w:rPr>
                <w:rStyle w:val="13"/>
                <w:rFonts w:hint="eastAsia" w:cs="Helvetica" w:asciiTheme="minorEastAsia" w:hAnsiTheme="minorEastAsia" w:eastAsiaTheme="minorEastAsia"/>
                <w:b w:val="0"/>
                <w:spacing w:val="15"/>
                <w:sz w:val="28"/>
                <w:szCs w:val="28"/>
              </w:rPr>
              <w:t>明确定点零售药店纳入门诊统筹的配套政策</w:t>
            </w:r>
          </w:p>
          <w:p>
            <w:pPr>
              <w:widowControl/>
              <w:shd w:val="clear" w:color="auto" w:fill="FFFFFF"/>
              <w:spacing w:after="190"/>
              <w:outlineLvl w:val="1"/>
              <w:rPr>
                <w:rFonts w:asciiTheme="minorEastAsia" w:hAnsiTheme="minorEastAsia"/>
                <w:sz w:val="28"/>
                <w:szCs w:val="28"/>
                <w:shd w:val="clear" w:color="auto" w:fill="FFFFFF"/>
              </w:rPr>
            </w:pPr>
            <w:r>
              <w:rPr>
                <w:rFonts w:hint="eastAsia"/>
              </w:rPr>
              <w:t>附件2：国家医疗保障局办公室关于进一步做好定点零售药店纳入门诊统筹管理的通知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1" w:hRule="atLeast"/>
        </w:trPr>
        <w:tc>
          <w:tcPr>
            <w:tcW w:w="2127" w:type="dxa"/>
            <w:vAlign w:val="center"/>
          </w:tcPr>
          <w:p>
            <w:pPr>
              <w:tabs>
                <w:tab w:val="left" w:pos="7088"/>
              </w:tabs>
              <w:jc w:val="center"/>
              <w:rPr>
                <w:b/>
                <w:sz w:val="30"/>
                <w:szCs w:val="30"/>
              </w:rPr>
            </w:pPr>
            <w:r>
              <w:rPr>
                <w:rFonts w:hint="eastAsia"/>
                <w:b/>
                <w:sz w:val="30"/>
                <w:szCs w:val="30"/>
              </w:rPr>
              <w:t>信息03</w:t>
            </w:r>
          </w:p>
        </w:tc>
        <w:tc>
          <w:tcPr>
            <w:tcW w:w="6946" w:type="dxa"/>
            <w:gridSpan w:val="7"/>
            <w:vAlign w:val="center"/>
          </w:tcPr>
          <w:p>
            <w:pPr>
              <w:rPr>
                <w:b/>
                <w:sz w:val="32"/>
                <w:szCs w:val="32"/>
              </w:rPr>
            </w:pPr>
            <w:r>
              <w:rPr>
                <w:rFonts w:hint="eastAsia" w:asciiTheme="minorEastAsia" w:hAnsiTheme="minorEastAsia" w:eastAsiaTheme="minorEastAsia"/>
                <w:b/>
                <w:sz w:val="36"/>
                <w:szCs w:val="36"/>
              </w:rPr>
              <w:t>第八批国采官宣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9" w:hRule="atLeast"/>
        </w:trPr>
        <w:tc>
          <w:tcPr>
            <w:tcW w:w="2127" w:type="dxa"/>
            <w:tcBorders>
              <w:bottom w:val="single" w:color="auto" w:sz="4" w:space="0"/>
            </w:tcBorders>
            <w:vAlign w:val="center"/>
          </w:tcPr>
          <w:p>
            <w:pPr>
              <w:tabs>
                <w:tab w:val="left" w:pos="7088"/>
              </w:tabs>
              <w:jc w:val="center"/>
            </w:pPr>
            <w:r>
              <w:rPr>
                <w:rFonts w:hint="eastAsia"/>
                <w:b/>
                <w:sz w:val="30"/>
                <w:szCs w:val="30"/>
              </w:rPr>
              <w:t>发布</w:t>
            </w:r>
            <w:r>
              <w:rPr>
                <w:b/>
                <w:sz w:val="30"/>
                <w:szCs w:val="30"/>
              </w:rPr>
              <w:t>时间</w:t>
            </w:r>
          </w:p>
        </w:tc>
        <w:tc>
          <w:tcPr>
            <w:tcW w:w="2268" w:type="dxa"/>
            <w:gridSpan w:val="2"/>
            <w:tcBorders>
              <w:bottom w:val="single" w:color="auto" w:sz="4" w:space="0"/>
            </w:tcBorders>
            <w:vAlign w:val="center"/>
          </w:tcPr>
          <w:p>
            <w:pPr>
              <w:tabs>
                <w:tab w:val="left" w:pos="7088"/>
              </w:tabs>
              <w:jc w:val="center"/>
              <w:rPr>
                <w:rFonts w:asciiTheme="minorEastAsia" w:hAnsiTheme="minorEastAsia" w:eastAsiaTheme="minorEastAsia"/>
                <w:sz w:val="28"/>
                <w:szCs w:val="28"/>
              </w:rPr>
            </w:pPr>
            <w:r>
              <w:rPr>
                <w:rFonts w:asciiTheme="minorEastAsia" w:hAnsiTheme="minorEastAsia" w:eastAsiaTheme="minorEastAsia"/>
                <w:sz w:val="28"/>
                <w:szCs w:val="28"/>
              </w:rPr>
              <w:t>202</w:t>
            </w:r>
            <w:r>
              <w:rPr>
                <w:rFonts w:hint="eastAsia" w:asciiTheme="minorEastAsia" w:hAnsiTheme="minorEastAsia" w:eastAsiaTheme="minorEastAsia"/>
                <w:sz w:val="28"/>
                <w:szCs w:val="28"/>
              </w:rPr>
              <w:t>3</w:t>
            </w:r>
            <w:r>
              <w:rPr>
                <w:rFonts w:asciiTheme="minorEastAsia" w:hAnsiTheme="minorEastAsia" w:eastAsiaTheme="minorEastAsia"/>
                <w:sz w:val="28"/>
                <w:szCs w:val="28"/>
              </w:rPr>
              <w:t>-</w:t>
            </w:r>
            <w:r>
              <w:rPr>
                <w:rFonts w:hint="eastAsia" w:asciiTheme="minorEastAsia" w:hAnsiTheme="minorEastAsia" w:eastAsiaTheme="minorEastAsia"/>
                <w:sz w:val="28"/>
                <w:szCs w:val="28"/>
              </w:rPr>
              <w:t>2</w:t>
            </w:r>
            <w:r>
              <w:rPr>
                <w:rFonts w:asciiTheme="minorEastAsia" w:hAnsiTheme="minorEastAsia" w:eastAsiaTheme="minorEastAsia"/>
                <w:sz w:val="28"/>
                <w:szCs w:val="28"/>
              </w:rPr>
              <w:t>-</w:t>
            </w:r>
            <w:r>
              <w:rPr>
                <w:rFonts w:hint="eastAsia" w:asciiTheme="minorEastAsia" w:hAnsiTheme="minorEastAsia" w:eastAsiaTheme="minorEastAsia"/>
                <w:sz w:val="28"/>
                <w:szCs w:val="28"/>
              </w:rPr>
              <w:t>17</w:t>
            </w:r>
          </w:p>
        </w:tc>
        <w:tc>
          <w:tcPr>
            <w:tcW w:w="1985" w:type="dxa"/>
            <w:gridSpan w:val="3"/>
            <w:tcBorders>
              <w:bottom w:val="single" w:color="auto" w:sz="4" w:space="0"/>
            </w:tcBorders>
            <w:vAlign w:val="center"/>
          </w:tcPr>
          <w:p>
            <w:pPr>
              <w:tabs>
                <w:tab w:val="left" w:pos="7088"/>
              </w:tabs>
              <w:jc w:val="center"/>
              <w:rPr>
                <w:b/>
                <w:sz w:val="28"/>
                <w:szCs w:val="28"/>
              </w:rPr>
            </w:pPr>
            <w:r>
              <w:rPr>
                <w:rFonts w:hint="eastAsia"/>
                <w:b/>
                <w:sz w:val="30"/>
                <w:szCs w:val="30"/>
              </w:rPr>
              <w:t>信息来源</w:t>
            </w:r>
          </w:p>
        </w:tc>
        <w:tc>
          <w:tcPr>
            <w:tcW w:w="2693" w:type="dxa"/>
            <w:gridSpan w:val="2"/>
            <w:tcBorders>
              <w:bottom w:val="single" w:color="auto" w:sz="4" w:space="0"/>
            </w:tcBorders>
            <w:vAlign w:val="center"/>
          </w:tcPr>
          <w:p>
            <w:pPr>
              <w:tabs>
                <w:tab w:val="left" w:pos="7088"/>
              </w:tabs>
              <w:jc w:val="center"/>
              <w:rPr>
                <w:sz w:val="28"/>
                <w:szCs w:val="28"/>
              </w:rPr>
            </w:pPr>
            <w:r>
              <w:rPr>
                <w:rFonts w:hint="eastAsia" w:asciiTheme="minorEastAsia" w:hAnsiTheme="minorEastAsia" w:eastAsiaTheme="minorEastAsia"/>
                <w:sz w:val="28"/>
                <w:szCs w:val="28"/>
              </w:rPr>
              <w:t>医药经济报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trPr>
        <w:tc>
          <w:tcPr>
            <w:tcW w:w="2127" w:type="dxa"/>
            <w:tcBorders>
              <w:top w:val="single" w:color="auto" w:sz="4" w:space="0"/>
            </w:tcBorders>
            <w:vAlign w:val="center"/>
          </w:tcPr>
          <w:p>
            <w:pPr>
              <w:tabs>
                <w:tab w:val="left" w:pos="7088"/>
              </w:tabs>
              <w:jc w:val="center"/>
              <w:rPr>
                <w:b/>
                <w:sz w:val="30"/>
                <w:szCs w:val="30"/>
              </w:rPr>
            </w:pPr>
            <w:r>
              <w:rPr>
                <w:rFonts w:hint="eastAsia"/>
                <w:b/>
                <w:sz w:val="30"/>
                <w:szCs w:val="30"/>
              </w:rPr>
              <w:t>信息</w:t>
            </w:r>
            <w:r>
              <w:rPr>
                <w:b/>
                <w:sz w:val="30"/>
                <w:szCs w:val="30"/>
              </w:rPr>
              <w:t>提供</w:t>
            </w:r>
          </w:p>
        </w:tc>
        <w:tc>
          <w:tcPr>
            <w:tcW w:w="2268" w:type="dxa"/>
            <w:gridSpan w:val="2"/>
            <w:tcBorders>
              <w:top w:val="single" w:color="auto" w:sz="4" w:space="0"/>
            </w:tcBorders>
            <w:vAlign w:val="center"/>
          </w:tcPr>
          <w:p>
            <w:pPr>
              <w:tabs>
                <w:tab w:val="left" w:pos="7088"/>
              </w:tabs>
              <w:jc w:val="center"/>
              <w:rPr>
                <w:sz w:val="28"/>
                <w:szCs w:val="28"/>
              </w:rPr>
            </w:pPr>
            <w:r>
              <w:rPr>
                <w:rFonts w:hint="eastAsia"/>
                <w:sz w:val="28"/>
                <w:szCs w:val="28"/>
              </w:rPr>
              <w:t>运营管理部</w:t>
            </w:r>
          </w:p>
        </w:tc>
        <w:tc>
          <w:tcPr>
            <w:tcW w:w="1985" w:type="dxa"/>
            <w:gridSpan w:val="3"/>
            <w:tcBorders>
              <w:top w:val="single" w:color="auto" w:sz="4" w:space="0"/>
            </w:tcBorders>
            <w:vAlign w:val="center"/>
          </w:tcPr>
          <w:p>
            <w:pPr>
              <w:tabs>
                <w:tab w:val="left" w:pos="7088"/>
              </w:tabs>
              <w:jc w:val="center"/>
              <w:rPr>
                <w:b/>
                <w:sz w:val="28"/>
                <w:szCs w:val="28"/>
              </w:rPr>
            </w:pPr>
            <w:r>
              <w:rPr>
                <w:rFonts w:hint="eastAsia"/>
                <w:b/>
                <w:sz w:val="30"/>
                <w:szCs w:val="30"/>
              </w:rPr>
              <w:t>信息确认</w:t>
            </w:r>
          </w:p>
        </w:tc>
        <w:tc>
          <w:tcPr>
            <w:tcW w:w="2693" w:type="dxa"/>
            <w:gridSpan w:val="2"/>
            <w:tcBorders>
              <w:top w:val="single" w:color="auto" w:sz="4" w:space="0"/>
            </w:tcBorders>
            <w:vAlign w:val="center"/>
          </w:tcPr>
          <w:p>
            <w:pPr>
              <w:tabs>
                <w:tab w:val="left" w:pos="7088"/>
              </w:tabs>
              <w:jc w:val="center"/>
              <w:rPr>
                <w:sz w:val="28"/>
                <w:szCs w:val="28"/>
              </w:rPr>
            </w:pPr>
            <w:r>
              <w:rPr>
                <w:rFonts w:hint="eastAsia"/>
                <w:sz w:val="28"/>
                <w:szCs w:val="28"/>
              </w:rPr>
              <w:t>彭宇飞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4" w:hRule="atLeast"/>
        </w:trPr>
        <w:tc>
          <w:tcPr>
            <w:tcW w:w="2127" w:type="dxa"/>
            <w:vAlign w:val="center"/>
          </w:tcPr>
          <w:p>
            <w:pPr>
              <w:tabs>
                <w:tab w:val="left" w:pos="7088"/>
              </w:tabs>
              <w:ind w:firstLine="301" w:firstLineChars="100"/>
              <w:rPr>
                <w:b/>
                <w:sz w:val="30"/>
                <w:szCs w:val="30"/>
              </w:rPr>
            </w:pPr>
            <w:r>
              <w:rPr>
                <w:rFonts w:hint="eastAsia"/>
                <w:b/>
                <w:sz w:val="30"/>
                <w:szCs w:val="30"/>
              </w:rPr>
              <w:t>确认</w:t>
            </w:r>
            <w:r>
              <w:rPr>
                <w:b/>
                <w:sz w:val="30"/>
                <w:szCs w:val="30"/>
              </w:rPr>
              <w:t>结果</w:t>
            </w:r>
          </w:p>
        </w:tc>
        <w:tc>
          <w:tcPr>
            <w:tcW w:w="6946" w:type="dxa"/>
            <w:gridSpan w:val="7"/>
            <w:vAlign w:val="center"/>
          </w:tcPr>
          <w:p>
            <w:pPr>
              <w:tabs>
                <w:tab w:val="left" w:pos="7088"/>
              </w:tabs>
              <w:jc w:val="left"/>
              <w:rPr>
                <w:sz w:val="28"/>
                <w:szCs w:val="28"/>
              </w:rPr>
            </w:pPr>
            <w:r>
              <w:rPr>
                <w:rFonts w:hint="eastAsia" w:asciiTheme="minorEastAsia" w:hAnsiTheme="minorEastAsia" w:eastAsiaTheme="minorEastAsia"/>
                <w:sz w:val="28"/>
                <w:szCs w:val="28"/>
              </w:rPr>
              <w:t>来源：医药经济报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2127" w:type="dxa"/>
            <w:vAlign w:val="center"/>
          </w:tcPr>
          <w:p>
            <w:pPr>
              <w:tabs>
                <w:tab w:val="left" w:pos="7088"/>
              </w:tabs>
              <w:jc w:val="center"/>
              <w:rPr>
                <w:b/>
                <w:sz w:val="30"/>
                <w:szCs w:val="30"/>
              </w:rPr>
            </w:pPr>
            <w:r>
              <w:rPr>
                <w:rFonts w:hint="eastAsia"/>
                <w:b/>
                <w:sz w:val="30"/>
                <w:szCs w:val="30"/>
              </w:rPr>
              <w:t>关键词</w:t>
            </w:r>
          </w:p>
        </w:tc>
        <w:tc>
          <w:tcPr>
            <w:tcW w:w="6946" w:type="dxa"/>
            <w:gridSpan w:val="7"/>
            <w:vAlign w:val="center"/>
          </w:tcPr>
          <w:p>
            <w:pPr>
              <w:tabs>
                <w:tab w:val="left" w:pos="7088"/>
              </w:tabs>
              <w:jc w:val="left"/>
              <w:rPr>
                <w:rFonts w:cs="宋体" w:asciiTheme="minorEastAsia" w:hAnsiTheme="minorEastAsia" w:eastAsiaTheme="minorEastAsia"/>
                <w:kern w:val="0"/>
                <w:sz w:val="28"/>
                <w:szCs w:val="28"/>
              </w:rPr>
            </w:pPr>
            <w:r>
              <w:rPr>
                <w:rFonts w:hint="eastAsia" w:cs="宋体" w:asciiTheme="minorEastAsia" w:hAnsiTheme="minorEastAsia" w:eastAsiaTheme="minorEastAsia"/>
                <w:kern w:val="0"/>
                <w:sz w:val="28"/>
                <w:szCs w:val="28"/>
              </w:rPr>
              <w:t xml:space="preserve">国采  品种  领域  规模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27" w:hRule="atLeast"/>
        </w:trPr>
        <w:tc>
          <w:tcPr>
            <w:tcW w:w="2127" w:type="dxa"/>
            <w:vAlign w:val="center"/>
          </w:tcPr>
          <w:p>
            <w:pPr>
              <w:tabs>
                <w:tab w:val="left" w:pos="7088"/>
              </w:tabs>
              <w:jc w:val="center"/>
              <w:rPr>
                <w:b/>
                <w:sz w:val="30"/>
                <w:szCs w:val="30"/>
              </w:rPr>
            </w:pPr>
            <w:r>
              <w:rPr>
                <w:b/>
                <w:sz w:val="30"/>
                <w:szCs w:val="30"/>
              </w:rPr>
              <w:t>内容概要</w:t>
            </w:r>
          </w:p>
        </w:tc>
        <w:tc>
          <w:tcPr>
            <w:tcW w:w="6946" w:type="dxa"/>
            <w:gridSpan w:val="7"/>
          </w:tcPr>
          <w:p>
            <w:pPr>
              <w:jc w:val="left"/>
              <w:rPr>
                <w:rFonts w:asciiTheme="minorEastAsia" w:hAnsiTheme="minorEastAsia"/>
                <w:sz w:val="28"/>
                <w:szCs w:val="28"/>
                <w:shd w:val="clear" w:color="auto" w:fill="FFFFFF"/>
              </w:rPr>
            </w:pP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2月17日，上海阳光医药采购网发布《关于开展第八批国家组织药品集中采购相关药品信息填报工作的通知》（下称《通知》），正式拉开新一轮国家集采序幕。</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本次国采共涉及41个品种（以药品名称计），181个品规，抗感染药物市场持续洗牌，肝素类产品首次进入国采名单，抗血栓、高血压用药市场再迎变局……另一方面，注射剂剂型仍然是本次国采的“大头”，占比超过60%，达到27个品种。</w:t>
            </w:r>
          </w:p>
          <w:p>
            <w:pPr>
              <w:rPr>
                <w:rStyle w:val="13"/>
                <w:rFonts w:cs="Helvetica" w:asciiTheme="minorEastAsia" w:hAnsiTheme="minorEastAsia"/>
                <w:b w:val="0"/>
                <w:spacing w:val="15"/>
                <w:sz w:val="28"/>
                <w:szCs w:val="28"/>
              </w:rPr>
            </w:pPr>
          </w:p>
          <w:p>
            <w:pPr>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附：药品填报范围详细名单</w:t>
            </w:r>
          </w:p>
          <w:p>
            <w:pPr>
              <w:rPr>
                <w:rFonts w:asciiTheme="minorEastAsia" w:hAnsiTheme="minorEastAsia"/>
                <w:sz w:val="28"/>
                <w:szCs w:val="28"/>
                <w:shd w:val="clear" w:color="auto" w:fill="FFFFFF"/>
              </w:rPr>
            </w:pPr>
          </w:p>
          <w:p>
            <w:pPr>
              <w:rPr>
                <w:rFonts w:asciiTheme="minorEastAsia" w:hAnsiTheme="minorEastAsia"/>
                <w:sz w:val="28"/>
                <w:szCs w:val="28"/>
                <w:shd w:val="clear" w:color="auto" w:fill="FFFFFF"/>
              </w:rPr>
            </w:pPr>
          </w:p>
          <w:p>
            <w:pPr>
              <w:widowControl/>
              <w:shd w:val="clear" w:color="auto" w:fill="FFFFFF"/>
              <w:spacing w:after="190"/>
              <w:outlineLvl w:val="1"/>
              <w:rPr>
                <w:rFonts w:asciiTheme="minorEastAsia" w:hAnsiTheme="minorEastAsia"/>
                <w:sz w:val="28"/>
                <w:szCs w:val="28"/>
                <w:shd w:val="clear" w:color="auto" w:fill="FFFFFF"/>
              </w:rPr>
            </w:pPr>
            <w:r>
              <w:rPr>
                <w:rFonts w:hint="eastAsia"/>
              </w:rPr>
              <w:t>附件3: 第八批国采官宣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90" w:hRule="atLeast"/>
        </w:trPr>
        <w:tc>
          <w:tcPr>
            <w:tcW w:w="2127" w:type="dxa"/>
            <w:tcBorders>
              <w:right w:val="outset" w:color="auto" w:sz="6" w:space="0"/>
            </w:tcBorders>
            <w:vAlign w:val="center"/>
          </w:tcPr>
          <w:p>
            <w:pPr>
              <w:tabs>
                <w:tab w:val="left" w:pos="7088"/>
              </w:tabs>
              <w:jc w:val="center"/>
              <w:rPr>
                <w:b/>
                <w:sz w:val="30"/>
                <w:szCs w:val="30"/>
              </w:rPr>
            </w:pPr>
            <w:r>
              <w:rPr>
                <w:rFonts w:hint="eastAsia"/>
                <w:b/>
                <w:sz w:val="30"/>
                <w:szCs w:val="30"/>
              </w:rPr>
              <w:t>信息04</w:t>
            </w:r>
          </w:p>
        </w:tc>
        <w:tc>
          <w:tcPr>
            <w:tcW w:w="6946" w:type="dxa"/>
            <w:gridSpan w:val="7"/>
            <w:tcBorders>
              <w:top w:val="outset" w:color="auto" w:sz="6" w:space="0"/>
              <w:left w:val="outset" w:color="auto" w:sz="6" w:space="0"/>
              <w:bottom w:val="inset" w:color="auto" w:sz="6" w:space="0"/>
              <w:right w:val="inset" w:color="auto" w:sz="6" w:space="0"/>
            </w:tcBorders>
            <w:vAlign w:val="center"/>
          </w:tcPr>
          <w:p>
            <w:pPr>
              <w:widowControl/>
              <w:shd w:val="clear" w:color="auto" w:fill="FFFFFF"/>
              <w:spacing w:after="210"/>
              <w:jc w:val="left"/>
              <w:outlineLvl w:val="1"/>
              <w:rPr>
                <w:b/>
                <w:sz w:val="32"/>
                <w:szCs w:val="32"/>
              </w:rPr>
            </w:pPr>
            <w:r>
              <w:rPr>
                <w:rFonts w:hint="eastAsia" w:asciiTheme="minorEastAsia" w:hAnsiTheme="minorEastAsia" w:eastAsiaTheme="minorEastAsia"/>
                <w:b/>
                <w:sz w:val="36"/>
                <w:szCs w:val="36"/>
              </w:rPr>
              <w:t>2022年医药B2C市场规模近千亿，同比增长27%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8" w:hRule="atLeast"/>
        </w:trPr>
        <w:tc>
          <w:tcPr>
            <w:tcW w:w="2127" w:type="dxa"/>
            <w:vAlign w:val="center"/>
          </w:tcPr>
          <w:p>
            <w:pPr>
              <w:tabs>
                <w:tab w:val="left" w:pos="7088"/>
              </w:tabs>
              <w:jc w:val="center"/>
            </w:pPr>
            <w:r>
              <w:rPr>
                <w:rFonts w:hint="eastAsia"/>
                <w:b/>
                <w:sz w:val="30"/>
                <w:szCs w:val="30"/>
              </w:rPr>
              <w:t>发布</w:t>
            </w:r>
            <w:r>
              <w:rPr>
                <w:b/>
                <w:sz w:val="30"/>
                <w:szCs w:val="30"/>
              </w:rPr>
              <w:t>时间</w:t>
            </w:r>
          </w:p>
        </w:tc>
        <w:tc>
          <w:tcPr>
            <w:tcW w:w="2268" w:type="dxa"/>
            <w:gridSpan w:val="2"/>
            <w:tcBorders>
              <w:top w:val="inset" w:color="auto" w:sz="6" w:space="0"/>
            </w:tcBorders>
            <w:vAlign w:val="center"/>
          </w:tcPr>
          <w:p>
            <w:pPr>
              <w:tabs>
                <w:tab w:val="left" w:pos="7088"/>
              </w:tabs>
              <w:jc w:val="center"/>
              <w:rPr>
                <w:rFonts w:asciiTheme="minorEastAsia" w:hAnsiTheme="minorEastAsia" w:eastAsiaTheme="minorEastAsia"/>
                <w:sz w:val="28"/>
                <w:szCs w:val="28"/>
              </w:rPr>
            </w:pPr>
            <w:r>
              <w:rPr>
                <w:rFonts w:asciiTheme="minorEastAsia" w:hAnsiTheme="minorEastAsia" w:eastAsiaTheme="minorEastAsia"/>
                <w:sz w:val="28"/>
                <w:szCs w:val="28"/>
              </w:rPr>
              <w:t>202</w:t>
            </w:r>
            <w:r>
              <w:rPr>
                <w:rFonts w:hint="eastAsia" w:asciiTheme="minorEastAsia" w:hAnsiTheme="minorEastAsia" w:eastAsiaTheme="minorEastAsia"/>
                <w:sz w:val="28"/>
                <w:szCs w:val="28"/>
              </w:rPr>
              <w:t>3</w:t>
            </w:r>
            <w:r>
              <w:rPr>
                <w:rFonts w:asciiTheme="minorEastAsia" w:hAnsiTheme="minorEastAsia" w:eastAsiaTheme="minorEastAsia"/>
                <w:sz w:val="28"/>
                <w:szCs w:val="28"/>
              </w:rPr>
              <w:t>-</w:t>
            </w:r>
            <w:r>
              <w:rPr>
                <w:rFonts w:hint="eastAsia" w:asciiTheme="minorEastAsia" w:hAnsiTheme="minorEastAsia" w:eastAsiaTheme="minorEastAsia"/>
                <w:sz w:val="28"/>
                <w:szCs w:val="28"/>
              </w:rPr>
              <w:t>2</w:t>
            </w:r>
            <w:r>
              <w:rPr>
                <w:rFonts w:asciiTheme="minorEastAsia" w:hAnsiTheme="minorEastAsia" w:eastAsiaTheme="minorEastAsia"/>
                <w:sz w:val="28"/>
                <w:szCs w:val="28"/>
              </w:rPr>
              <w:t>-</w:t>
            </w:r>
            <w:r>
              <w:rPr>
                <w:rFonts w:hint="eastAsia" w:asciiTheme="minorEastAsia" w:hAnsiTheme="minorEastAsia" w:eastAsiaTheme="minorEastAsia"/>
                <w:sz w:val="28"/>
                <w:szCs w:val="28"/>
              </w:rPr>
              <w:t>17</w:t>
            </w:r>
          </w:p>
        </w:tc>
        <w:tc>
          <w:tcPr>
            <w:tcW w:w="1985" w:type="dxa"/>
            <w:gridSpan w:val="3"/>
            <w:tcBorders>
              <w:top w:val="inset" w:color="auto" w:sz="6" w:space="0"/>
            </w:tcBorders>
            <w:vAlign w:val="center"/>
          </w:tcPr>
          <w:p>
            <w:pPr>
              <w:tabs>
                <w:tab w:val="left" w:pos="7088"/>
              </w:tabs>
              <w:jc w:val="center"/>
              <w:rPr>
                <w:b/>
                <w:sz w:val="28"/>
                <w:szCs w:val="28"/>
              </w:rPr>
            </w:pPr>
            <w:r>
              <w:rPr>
                <w:rFonts w:hint="eastAsia"/>
                <w:b/>
                <w:sz w:val="30"/>
                <w:szCs w:val="30"/>
              </w:rPr>
              <w:t>信息来源</w:t>
            </w:r>
          </w:p>
        </w:tc>
        <w:tc>
          <w:tcPr>
            <w:tcW w:w="2693" w:type="dxa"/>
            <w:gridSpan w:val="2"/>
            <w:tcBorders>
              <w:top w:val="inset" w:color="auto" w:sz="6" w:space="0"/>
            </w:tcBorders>
            <w:vAlign w:val="center"/>
          </w:tcPr>
          <w:p>
            <w:pPr>
              <w:tabs>
                <w:tab w:val="left" w:pos="7088"/>
              </w:tabs>
              <w:jc w:val="center"/>
              <w:rPr>
                <w:sz w:val="28"/>
                <w:szCs w:val="28"/>
              </w:rPr>
            </w:pPr>
            <w:r>
              <w:rPr>
                <w:rFonts w:hint="eastAsia" w:asciiTheme="minorEastAsia" w:hAnsiTheme="minorEastAsia" w:eastAsiaTheme="minorEastAsia"/>
                <w:sz w:val="28"/>
                <w:szCs w:val="28"/>
              </w:rPr>
              <w:t>第一药店财智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6" w:hRule="atLeast"/>
        </w:trPr>
        <w:tc>
          <w:tcPr>
            <w:tcW w:w="2127" w:type="dxa"/>
            <w:vAlign w:val="center"/>
          </w:tcPr>
          <w:p>
            <w:pPr>
              <w:tabs>
                <w:tab w:val="left" w:pos="7088"/>
              </w:tabs>
              <w:jc w:val="center"/>
              <w:rPr>
                <w:b/>
                <w:sz w:val="30"/>
                <w:szCs w:val="30"/>
              </w:rPr>
            </w:pPr>
            <w:r>
              <w:rPr>
                <w:rFonts w:hint="eastAsia"/>
                <w:b/>
                <w:sz w:val="30"/>
                <w:szCs w:val="30"/>
              </w:rPr>
              <w:t>信息</w:t>
            </w:r>
            <w:r>
              <w:rPr>
                <w:b/>
                <w:sz w:val="30"/>
                <w:szCs w:val="30"/>
              </w:rPr>
              <w:t>提供</w:t>
            </w:r>
          </w:p>
        </w:tc>
        <w:tc>
          <w:tcPr>
            <w:tcW w:w="2268" w:type="dxa"/>
            <w:gridSpan w:val="2"/>
            <w:vAlign w:val="center"/>
          </w:tcPr>
          <w:p>
            <w:pPr>
              <w:tabs>
                <w:tab w:val="left" w:pos="7088"/>
              </w:tabs>
              <w:jc w:val="center"/>
              <w:rPr>
                <w:sz w:val="28"/>
                <w:szCs w:val="28"/>
              </w:rPr>
            </w:pPr>
            <w:r>
              <w:rPr>
                <w:rFonts w:hint="eastAsia"/>
                <w:sz w:val="28"/>
                <w:szCs w:val="28"/>
              </w:rPr>
              <w:t>运营管理部</w:t>
            </w:r>
          </w:p>
        </w:tc>
        <w:tc>
          <w:tcPr>
            <w:tcW w:w="1985" w:type="dxa"/>
            <w:gridSpan w:val="3"/>
            <w:vAlign w:val="center"/>
          </w:tcPr>
          <w:p>
            <w:pPr>
              <w:tabs>
                <w:tab w:val="left" w:pos="7088"/>
              </w:tabs>
              <w:jc w:val="center"/>
              <w:rPr>
                <w:b/>
                <w:sz w:val="28"/>
                <w:szCs w:val="28"/>
              </w:rPr>
            </w:pPr>
            <w:r>
              <w:rPr>
                <w:rFonts w:hint="eastAsia"/>
                <w:b/>
                <w:sz w:val="30"/>
                <w:szCs w:val="30"/>
              </w:rPr>
              <w:t>信息确认</w:t>
            </w:r>
          </w:p>
        </w:tc>
        <w:tc>
          <w:tcPr>
            <w:tcW w:w="2693" w:type="dxa"/>
            <w:gridSpan w:val="2"/>
            <w:vAlign w:val="center"/>
          </w:tcPr>
          <w:p>
            <w:pPr>
              <w:tabs>
                <w:tab w:val="left" w:pos="7088"/>
              </w:tabs>
              <w:jc w:val="center"/>
              <w:rPr>
                <w:sz w:val="28"/>
                <w:szCs w:val="28"/>
              </w:rPr>
            </w:pPr>
            <w:r>
              <w:rPr>
                <w:rFonts w:hint="eastAsia"/>
                <w:sz w:val="28"/>
                <w:szCs w:val="28"/>
              </w:rPr>
              <w:t>彭宇飞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8" w:hRule="atLeast"/>
        </w:trPr>
        <w:tc>
          <w:tcPr>
            <w:tcW w:w="2127" w:type="dxa"/>
            <w:tcBorders>
              <w:bottom w:val="single" w:color="auto" w:sz="4" w:space="0"/>
            </w:tcBorders>
            <w:vAlign w:val="center"/>
          </w:tcPr>
          <w:p>
            <w:pPr>
              <w:tabs>
                <w:tab w:val="left" w:pos="7088"/>
              </w:tabs>
              <w:ind w:firstLine="301" w:firstLineChars="100"/>
              <w:rPr>
                <w:b/>
                <w:sz w:val="30"/>
                <w:szCs w:val="30"/>
              </w:rPr>
            </w:pPr>
            <w:r>
              <w:rPr>
                <w:rFonts w:hint="eastAsia"/>
                <w:b/>
                <w:sz w:val="30"/>
                <w:szCs w:val="30"/>
              </w:rPr>
              <w:t>确认</w:t>
            </w:r>
            <w:r>
              <w:rPr>
                <w:b/>
                <w:sz w:val="30"/>
                <w:szCs w:val="30"/>
              </w:rPr>
              <w:t>结果</w:t>
            </w:r>
          </w:p>
        </w:tc>
        <w:tc>
          <w:tcPr>
            <w:tcW w:w="6946" w:type="dxa"/>
            <w:gridSpan w:val="7"/>
            <w:tcBorders>
              <w:bottom w:val="single" w:color="auto" w:sz="4" w:space="0"/>
            </w:tcBorders>
            <w:vAlign w:val="center"/>
          </w:tcPr>
          <w:p>
            <w:pPr>
              <w:tabs>
                <w:tab w:val="left" w:pos="7088"/>
              </w:tabs>
              <w:jc w:val="left"/>
              <w:rPr>
                <w:sz w:val="28"/>
                <w:szCs w:val="28"/>
              </w:rPr>
            </w:pPr>
            <w:r>
              <w:rPr>
                <w:rFonts w:hint="eastAsia" w:asciiTheme="minorEastAsia" w:hAnsiTheme="minorEastAsia" w:eastAsiaTheme="minorEastAsia"/>
                <w:sz w:val="28"/>
                <w:szCs w:val="28"/>
              </w:rPr>
              <w:t>来源：第一药店财智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8" w:hRule="atLeast"/>
        </w:trPr>
        <w:tc>
          <w:tcPr>
            <w:tcW w:w="2127" w:type="dxa"/>
            <w:tcBorders>
              <w:top w:val="single" w:color="auto" w:sz="4" w:space="0"/>
            </w:tcBorders>
            <w:vAlign w:val="center"/>
          </w:tcPr>
          <w:p>
            <w:pPr>
              <w:tabs>
                <w:tab w:val="left" w:pos="7088"/>
              </w:tabs>
              <w:jc w:val="center"/>
              <w:rPr>
                <w:b/>
                <w:sz w:val="30"/>
                <w:szCs w:val="30"/>
              </w:rPr>
            </w:pPr>
            <w:r>
              <w:rPr>
                <w:rFonts w:hint="eastAsia"/>
                <w:b/>
                <w:sz w:val="30"/>
                <w:szCs w:val="30"/>
              </w:rPr>
              <w:t>关键词</w:t>
            </w:r>
          </w:p>
        </w:tc>
        <w:tc>
          <w:tcPr>
            <w:tcW w:w="6946" w:type="dxa"/>
            <w:gridSpan w:val="7"/>
            <w:tcBorders>
              <w:top w:val="single" w:color="auto" w:sz="4" w:space="0"/>
            </w:tcBorders>
            <w:vAlign w:val="center"/>
          </w:tcPr>
          <w:p>
            <w:pPr>
              <w:tabs>
                <w:tab w:val="left" w:pos="7088"/>
              </w:tabs>
              <w:jc w:val="left"/>
              <w:rPr>
                <w:rFonts w:cs="宋体" w:asciiTheme="minorEastAsia" w:hAnsiTheme="minorEastAsia" w:eastAsiaTheme="minorEastAsia"/>
                <w:kern w:val="0"/>
                <w:sz w:val="28"/>
                <w:szCs w:val="28"/>
              </w:rPr>
            </w:pPr>
            <w:r>
              <w:rPr>
                <w:rFonts w:hint="eastAsia" w:cs="宋体" w:asciiTheme="minorEastAsia" w:hAnsiTheme="minorEastAsia" w:eastAsiaTheme="minorEastAsia"/>
                <w:kern w:val="0"/>
                <w:sz w:val="28"/>
                <w:szCs w:val="28"/>
              </w:rPr>
              <w:t xml:space="preserve">医药  B2C  市场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9" w:hRule="atLeast"/>
        </w:trPr>
        <w:tc>
          <w:tcPr>
            <w:tcW w:w="2127" w:type="dxa"/>
            <w:vAlign w:val="center"/>
          </w:tcPr>
          <w:p>
            <w:pPr>
              <w:tabs>
                <w:tab w:val="left" w:pos="7088"/>
              </w:tabs>
              <w:jc w:val="center"/>
              <w:rPr>
                <w:b/>
                <w:sz w:val="30"/>
                <w:szCs w:val="30"/>
              </w:rPr>
            </w:pPr>
            <w:r>
              <w:rPr>
                <w:b/>
                <w:sz w:val="30"/>
                <w:szCs w:val="30"/>
              </w:rPr>
              <w:t>内容概要</w:t>
            </w:r>
          </w:p>
        </w:tc>
        <w:tc>
          <w:tcPr>
            <w:tcW w:w="6946" w:type="dxa"/>
            <w:gridSpan w:val="7"/>
          </w:tcPr>
          <w:p>
            <w:pPr>
              <w:ind w:firstLine="560" w:firstLineChars="200"/>
              <w:rPr>
                <w:rFonts w:asciiTheme="minorEastAsia" w:hAnsiTheme="minorEastAsia"/>
                <w:sz w:val="28"/>
                <w:szCs w:val="28"/>
                <w:shd w:val="clear" w:color="auto" w:fill="FFFFFF"/>
              </w:rPr>
            </w:pPr>
          </w:p>
          <w:p>
            <w:pPr>
              <w:ind w:firstLine="560" w:firstLineChars="200"/>
              <w:rPr>
                <w:rFonts w:asciiTheme="minorEastAsia" w:hAnsiTheme="minorEastAsia"/>
                <w:sz w:val="28"/>
                <w:szCs w:val="28"/>
                <w:shd w:val="clear" w:color="auto" w:fill="FFFFFF"/>
              </w:rPr>
            </w:pPr>
          </w:p>
          <w:p>
            <w:pPr>
              <w:ind w:firstLine="560" w:firstLineChars="200"/>
              <w:jc w:val="left"/>
              <w:rPr>
                <w:rFonts w:asciiTheme="minorEastAsia" w:hAnsiTheme="minorEastAsia"/>
                <w:sz w:val="28"/>
                <w:szCs w:val="28"/>
                <w:shd w:val="clear" w:color="auto" w:fill="FFFFFF"/>
              </w:rPr>
            </w:pPr>
            <w:r>
              <w:rPr>
                <w:rFonts w:hint="eastAsia" w:asciiTheme="minorEastAsia" w:hAnsiTheme="minorEastAsia"/>
                <w:sz w:val="28"/>
                <w:szCs w:val="28"/>
                <w:shd w:val="clear" w:color="auto" w:fill="FFFFFF"/>
              </w:rPr>
              <w:t>根据中康CMH的行业数据监测和模型预测，2022年全国零售药店市场销售额将达到5421亿元，同比增长10.2%，B2C市场销售规模达961亿元，同比去年增长27%，份额占比达15%，以及B2C的产品及渠道表现。</w:t>
            </w:r>
          </w:p>
          <w:p>
            <w:pPr>
              <w:ind w:firstLine="482" w:firstLineChars="200"/>
              <w:jc w:val="left"/>
              <w:rPr>
                <w:rStyle w:val="13"/>
                <w:rFonts w:cs="Helvetica"/>
                <w:spacing w:val="15"/>
              </w:rPr>
            </w:pPr>
          </w:p>
          <w:p>
            <w:pPr>
              <w:ind w:firstLine="482" w:firstLineChars="200"/>
              <w:jc w:val="left"/>
              <w:rPr>
                <w:rStyle w:val="13"/>
                <w:rFonts w:cs="Helvetica"/>
                <w:spacing w:val="15"/>
              </w:rPr>
            </w:pPr>
          </w:p>
          <w:p>
            <w:pPr>
              <w:ind w:firstLine="482" w:firstLineChars="200"/>
              <w:jc w:val="left"/>
              <w:rPr>
                <w:rStyle w:val="13"/>
                <w:rFonts w:cs="Helvetica"/>
                <w:spacing w:val="15"/>
              </w:rPr>
            </w:pPr>
          </w:p>
          <w:p>
            <w:pPr>
              <w:ind w:firstLine="560" w:firstLineChars="200"/>
              <w:jc w:val="left"/>
              <w:rPr>
                <w:rFonts w:asciiTheme="minorEastAsia" w:hAnsiTheme="minorEastAsia"/>
                <w:sz w:val="28"/>
                <w:szCs w:val="28"/>
                <w:shd w:val="clear" w:color="auto" w:fill="FFFFFF"/>
              </w:rPr>
            </w:pPr>
          </w:p>
          <w:p>
            <w:pPr>
              <w:ind w:firstLine="560" w:firstLineChars="200"/>
              <w:jc w:val="left"/>
              <w:rPr>
                <w:rFonts w:asciiTheme="minorEastAsia" w:hAnsiTheme="minorEastAsia"/>
                <w:sz w:val="28"/>
                <w:szCs w:val="28"/>
                <w:shd w:val="clear" w:color="auto" w:fill="FFFFFF"/>
              </w:rPr>
            </w:pPr>
          </w:p>
          <w:p>
            <w:pPr>
              <w:ind w:firstLine="560" w:firstLineChars="200"/>
              <w:jc w:val="left"/>
              <w:rPr>
                <w:rFonts w:asciiTheme="minorEastAsia" w:hAnsiTheme="minorEastAsia"/>
                <w:sz w:val="28"/>
                <w:szCs w:val="28"/>
                <w:shd w:val="clear" w:color="auto" w:fill="FFFFFF"/>
              </w:rPr>
            </w:pPr>
          </w:p>
          <w:p>
            <w:pPr>
              <w:ind w:firstLine="560" w:firstLineChars="200"/>
              <w:jc w:val="left"/>
              <w:rPr>
                <w:rFonts w:asciiTheme="minorEastAsia" w:hAnsiTheme="minorEastAsia"/>
                <w:sz w:val="28"/>
                <w:szCs w:val="28"/>
                <w:shd w:val="clear" w:color="auto" w:fill="FFFFFF"/>
              </w:rPr>
            </w:pPr>
          </w:p>
          <w:p>
            <w:pPr>
              <w:ind w:left="560"/>
              <w:rPr>
                <w:rFonts w:asciiTheme="minorEastAsia" w:hAnsiTheme="minorEastAsia"/>
                <w:sz w:val="28"/>
                <w:szCs w:val="28"/>
                <w:shd w:val="clear" w:color="auto" w:fill="FFFFFF"/>
              </w:rPr>
            </w:pPr>
          </w:p>
          <w:p>
            <w:pPr>
              <w:widowControl/>
              <w:shd w:val="clear" w:color="auto" w:fill="FFFFFF"/>
              <w:spacing w:after="190"/>
              <w:outlineLvl w:val="1"/>
              <w:rPr>
                <w:rFonts w:asciiTheme="minorEastAsia" w:hAnsiTheme="minorEastAsia"/>
                <w:sz w:val="28"/>
                <w:szCs w:val="28"/>
                <w:shd w:val="clear" w:color="auto" w:fill="FFFFFF"/>
              </w:rPr>
            </w:pPr>
            <w:r>
              <w:rPr>
                <w:rFonts w:hint="eastAsia"/>
              </w:rPr>
              <w:t>附件4: 2022年医药B2C市场规模近千亿，同比增长27%</w:t>
            </w:r>
          </w:p>
        </w:tc>
      </w:tr>
    </w:tbl>
    <w:tbl>
      <w:tblPr>
        <w:tblStyle w:val="11"/>
        <w:tblpPr w:leftFromText="180" w:rightFromText="180" w:vertAnchor="text" w:horzAnchor="margin" w:tblpXSpec="center" w:tblpY="347"/>
        <w:tblW w:w="903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88"/>
        <w:gridCol w:w="2341"/>
        <w:gridCol w:w="2341"/>
        <w:gridCol w:w="22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1" w:hRule="atLeast"/>
        </w:trPr>
        <w:tc>
          <w:tcPr>
            <w:tcW w:w="2088" w:type="dxa"/>
            <w:vAlign w:val="center"/>
          </w:tcPr>
          <w:p>
            <w:pPr>
              <w:tabs>
                <w:tab w:val="left" w:pos="7088"/>
              </w:tabs>
              <w:jc w:val="center"/>
              <w:rPr>
                <w:b/>
                <w:sz w:val="30"/>
                <w:szCs w:val="30"/>
              </w:rPr>
            </w:pPr>
            <w:r>
              <w:rPr>
                <w:rFonts w:hint="eastAsia"/>
                <w:b/>
                <w:sz w:val="30"/>
                <w:szCs w:val="30"/>
              </w:rPr>
              <w:t>信息05</w:t>
            </w:r>
          </w:p>
        </w:tc>
        <w:tc>
          <w:tcPr>
            <w:tcW w:w="6951" w:type="dxa"/>
            <w:gridSpan w:val="3"/>
            <w:vAlign w:val="center"/>
          </w:tcPr>
          <w:p>
            <w:pPr>
              <w:widowControl/>
              <w:shd w:val="clear" w:color="auto" w:fill="FFFFFF"/>
              <w:spacing w:after="210"/>
              <w:jc w:val="left"/>
              <w:outlineLvl w:val="1"/>
              <w:rPr>
                <w:b/>
                <w:bCs/>
                <w:sz w:val="32"/>
                <w:szCs w:val="32"/>
              </w:rPr>
            </w:pPr>
            <w:r>
              <w:rPr>
                <w:rFonts w:hint="eastAsia" w:asciiTheme="minorEastAsia" w:hAnsiTheme="minorEastAsia" w:eastAsiaTheme="minorEastAsia"/>
                <w:b/>
                <w:sz w:val="36"/>
                <w:szCs w:val="36"/>
              </w:rPr>
              <w:t>华人健康上市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8" w:hRule="atLeast"/>
        </w:trPr>
        <w:tc>
          <w:tcPr>
            <w:tcW w:w="2088" w:type="dxa"/>
            <w:vAlign w:val="center"/>
          </w:tcPr>
          <w:p>
            <w:pPr>
              <w:tabs>
                <w:tab w:val="left" w:pos="7088"/>
              </w:tabs>
              <w:jc w:val="center"/>
              <w:rPr>
                <w:sz w:val="30"/>
                <w:szCs w:val="30"/>
              </w:rPr>
            </w:pPr>
            <w:r>
              <w:rPr>
                <w:rFonts w:hint="eastAsia"/>
                <w:b/>
                <w:sz w:val="30"/>
                <w:szCs w:val="30"/>
              </w:rPr>
              <w:t>发布</w:t>
            </w:r>
            <w:r>
              <w:rPr>
                <w:b/>
                <w:sz w:val="30"/>
                <w:szCs w:val="30"/>
              </w:rPr>
              <w:t>时间</w:t>
            </w:r>
          </w:p>
        </w:tc>
        <w:tc>
          <w:tcPr>
            <w:tcW w:w="2341" w:type="dxa"/>
            <w:vAlign w:val="center"/>
          </w:tcPr>
          <w:p>
            <w:pPr>
              <w:tabs>
                <w:tab w:val="left" w:pos="7088"/>
              </w:tabs>
              <w:jc w:val="center"/>
              <w:rPr>
                <w:rFonts w:asciiTheme="minorEastAsia" w:hAnsiTheme="minorEastAsia" w:eastAsiaTheme="minorEastAsia"/>
                <w:sz w:val="30"/>
                <w:szCs w:val="30"/>
              </w:rPr>
            </w:pPr>
            <w:r>
              <w:rPr>
                <w:rFonts w:asciiTheme="minorEastAsia" w:hAnsiTheme="minorEastAsia" w:eastAsiaTheme="minorEastAsia"/>
                <w:sz w:val="30"/>
                <w:szCs w:val="30"/>
              </w:rPr>
              <w:t>202</w:t>
            </w:r>
            <w:r>
              <w:rPr>
                <w:rFonts w:hint="eastAsia" w:asciiTheme="minorEastAsia" w:hAnsiTheme="minorEastAsia" w:eastAsiaTheme="minorEastAsia"/>
                <w:sz w:val="30"/>
                <w:szCs w:val="30"/>
              </w:rPr>
              <w:t>3</w:t>
            </w:r>
            <w:r>
              <w:rPr>
                <w:rFonts w:asciiTheme="minorEastAsia" w:hAnsiTheme="minorEastAsia" w:eastAsiaTheme="minorEastAsia"/>
                <w:sz w:val="30"/>
                <w:szCs w:val="30"/>
              </w:rPr>
              <w:t>-</w:t>
            </w:r>
            <w:r>
              <w:rPr>
                <w:rFonts w:hint="eastAsia" w:asciiTheme="minorEastAsia" w:hAnsiTheme="minorEastAsia" w:eastAsiaTheme="minorEastAsia"/>
                <w:sz w:val="30"/>
                <w:szCs w:val="30"/>
              </w:rPr>
              <w:t>2</w:t>
            </w:r>
            <w:r>
              <w:rPr>
                <w:rFonts w:asciiTheme="minorEastAsia" w:hAnsiTheme="minorEastAsia" w:eastAsiaTheme="minorEastAsia"/>
                <w:sz w:val="30"/>
                <w:szCs w:val="30"/>
              </w:rPr>
              <w:t>-</w:t>
            </w:r>
            <w:r>
              <w:rPr>
                <w:rFonts w:hint="eastAsia" w:asciiTheme="minorEastAsia" w:hAnsiTheme="minorEastAsia" w:eastAsiaTheme="minorEastAsia"/>
                <w:sz w:val="30"/>
                <w:szCs w:val="30"/>
              </w:rPr>
              <w:t>20</w:t>
            </w:r>
          </w:p>
        </w:tc>
        <w:tc>
          <w:tcPr>
            <w:tcW w:w="2341" w:type="dxa"/>
            <w:vAlign w:val="center"/>
          </w:tcPr>
          <w:p>
            <w:pPr>
              <w:tabs>
                <w:tab w:val="left" w:pos="7088"/>
              </w:tabs>
              <w:jc w:val="center"/>
              <w:rPr>
                <w:b/>
                <w:sz w:val="30"/>
                <w:szCs w:val="30"/>
              </w:rPr>
            </w:pPr>
            <w:r>
              <w:rPr>
                <w:rFonts w:hint="eastAsia"/>
                <w:b/>
                <w:sz w:val="30"/>
                <w:szCs w:val="30"/>
              </w:rPr>
              <w:t>信息来源</w:t>
            </w:r>
          </w:p>
        </w:tc>
        <w:tc>
          <w:tcPr>
            <w:tcW w:w="2269" w:type="dxa"/>
            <w:vAlign w:val="center"/>
          </w:tcPr>
          <w:p>
            <w:pPr>
              <w:tabs>
                <w:tab w:val="left" w:pos="7088"/>
              </w:tabs>
              <w:jc w:val="center"/>
              <w:rPr>
                <w:sz w:val="28"/>
                <w:szCs w:val="28"/>
              </w:rPr>
            </w:pPr>
            <w:r>
              <w:rPr>
                <w:rFonts w:hint="eastAsia"/>
                <w:sz w:val="28"/>
                <w:szCs w:val="28"/>
              </w:rPr>
              <w:t>第一药店财智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trPr>
        <w:tc>
          <w:tcPr>
            <w:tcW w:w="2088" w:type="dxa"/>
            <w:vAlign w:val="center"/>
          </w:tcPr>
          <w:p>
            <w:pPr>
              <w:tabs>
                <w:tab w:val="left" w:pos="7088"/>
              </w:tabs>
              <w:jc w:val="center"/>
              <w:rPr>
                <w:b/>
                <w:sz w:val="30"/>
                <w:szCs w:val="30"/>
              </w:rPr>
            </w:pPr>
            <w:r>
              <w:rPr>
                <w:rFonts w:hint="eastAsia"/>
                <w:b/>
                <w:sz w:val="30"/>
                <w:szCs w:val="30"/>
              </w:rPr>
              <w:t>信息</w:t>
            </w:r>
            <w:r>
              <w:rPr>
                <w:b/>
                <w:sz w:val="30"/>
                <w:szCs w:val="30"/>
              </w:rPr>
              <w:t>提供</w:t>
            </w:r>
          </w:p>
        </w:tc>
        <w:tc>
          <w:tcPr>
            <w:tcW w:w="2341" w:type="dxa"/>
            <w:vAlign w:val="center"/>
          </w:tcPr>
          <w:p>
            <w:pPr>
              <w:tabs>
                <w:tab w:val="left" w:pos="7088"/>
              </w:tabs>
              <w:jc w:val="center"/>
              <w:rPr>
                <w:sz w:val="30"/>
                <w:szCs w:val="30"/>
              </w:rPr>
            </w:pPr>
            <w:r>
              <w:rPr>
                <w:rFonts w:hint="eastAsia"/>
                <w:sz w:val="28"/>
                <w:szCs w:val="28"/>
              </w:rPr>
              <w:t>运营管理部</w:t>
            </w:r>
          </w:p>
        </w:tc>
        <w:tc>
          <w:tcPr>
            <w:tcW w:w="2341" w:type="dxa"/>
            <w:vAlign w:val="center"/>
          </w:tcPr>
          <w:p>
            <w:pPr>
              <w:tabs>
                <w:tab w:val="left" w:pos="7088"/>
              </w:tabs>
              <w:jc w:val="center"/>
              <w:rPr>
                <w:b/>
                <w:sz w:val="30"/>
                <w:szCs w:val="30"/>
              </w:rPr>
            </w:pPr>
            <w:r>
              <w:rPr>
                <w:rFonts w:hint="eastAsia"/>
                <w:b/>
                <w:sz w:val="30"/>
                <w:szCs w:val="30"/>
              </w:rPr>
              <w:t>信息确认</w:t>
            </w:r>
          </w:p>
        </w:tc>
        <w:tc>
          <w:tcPr>
            <w:tcW w:w="2269" w:type="dxa"/>
            <w:vAlign w:val="center"/>
          </w:tcPr>
          <w:p>
            <w:pPr>
              <w:tabs>
                <w:tab w:val="left" w:pos="7088"/>
              </w:tabs>
              <w:jc w:val="center"/>
              <w:rPr>
                <w:sz w:val="30"/>
                <w:szCs w:val="30"/>
              </w:rPr>
            </w:pPr>
            <w:r>
              <w:rPr>
                <w:rFonts w:hint="eastAsia"/>
                <w:sz w:val="30"/>
                <w:szCs w:val="30"/>
              </w:rPr>
              <w:t>彭宇飞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2" w:hRule="atLeast"/>
        </w:trPr>
        <w:tc>
          <w:tcPr>
            <w:tcW w:w="2088" w:type="dxa"/>
            <w:tcBorders>
              <w:bottom w:val="single" w:color="auto" w:sz="4" w:space="0"/>
            </w:tcBorders>
            <w:vAlign w:val="center"/>
          </w:tcPr>
          <w:p>
            <w:pPr>
              <w:tabs>
                <w:tab w:val="left" w:pos="7088"/>
              </w:tabs>
              <w:ind w:firstLine="452" w:firstLineChars="150"/>
              <w:rPr>
                <w:b/>
                <w:sz w:val="30"/>
                <w:szCs w:val="30"/>
              </w:rPr>
            </w:pPr>
            <w:r>
              <w:rPr>
                <w:rFonts w:hint="eastAsia"/>
                <w:b/>
                <w:sz w:val="30"/>
                <w:szCs w:val="30"/>
              </w:rPr>
              <w:t>确认</w:t>
            </w:r>
            <w:r>
              <w:rPr>
                <w:b/>
                <w:sz w:val="30"/>
                <w:szCs w:val="30"/>
              </w:rPr>
              <w:t>结果</w:t>
            </w:r>
          </w:p>
        </w:tc>
        <w:tc>
          <w:tcPr>
            <w:tcW w:w="6951" w:type="dxa"/>
            <w:gridSpan w:val="3"/>
            <w:tcBorders>
              <w:bottom w:val="single" w:color="auto" w:sz="4" w:space="0"/>
            </w:tcBorders>
            <w:vAlign w:val="center"/>
          </w:tcPr>
          <w:p>
            <w:pPr>
              <w:tabs>
                <w:tab w:val="left" w:pos="7088"/>
              </w:tabs>
              <w:jc w:val="left"/>
              <w:rPr>
                <w:sz w:val="28"/>
                <w:szCs w:val="28"/>
              </w:rPr>
            </w:pPr>
            <w:r>
              <w:rPr>
                <w:rFonts w:hint="eastAsia"/>
                <w:sz w:val="28"/>
                <w:szCs w:val="28"/>
              </w:rPr>
              <w:t>来源：第一药店财智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45" w:hRule="atLeast"/>
        </w:trPr>
        <w:tc>
          <w:tcPr>
            <w:tcW w:w="2088" w:type="dxa"/>
            <w:tcBorders>
              <w:top w:val="single" w:color="auto" w:sz="4" w:space="0"/>
            </w:tcBorders>
            <w:vAlign w:val="center"/>
          </w:tcPr>
          <w:p>
            <w:pPr>
              <w:tabs>
                <w:tab w:val="left" w:pos="7088"/>
              </w:tabs>
              <w:jc w:val="center"/>
              <w:rPr>
                <w:b/>
                <w:sz w:val="30"/>
                <w:szCs w:val="30"/>
              </w:rPr>
            </w:pPr>
            <w:r>
              <w:rPr>
                <w:rFonts w:hint="eastAsia"/>
                <w:b/>
                <w:sz w:val="30"/>
                <w:szCs w:val="30"/>
              </w:rPr>
              <w:t>关键词</w:t>
            </w:r>
          </w:p>
        </w:tc>
        <w:tc>
          <w:tcPr>
            <w:tcW w:w="6951" w:type="dxa"/>
            <w:gridSpan w:val="3"/>
            <w:tcBorders>
              <w:top w:val="single" w:color="auto" w:sz="4" w:space="0"/>
            </w:tcBorders>
            <w:vAlign w:val="center"/>
          </w:tcPr>
          <w:p>
            <w:pPr>
              <w:tabs>
                <w:tab w:val="left" w:pos="7088"/>
              </w:tabs>
              <w:jc w:val="left"/>
              <w:rPr>
                <w:rFonts w:cs="宋体" w:asciiTheme="majorEastAsia" w:hAnsiTheme="majorEastAsia" w:eastAsiaTheme="majorEastAsia"/>
                <w:kern w:val="0"/>
                <w:sz w:val="30"/>
                <w:szCs w:val="30"/>
              </w:rPr>
            </w:pPr>
            <w:r>
              <w:rPr>
                <w:rFonts w:hint="eastAsia" w:cs="宋体" w:asciiTheme="majorEastAsia" w:hAnsiTheme="majorEastAsia" w:eastAsiaTheme="majorEastAsia"/>
                <w:kern w:val="0"/>
                <w:sz w:val="30"/>
                <w:szCs w:val="30"/>
              </w:rPr>
              <w:t>上市  竞争  资本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76" w:hRule="atLeast"/>
        </w:trPr>
        <w:tc>
          <w:tcPr>
            <w:tcW w:w="2088" w:type="dxa"/>
            <w:vAlign w:val="center"/>
          </w:tcPr>
          <w:p>
            <w:pPr>
              <w:tabs>
                <w:tab w:val="left" w:pos="7088"/>
              </w:tabs>
              <w:jc w:val="center"/>
              <w:rPr>
                <w:b/>
                <w:sz w:val="30"/>
                <w:szCs w:val="30"/>
              </w:rPr>
            </w:pPr>
            <w:r>
              <w:rPr>
                <w:b/>
                <w:sz w:val="30"/>
                <w:szCs w:val="30"/>
              </w:rPr>
              <w:t>内容概要</w:t>
            </w:r>
          </w:p>
        </w:tc>
        <w:tc>
          <w:tcPr>
            <w:tcW w:w="6951" w:type="dxa"/>
            <w:gridSpan w:val="3"/>
            <w:vAlign w:val="center"/>
          </w:tcPr>
          <w:p>
            <w:pPr>
              <w:rPr>
                <w:rFonts w:asciiTheme="minorEastAsia" w:hAnsiTheme="minorEastAsia"/>
                <w:sz w:val="28"/>
                <w:szCs w:val="28"/>
              </w:rPr>
            </w:pPr>
          </w:p>
          <w:p>
            <w:pPr>
              <w:rPr>
                <w:rFonts w:asciiTheme="minorEastAsia" w:hAnsiTheme="minorEastAsia"/>
                <w:sz w:val="28"/>
                <w:szCs w:val="28"/>
              </w:rPr>
            </w:pPr>
          </w:p>
          <w:p>
            <w:pPr>
              <w:spacing w:line="480" w:lineRule="auto"/>
              <w:ind w:firstLine="560" w:firstLineChars="200"/>
              <w:rPr>
                <w:rFonts w:asciiTheme="minorEastAsia" w:hAnsiTheme="minorEastAsia"/>
                <w:sz w:val="28"/>
                <w:szCs w:val="28"/>
              </w:rPr>
            </w:pPr>
            <w:r>
              <w:rPr>
                <w:rFonts w:hint="eastAsia" w:asciiTheme="minorEastAsia" w:hAnsiTheme="minorEastAsia"/>
                <w:sz w:val="28"/>
                <w:szCs w:val="28"/>
              </w:rPr>
              <w:t>1、华人健康A股开启申购 力争5年实现营收100亿元</w:t>
            </w:r>
          </w:p>
          <w:p>
            <w:pPr>
              <w:spacing w:line="48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2月20日，华人健康(301408.SZ)在深交所创业板IPO正式开启申购，发行价格为16.24元/股，申购上限为1.10万股，市盈率106.19倍。华人健康专注于医药流通行业，主要从事医药零售、代理及终端集采三大块业务。华人健康公开发行募集资金主要投向安徽省内，省内计划开店518家，进一步巩固公司省内排名优势。</w:t>
            </w:r>
          </w:p>
          <w:p>
            <w:pPr>
              <w:spacing w:line="48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2、资本市场长期看好药店赛道</w:t>
            </w:r>
          </w:p>
          <w:p>
            <w:pPr>
              <w:spacing w:line="480" w:lineRule="auto"/>
              <w:rPr>
                <w:rFonts w:cs="宋体" w:asciiTheme="minorEastAsia" w:hAnsiTheme="minorEastAsia" w:eastAsiaTheme="minorEastAsia"/>
                <w:kern w:val="0"/>
                <w:sz w:val="28"/>
                <w:szCs w:val="28"/>
              </w:rPr>
            </w:pPr>
          </w:p>
          <w:p>
            <w:pPr>
              <w:spacing w:line="480" w:lineRule="auto"/>
              <w:rPr>
                <w:rFonts w:cs="宋体" w:asciiTheme="minorEastAsia" w:hAnsiTheme="minorEastAsia" w:eastAsiaTheme="minorEastAsia"/>
                <w:kern w:val="0"/>
                <w:sz w:val="28"/>
                <w:szCs w:val="28"/>
              </w:rPr>
            </w:pPr>
          </w:p>
          <w:p>
            <w:pPr>
              <w:spacing w:line="480" w:lineRule="auto"/>
              <w:rPr>
                <w:rFonts w:cs="宋体" w:asciiTheme="minorEastAsia" w:hAnsiTheme="minorEastAsia" w:eastAsiaTheme="minorEastAsia"/>
                <w:kern w:val="0"/>
                <w:szCs w:val="21"/>
              </w:rPr>
            </w:pPr>
          </w:p>
          <w:p>
            <w:pPr>
              <w:spacing w:line="400" w:lineRule="exact"/>
              <w:rPr>
                <w:b/>
                <w:sz w:val="32"/>
                <w:szCs w:val="32"/>
              </w:rPr>
            </w:pPr>
            <w:r>
              <w:rPr>
                <w:rFonts w:hint="eastAsia" w:ascii="宋体" w:hAnsi="宋体" w:cs="宋体"/>
                <w:kern w:val="0"/>
                <w:szCs w:val="21"/>
              </w:rPr>
              <w:t>附件5:</w:t>
            </w:r>
            <w:r>
              <w:rPr>
                <w:rFonts w:hint="eastAsia" w:ascii="宋体" w:hAnsi="宋体" w:cs="宋体"/>
                <w:b/>
                <w:kern w:val="0"/>
                <w:szCs w:val="21"/>
              </w:rPr>
              <w:t xml:space="preserve"> </w:t>
            </w:r>
            <w:r>
              <w:rPr>
                <w:rFonts w:hint="eastAsia"/>
              </w:rPr>
              <w:t>华人健康上市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1" w:hRule="atLeast"/>
        </w:trPr>
        <w:tc>
          <w:tcPr>
            <w:tcW w:w="2088" w:type="dxa"/>
            <w:vAlign w:val="center"/>
          </w:tcPr>
          <w:p>
            <w:pPr>
              <w:tabs>
                <w:tab w:val="left" w:pos="7088"/>
              </w:tabs>
              <w:jc w:val="center"/>
              <w:rPr>
                <w:b/>
                <w:sz w:val="30"/>
                <w:szCs w:val="30"/>
              </w:rPr>
            </w:pPr>
            <w:r>
              <w:rPr>
                <w:rFonts w:hint="eastAsia"/>
                <w:b/>
                <w:sz w:val="30"/>
                <w:szCs w:val="30"/>
              </w:rPr>
              <w:t>信息06</w:t>
            </w:r>
          </w:p>
        </w:tc>
        <w:tc>
          <w:tcPr>
            <w:tcW w:w="6951" w:type="dxa"/>
            <w:gridSpan w:val="3"/>
            <w:vAlign w:val="center"/>
          </w:tcPr>
          <w:p>
            <w:pPr>
              <w:widowControl/>
              <w:shd w:val="clear" w:color="auto" w:fill="FFFFFF"/>
              <w:spacing w:after="210"/>
              <w:jc w:val="left"/>
              <w:outlineLvl w:val="1"/>
              <w:rPr>
                <w:b/>
                <w:bCs/>
                <w:sz w:val="32"/>
                <w:szCs w:val="32"/>
              </w:rPr>
            </w:pPr>
            <w:r>
              <w:rPr>
                <w:rFonts w:hint="eastAsia" w:asciiTheme="minorEastAsia" w:hAnsiTheme="minorEastAsia" w:eastAsiaTheme="minorEastAsia"/>
                <w:b/>
                <w:sz w:val="36"/>
                <w:szCs w:val="36"/>
              </w:rPr>
              <w:t>春季药店必备的7大品类方案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8" w:hRule="atLeast"/>
        </w:trPr>
        <w:tc>
          <w:tcPr>
            <w:tcW w:w="2088" w:type="dxa"/>
            <w:vAlign w:val="center"/>
          </w:tcPr>
          <w:p>
            <w:pPr>
              <w:tabs>
                <w:tab w:val="left" w:pos="7088"/>
              </w:tabs>
              <w:jc w:val="center"/>
              <w:rPr>
                <w:sz w:val="30"/>
                <w:szCs w:val="30"/>
              </w:rPr>
            </w:pPr>
            <w:r>
              <w:rPr>
                <w:rFonts w:hint="eastAsia"/>
                <w:b/>
                <w:sz w:val="30"/>
                <w:szCs w:val="30"/>
              </w:rPr>
              <w:t>发布</w:t>
            </w:r>
            <w:r>
              <w:rPr>
                <w:b/>
                <w:sz w:val="30"/>
                <w:szCs w:val="30"/>
              </w:rPr>
              <w:t>时间</w:t>
            </w:r>
          </w:p>
        </w:tc>
        <w:tc>
          <w:tcPr>
            <w:tcW w:w="2341" w:type="dxa"/>
            <w:vAlign w:val="center"/>
          </w:tcPr>
          <w:p>
            <w:pPr>
              <w:tabs>
                <w:tab w:val="left" w:pos="7088"/>
              </w:tabs>
              <w:jc w:val="center"/>
              <w:rPr>
                <w:rFonts w:asciiTheme="minorEastAsia" w:hAnsiTheme="minorEastAsia" w:eastAsiaTheme="minorEastAsia"/>
                <w:sz w:val="30"/>
                <w:szCs w:val="30"/>
              </w:rPr>
            </w:pPr>
            <w:r>
              <w:rPr>
                <w:rFonts w:asciiTheme="minorEastAsia" w:hAnsiTheme="minorEastAsia" w:eastAsiaTheme="minorEastAsia"/>
                <w:sz w:val="30"/>
                <w:szCs w:val="30"/>
              </w:rPr>
              <w:t>202</w:t>
            </w:r>
            <w:r>
              <w:rPr>
                <w:rFonts w:hint="eastAsia" w:asciiTheme="minorEastAsia" w:hAnsiTheme="minorEastAsia" w:eastAsiaTheme="minorEastAsia"/>
                <w:sz w:val="30"/>
                <w:szCs w:val="30"/>
              </w:rPr>
              <w:t>3</w:t>
            </w:r>
            <w:r>
              <w:rPr>
                <w:rFonts w:asciiTheme="minorEastAsia" w:hAnsiTheme="minorEastAsia" w:eastAsiaTheme="minorEastAsia"/>
                <w:sz w:val="30"/>
                <w:szCs w:val="30"/>
              </w:rPr>
              <w:t>-</w:t>
            </w:r>
            <w:r>
              <w:rPr>
                <w:rFonts w:hint="eastAsia" w:asciiTheme="minorEastAsia" w:hAnsiTheme="minorEastAsia" w:eastAsiaTheme="minorEastAsia"/>
                <w:sz w:val="30"/>
                <w:szCs w:val="30"/>
              </w:rPr>
              <w:t>2</w:t>
            </w:r>
            <w:r>
              <w:rPr>
                <w:rFonts w:asciiTheme="minorEastAsia" w:hAnsiTheme="minorEastAsia" w:eastAsiaTheme="minorEastAsia"/>
                <w:sz w:val="30"/>
                <w:szCs w:val="30"/>
              </w:rPr>
              <w:t>-</w:t>
            </w:r>
            <w:r>
              <w:rPr>
                <w:rFonts w:hint="eastAsia" w:asciiTheme="minorEastAsia" w:hAnsiTheme="minorEastAsia" w:eastAsiaTheme="minorEastAsia"/>
                <w:sz w:val="30"/>
                <w:szCs w:val="30"/>
              </w:rPr>
              <w:t>13</w:t>
            </w:r>
          </w:p>
        </w:tc>
        <w:tc>
          <w:tcPr>
            <w:tcW w:w="2341" w:type="dxa"/>
            <w:vAlign w:val="center"/>
          </w:tcPr>
          <w:p>
            <w:pPr>
              <w:tabs>
                <w:tab w:val="left" w:pos="7088"/>
              </w:tabs>
              <w:jc w:val="center"/>
              <w:rPr>
                <w:b/>
                <w:sz w:val="30"/>
                <w:szCs w:val="30"/>
              </w:rPr>
            </w:pPr>
            <w:r>
              <w:rPr>
                <w:rFonts w:hint="eastAsia"/>
                <w:b/>
                <w:sz w:val="30"/>
                <w:szCs w:val="30"/>
              </w:rPr>
              <w:t>信息来源</w:t>
            </w:r>
          </w:p>
        </w:tc>
        <w:tc>
          <w:tcPr>
            <w:tcW w:w="2269" w:type="dxa"/>
            <w:vAlign w:val="center"/>
          </w:tcPr>
          <w:p>
            <w:pPr>
              <w:tabs>
                <w:tab w:val="left" w:pos="7088"/>
              </w:tabs>
              <w:jc w:val="center"/>
              <w:rPr>
                <w:sz w:val="28"/>
                <w:szCs w:val="28"/>
              </w:rPr>
            </w:pPr>
            <w:r>
              <w:rPr>
                <w:rFonts w:hint="eastAsia"/>
                <w:sz w:val="28"/>
                <w:szCs w:val="28"/>
              </w:rPr>
              <w:t>中国药店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trPr>
        <w:tc>
          <w:tcPr>
            <w:tcW w:w="2088" w:type="dxa"/>
            <w:vAlign w:val="center"/>
          </w:tcPr>
          <w:p>
            <w:pPr>
              <w:tabs>
                <w:tab w:val="left" w:pos="7088"/>
              </w:tabs>
              <w:jc w:val="center"/>
              <w:rPr>
                <w:b/>
                <w:sz w:val="30"/>
                <w:szCs w:val="30"/>
              </w:rPr>
            </w:pPr>
            <w:r>
              <w:rPr>
                <w:rFonts w:hint="eastAsia"/>
                <w:b/>
                <w:sz w:val="30"/>
                <w:szCs w:val="30"/>
              </w:rPr>
              <w:t>信息</w:t>
            </w:r>
            <w:r>
              <w:rPr>
                <w:b/>
                <w:sz w:val="30"/>
                <w:szCs w:val="30"/>
              </w:rPr>
              <w:t>提供</w:t>
            </w:r>
          </w:p>
        </w:tc>
        <w:tc>
          <w:tcPr>
            <w:tcW w:w="2341" w:type="dxa"/>
            <w:vAlign w:val="center"/>
          </w:tcPr>
          <w:p>
            <w:pPr>
              <w:tabs>
                <w:tab w:val="left" w:pos="7088"/>
              </w:tabs>
              <w:jc w:val="center"/>
              <w:rPr>
                <w:sz w:val="30"/>
                <w:szCs w:val="30"/>
              </w:rPr>
            </w:pPr>
            <w:r>
              <w:rPr>
                <w:rFonts w:hint="eastAsia"/>
                <w:sz w:val="28"/>
                <w:szCs w:val="28"/>
              </w:rPr>
              <w:t>运营管理部</w:t>
            </w:r>
          </w:p>
        </w:tc>
        <w:tc>
          <w:tcPr>
            <w:tcW w:w="2341" w:type="dxa"/>
            <w:vAlign w:val="center"/>
          </w:tcPr>
          <w:p>
            <w:pPr>
              <w:tabs>
                <w:tab w:val="left" w:pos="7088"/>
              </w:tabs>
              <w:jc w:val="center"/>
              <w:rPr>
                <w:b/>
                <w:sz w:val="30"/>
                <w:szCs w:val="30"/>
              </w:rPr>
            </w:pPr>
            <w:r>
              <w:rPr>
                <w:rFonts w:hint="eastAsia"/>
                <w:b/>
                <w:sz w:val="30"/>
                <w:szCs w:val="30"/>
              </w:rPr>
              <w:t>信息确认</w:t>
            </w:r>
          </w:p>
        </w:tc>
        <w:tc>
          <w:tcPr>
            <w:tcW w:w="2269" w:type="dxa"/>
            <w:vAlign w:val="center"/>
          </w:tcPr>
          <w:p>
            <w:pPr>
              <w:tabs>
                <w:tab w:val="left" w:pos="7088"/>
              </w:tabs>
              <w:jc w:val="center"/>
              <w:rPr>
                <w:sz w:val="30"/>
                <w:szCs w:val="30"/>
              </w:rPr>
            </w:pPr>
            <w:r>
              <w:rPr>
                <w:rFonts w:hint="eastAsia"/>
                <w:sz w:val="30"/>
                <w:szCs w:val="30"/>
              </w:rPr>
              <w:t>彭宇飞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2" w:hRule="atLeast"/>
        </w:trPr>
        <w:tc>
          <w:tcPr>
            <w:tcW w:w="2088" w:type="dxa"/>
            <w:tcBorders>
              <w:bottom w:val="single" w:color="auto" w:sz="4" w:space="0"/>
            </w:tcBorders>
            <w:vAlign w:val="center"/>
          </w:tcPr>
          <w:p>
            <w:pPr>
              <w:tabs>
                <w:tab w:val="left" w:pos="7088"/>
              </w:tabs>
              <w:ind w:firstLine="452" w:firstLineChars="150"/>
              <w:rPr>
                <w:b/>
                <w:sz w:val="30"/>
                <w:szCs w:val="30"/>
              </w:rPr>
            </w:pPr>
            <w:r>
              <w:rPr>
                <w:rFonts w:hint="eastAsia"/>
                <w:b/>
                <w:sz w:val="30"/>
                <w:szCs w:val="30"/>
              </w:rPr>
              <w:t>确认</w:t>
            </w:r>
            <w:r>
              <w:rPr>
                <w:b/>
                <w:sz w:val="30"/>
                <w:szCs w:val="30"/>
              </w:rPr>
              <w:t>结果</w:t>
            </w:r>
          </w:p>
        </w:tc>
        <w:tc>
          <w:tcPr>
            <w:tcW w:w="6951" w:type="dxa"/>
            <w:gridSpan w:val="3"/>
            <w:tcBorders>
              <w:bottom w:val="single" w:color="auto" w:sz="4" w:space="0"/>
            </w:tcBorders>
            <w:vAlign w:val="center"/>
          </w:tcPr>
          <w:p>
            <w:pPr>
              <w:tabs>
                <w:tab w:val="left" w:pos="7088"/>
              </w:tabs>
              <w:jc w:val="left"/>
              <w:rPr>
                <w:sz w:val="28"/>
                <w:szCs w:val="28"/>
              </w:rPr>
            </w:pPr>
            <w:r>
              <w:rPr>
                <w:rFonts w:hint="eastAsia"/>
                <w:sz w:val="28"/>
                <w:szCs w:val="28"/>
              </w:rPr>
              <w:t>来源：中国药店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45" w:hRule="atLeast"/>
        </w:trPr>
        <w:tc>
          <w:tcPr>
            <w:tcW w:w="2088" w:type="dxa"/>
            <w:tcBorders>
              <w:top w:val="single" w:color="auto" w:sz="4" w:space="0"/>
            </w:tcBorders>
            <w:vAlign w:val="center"/>
          </w:tcPr>
          <w:p>
            <w:pPr>
              <w:tabs>
                <w:tab w:val="left" w:pos="7088"/>
              </w:tabs>
              <w:jc w:val="center"/>
              <w:rPr>
                <w:b/>
                <w:sz w:val="30"/>
                <w:szCs w:val="30"/>
              </w:rPr>
            </w:pPr>
            <w:r>
              <w:rPr>
                <w:rFonts w:hint="eastAsia"/>
                <w:b/>
                <w:sz w:val="30"/>
                <w:szCs w:val="30"/>
              </w:rPr>
              <w:t>关键词</w:t>
            </w:r>
          </w:p>
        </w:tc>
        <w:tc>
          <w:tcPr>
            <w:tcW w:w="6951" w:type="dxa"/>
            <w:gridSpan w:val="3"/>
            <w:tcBorders>
              <w:top w:val="single" w:color="auto" w:sz="4" w:space="0"/>
            </w:tcBorders>
            <w:vAlign w:val="center"/>
          </w:tcPr>
          <w:p>
            <w:pPr>
              <w:tabs>
                <w:tab w:val="left" w:pos="7088"/>
              </w:tabs>
              <w:jc w:val="left"/>
              <w:rPr>
                <w:rFonts w:cs="宋体" w:asciiTheme="majorEastAsia" w:hAnsiTheme="majorEastAsia" w:eastAsiaTheme="majorEastAsia"/>
                <w:kern w:val="0"/>
                <w:sz w:val="30"/>
                <w:szCs w:val="30"/>
              </w:rPr>
            </w:pPr>
            <w:r>
              <w:rPr>
                <w:rFonts w:hint="eastAsia" w:cs="宋体" w:asciiTheme="majorEastAsia" w:hAnsiTheme="majorEastAsia" w:eastAsiaTheme="majorEastAsia"/>
                <w:kern w:val="0"/>
                <w:sz w:val="30"/>
                <w:szCs w:val="30"/>
              </w:rPr>
              <w:t>药品  季节  方案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76" w:hRule="atLeast"/>
        </w:trPr>
        <w:tc>
          <w:tcPr>
            <w:tcW w:w="2088" w:type="dxa"/>
            <w:vAlign w:val="center"/>
          </w:tcPr>
          <w:p>
            <w:pPr>
              <w:tabs>
                <w:tab w:val="left" w:pos="7088"/>
              </w:tabs>
              <w:jc w:val="center"/>
              <w:rPr>
                <w:b/>
                <w:sz w:val="30"/>
                <w:szCs w:val="30"/>
              </w:rPr>
            </w:pPr>
            <w:r>
              <w:rPr>
                <w:b/>
                <w:sz w:val="30"/>
                <w:szCs w:val="30"/>
              </w:rPr>
              <w:t>内容概要</w:t>
            </w:r>
          </w:p>
        </w:tc>
        <w:tc>
          <w:tcPr>
            <w:tcW w:w="6951" w:type="dxa"/>
            <w:gridSpan w:val="3"/>
            <w:vAlign w:val="center"/>
          </w:tcPr>
          <w:p>
            <w:pPr>
              <w:rPr>
                <w:rFonts w:asciiTheme="minorEastAsia" w:hAnsiTheme="minorEastAsia"/>
                <w:sz w:val="28"/>
                <w:szCs w:val="28"/>
              </w:rPr>
            </w:pPr>
          </w:p>
          <w:p>
            <w:pPr>
              <w:rPr>
                <w:rFonts w:asciiTheme="minorEastAsia" w:hAnsiTheme="minorEastAsia"/>
                <w:sz w:val="28"/>
                <w:szCs w:val="28"/>
              </w:rPr>
            </w:pPr>
          </w:p>
          <w:p>
            <w:pPr>
              <w:spacing w:line="480" w:lineRule="auto"/>
              <w:ind w:firstLine="560" w:firstLineChars="200"/>
              <w:rPr>
                <w:rFonts w:asciiTheme="minorEastAsia" w:hAnsiTheme="minorEastAsia" w:eastAsiaTheme="minorEastAsia"/>
                <w:sz w:val="28"/>
                <w:szCs w:val="28"/>
              </w:rPr>
            </w:pPr>
            <w:r>
              <w:rPr>
                <w:rFonts w:hint="eastAsia" w:asciiTheme="minorEastAsia" w:hAnsiTheme="minorEastAsia"/>
                <w:sz w:val="28"/>
                <w:szCs w:val="28"/>
              </w:rPr>
              <w:t>根据春季的季节性特征，按药店经营品类，整理提升药店销量的七组方案，供药店经营参考。</w:t>
            </w:r>
          </w:p>
          <w:p>
            <w:pPr>
              <w:spacing w:line="480" w:lineRule="auto"/>
              <w:rPr>
                <w:rFonts w:cs="宋体" w:asciiTheme="minorEastAsia" w:hAnsiTheme="minorEastAsia" w:eastAsiaTheme="minorEastAsia"/>
                <w:kern w:val="0"/>
                <w:sz w:val="28"/>
                <w:szCs w:val="28"/>
              </w:rPr>
            </w:pPr>
          </w:p>
          <w:p>
            <w:pPr>
              <w:spacing w:line="480" w:lineRule="auto"/>
              <w:rPr>
                <w:rFonts w:cs="宋体" w:asciiTheme="minorEastAsia" w:hAnsiTheme="minorEastAsia" w:eastAsiaTheme="minorEastAsia"/>
                <w:kern w:val="0"/>
                <w:sz w:val="28"/>
                <w:szCs w:val="28"/>
              </w:rPr>
            </w:pPr>
          </w:p>
          <w:p>
            <w:pPr>
              <w:spacing w:line="480" w:lineRule="auto"/>
              <w:rPr>
                <w:rFonts w:hint="eastAsia" w:cs="宋体" w:asciiTheme="minorEastAsia" w:hAnsiTheme="minorEastAsia" w:eastAsiaTheme="minorEastAsia"/>
                <w:kern w:val="0"/>
                <w:szCs w:val="21"/>
              </w:rPr>
            </w:pPr>
          </w:p>
          <w:p>
            <w:pPr>
              <w:spacing w:line="480" w:lineRule="auto"/>
              <w:rPr>
                <w:rFonts w:hint="eastAsia" w:cs="宋体" w:asciiTheme="minorEastAsia" w:hAnsiTheme="minorEastAsia" w:eastAsiaTheme="minorEastAsia"/>
                <w:kern w:val="0"/>
                <w:szCs w:val="21"/>
              </w:rPr>
            </w:pPr>
          </w:p>
          <w:p>
            <w:pPr>
              <w:spacing w:line="480" w:lineRule="auto"/>
              <w:rPr>
                <w:rFonts w:hint="eastAsia" w:cs="宋体" w:asciiTheme="minorEastAsia" w:hAnsiTheme="minorEastAsia" w:eastAsiaTheme="minorEastAsia"/>
                <w:kern w:val="0"/>
                <w:szCs w:val="21"/>
              </w:rPr>
            </w:pPr>
          </w:p>
          <w:p>
            <w:pPr>
              <w:spacing w:line="480" w:lineRule="auto"/>
              <w:rPr>
                <w:rFonts w:hint="eastAsia" w:cs="宋体" w:asciiTheme="minorEastAsia" w:hAnsiTheme="minorEastAsia" w:eastAsiaTheme="minorEastAsia"/>
                <w:kern w:val="0"/>
                <w:szCs w:val="21"/>
              </w:rPr>
            </w:pPr>
          </w:p>
          <w:p>
            <w:pPr>
              <w:spacing w:line="480" w:lineRule="auto"/>
              <w:rPr>
                <w:rFonts w:hint="eastAsia" w:cs="宋体" w:asciiTheme="minorEastAsia" w:hAnsiTheme="minorEastAsia" w:eastAsiaTheme="minorEastAsia"/>
                <w:kern w:val="0"/>
                <w:szCs w:val="21"/>
              </w:rPr>
            </w:pPr>
          </w:p>
          <w:p>
            <w:pPr>
              <w:spacing w:line="480" w:lineRule="auto"/>
              <w:rPr>
                <w:rFonts w:hint="eastAsia" w:cs="宋体" w:asciiTheme="minorEastAsia" w:hAnsiTheme="minorEastAsia" w:eastAsiaTheme="minorEastAsia"/>
                <w:kern w:val="0"/>
                <w:szCs w:val="21"/>
              </w:rPr>
            </w:pPr>
          </w:p>
          <w:p>
            <w:pPr>
              <w:spacing w:line="480" w:lineRule="auto"/>
              <w:rPr>
                <w:rFonts w:hint="eastAsia" w:cs="宋体" w:asciiTheme="minorEastAsia" w:hAnsiTheme="minorEastAsia" w:eastAsiaTheme="minorEastAsia"/>
                <w:kern w:val="0"/>
                <w:szCs w:val="21"/>
              </w:rPr>
            </w:pPr>
          </w:p>
          <w:p>
            <w:pPr>
              <w:spacing w:line="480" w:lineRule="auto"/>
              <w:rPr>
                <w:rFonts w:cs="宋体" w:asciiTheme="minorEastAsia" w:hAnsiTheme="minorEastAsia" w:eastAsiaTheme="minorEastAsia"/>
                <w:kern w:val="0"/>
                <w:szCs w:val="21"/>
              </w:rPr>
            </w:pPr>
          </w:p>
          <w:p>
            <w:pPr>
              <w:spacing w:line="400" w:lineRule="exact"/>
              <w:rPr>
                <w:b/>
                <w:sz w:val="32"/>
                <w:szCs w:val="32"/>
              </w:rPr>
            </w:pPr>
            <w:r>
              <w:rPr>
                <w:rFonts w:hint="eastAsia" w:ascii="宋体" w:hAnsi="宋体" w:cs="宋体"/>
                <w:kern w:val="0"/>
                <w:szCs w:val="21"/>
              </w:rPr>
              <w:t>附件6:</w:t>
            </w:r>
            <w:r>
              <w:rPr>
                <w:rFonts w:hint="eastAsia" w:ascii="宋体" w:hAnsi="宋体" w:cs="宋体"/>
                <w:b/>
                <w:kern w:val="0"/>
                <w:szCs w:val="21"/>
              </w:rPr>
              <w:t xml:space="preserve"> </w:t>
            </w:r>
            <w:r>
              <w:rPr>
                <w:rFonts w:hint="eastAsia"/>
              </w:rPr>
              <w:t>春季药店必备的7大品类方案</w:t>
            </w:r>
          </w:p>
        </w:tc>
      </w:tr>
    </w:tbl>
    <w:p>
      <w:pPr>
        <w:jc w:val="left"/>
        <w:rPr>
          <w:rFonts w:ascii="微软雅黑" w:hAnsi="微软雅黑" w:eastAsia="微软雅黑" w:cs="宋体"/>
          <w:b/>
          <w:color w:val="333333"/>
          <w:kern w:val="36"/>
          <w:sz w:val="24"/>
        </w:rPr>
        <w:sectPr>
          <w:footerReference r:id="rId3" w:type="default"/>
          <w:pgSz w:w="11906" w:h="16838"/>
          <w:pgMar w:top="1440" w:right="1797" w:bottom="1134" w:left="1797" w:header="851" w:footer="992" w:gutter="0"/>
          <w:cols w:space="425" w:num="1"/>
          <w:titlePg/>
          <w:docGrid w:type="lines" w:linePitch="312" w:charSpace="0"/>
        </w:sectPr>
      </w:pPr>
    </w:p>
    <w:p>
      <w:pPr>
        <w:jc w:val="left"/>
        <w:rPr>
          <w:rFonts w:ascii="微软雅黑" w:hAnsi="微软雅黑" w:eastAsia="微软雅黑" w:cs="宋体"/>
          <w:b/>
          <w:color w:val="333333"/>
          <w:kern w:val="36"/>
          <w:sz w:val="24"/>
        </w:rPr>
      </w:pPr>
      <w:r>
        <w:rPr>
          <w:rFonts w:hint="eastAsia" w:ascii="微软雅黑" w:hAnsi="微软雅黑" w:eastAsia="微软雅黑" w:cs="宋体"/>
          <w:b/>
          <w:color w:val="333333"/>
          <w:kern w:val="36"/>
          <w:sz w:val="24"/>
        </w:rPr>
        <w:t>附件1</w:t>
      </w:r>
    </w:p>
    <w:p>
      <w:pPr>
        <w:jc w:val="left"/>
        <w:rPr>
          <w:sz w:val="30"/>
          <w:szCs w:val="30"/>
        </w:rPr>
      </w:pPr>
      <w:r>
        <w:rPr>
          <w:sz w:val="30"/>
          <w:szCs w:val="30"/>
        </w:rPr>
        <w:drawing>
          <wp:inline distT="0" distB="0" distL="0" distR="0">
            <wp:extent cx="9057640" cy="4686300"/>
            <wp:effectExtent l="0" t="0" r="0" b="0"/>
            <wp:docPr id="68" name="图片 68" descr="C:\Users\Administrator\Documents\WeChat Files\ppdeboke\FileStorage\Temp\16774744467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C:\Users\Administrator\Documents\WeChat Files\ppdeboke\FileStorage\Temp\1677474446727.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9058126" cy="4686300"/>
                    </a:xfrm>
                    <a:prstGeom prst="rect">
                      <a:avLst/>
                    </a:prstGeom>
                    <a:noFill/>
                    <a:ln>
                      <a:noFill/>
                    </a:ln>
                  </pic:spPr>
                </pic:pic>
              </a:graphicData>
            </a:graphic>
          </wp:inline>
        </w:drawing>
      </w:r>
    </w:p>
    <w:p>
      <w:pPr>
        <w:jc w:val="left"/>
        <w:rPr>
          <w:sz w:val="30"/>
          <w:szCs w:val="30"/>
        </w:rPr>
      </w:pPr>
      <w:r>
        <w:rPr>
          <w:sz w:val="30"/>
          <w:szCs w:val="30"/>
        </w:rPr>
        <w:drawing>
          <wp:inline distT="0" distB="0" distL="0" distR="0">
            <wp:extent cx="9057640" cy="5067935"/>
            <wp:effectExtent l="0" t="0" r="0" b="0"/>
            <wp:docPr id="69" name="图片 69" descr="C:\Users\Administrator\Documents\WeChat Files\ppdeboke\FileStorage\Temp\16774747090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C:\Users\Administrator\Documents\WeChat Files\ppdeboke\FileStorage\Temp\167747470909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9057640" cy="5068386"/>
                    </a:xfrm>
                    <a:prstGeom prst="rect">
                      <a:avLst/>
                    </a:prstGeom>
                    <a:noFill/>
                    <a:ln>
                      <a:noFill/>
                    </a:ln>
                  </pic:spPr>
                </pic:pic>
              </a:graphicData>
            </a:graphic>
          </wp:inline>
        </w:drawing>
      </w:r>
    </w:p>
    <w:p>
      <w:pPr>
        <w:jc w:val="left"/>
        <w:rPr>
          <w:sz w:val="30"/>
          <w:szCs w:val="30"/>
        </w:rPr>
      </w:pPr>
      <w:r>
        <w:rPr>
          <w:sz w:val="30"/>
          <w:szCs w:val="30"/>
        </w:rPr>
        <w:drawing>
          <wp:inline distT="0" distB="0" distL="0" distR="0">
            <wp:extent cx="9057640" cy="5099685"/>
            <wp:effectExtent l="0" t="0" r="0" b="5715"/>
            <wp:docPr id="70" name="图片 70" descr="C:\Users\Administrator\Documents\WeChat Files\ppdeboke\FileStorage\Temp\1677474904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C:\Users\Administrator\Documents\WeChat Files\ppdeboke\FileStorage\Temp\167747490426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9057640" cy="5099903"/>
                    </a:xfrm>
                    <a:prstGeom prst="rect">
                      <a:avLst/>
                    </a:prstGeom>
                    <a:noFill/>
                    <a:ln>
                      <a:noFill/>
                    </a:ln>
                  </pic:spPr>
                </pic:pic>
              </a:graphicData>
            </a:graphic>
          </wp:inline>
        </w:drawing>
      </w:r>
    </w:p>
    <w:p>
      <w:pPr>
        <w:jc w:val="left"/>
        <w:rPr>
          <w:sz w:val="30"/>
          <w:szCs w:val="30"/>
        </w:rPr>
      </w:pPr>
      <w:r>
        <w:rPr>
          <w:sz w:val="30"/>
          <w:szCs w:val="30"/>
        </w:rPr>
        <w:drawing>
          <wp:inline distT="0" distB="0" distL="0" distR="0">
            <wp:extent cx="9057640" cy="5078095"/>
            <wp:effectExtent l="0" t="0" r="0" b="8255"/>
            <wp:docPr id="71" name="图片 71" descr="C:\Users\Administrator\Documents\WeChat Files\ppdeboke\FileStorage\Temp\1677474926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C:\Users\Administrator\Documents\WeChat Files\ppdeboke\FileStorage\Temp\167747492610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9057640" cy="5078305"/>
                    </a:xfrm>
                    <a:prstGeom prst="rect">
                      <a:avLst/>
                    </a:prstGeom>
                    <a:noFill/>
                    <a:ln>
                      <a:noFill/>
                    </a:ln>
                  </pic:spPr>
                </pic:pic>
              </a:graphicData>
            </a:graphic>
          </wp:inline>
        </w:drawing>
      </w:r>
    </w:p>
    <w:p>
      <w:pPr>
        <w:jc w:val="left"/>
        <w:rPr>
          <w:sz w:val="30"/>
          <w:szCs w:val="30"/>
        </w:rPr>
      </w:pPr>
      <w:r>
        <w:rPr>
          <w:sz w:val="30"/>
          <w:szCs w:val="30"/>
        </w:rPr>
        <w:drawing>
          <wp:inline distT="0" distB="0" distL="0" distR="0">
            <wp:extent cx="9057640" cy="5089525"/>
            <wp:effectExtent l="0" t="0" r="0" b="0"/>
            <wp:docPr id="72" name="图片 72" descr="C:\Users\Administrator\Documents\WeChat Files\ppdeboke\FileStorage\Temp\1677474947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C:\Users\Administrator\Documents\WeChat Files\ppdeboke\FileStorage\Temp\167747494756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9057640" cy="5089952"/>
                    </a:xfrm>
                    <a:prstGeom prst="rect">
                      <a:avLst/>
                    </a:prstGeom>
                    <a:noFill/>
                    <a:ln>
                      <a:noFill/>
                    </a:ln>
                  </pic:spPr>
                </pic:pic>
              </a:graphicData>
            </a:graphic>
          </wp:inline>
        </w:drawing>
      </w:r>
    </w:p>
    <w:p>
      <w:pPr>
        <w:jc w:val="left"/>
        <w:rPr>
          <w:sz w:val="30"/>
          <w:szCs w:val="30"/>
        </w:rPr>
      </w:pPr>
      <w:r>
        <w:rPr>
          <w:sz w:val="30"/>
          <w:szCs w:val="30"/>
        </w:rPr>
        <w:drawing>
          <wp:inline distT="0" distB="0" distL="0" distR="0">
            <wp:extent cx="9057640" cy="5075555"/>
            <wp:effectExtent l="0" t="0" r="0" b="0"/>
            <wp:docPr id="73" name="图片 73" descr="C:\Users\Administrator\Documents\WeChat Files\ppdeboke\FileStorage\Temp\16774749639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C:\Users\Administrator\Documents\WeChat Files\ppdeboke\FileStorage\Temp\167747496394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9057640" cy="5076163"/>
                    </a:xfrm>
                    <a:prstGeom prst="rect">
                      <a:avLst/>
                    </a:prstGeom>
                    <a:noFill/>
                    <a:ln>
                      <a:noFill/>
                    </a:ln>
                  </pic:spPr>
                </pic:pic>
              </a:graphicData>
            </a:graphic>
          </wp:inline>
        </w:drawing>
      </w:r>
    </w:p>
    <w:p>
      <w:pPr>
        <w:jc w:val="left"/>
        <w:rPr>
          <w:sz w:val="30"/>
          <w:szCs w:val="30"/>
        </w:rPr>
      </w:pPr>
      <w:r>
        <w:rPr>
          <w:sz w:val="30"/>
          <w:szCs w:val="30"/>
        </w:rPr>
        <w:drawing>
          <wp:inline distT="0" distB="0" distL="0" distR="0">
            <wp:extent cx="9057640" cy="5075555"/>
            <wp:effectExtent l="0" t="0" r="0" b="0"/>
            <wp:docPr id="74" name="图片 74" descr="C:\Users\Administrator\Documents\WeChat Files\ppdeboke\FileStorage\Temp\16774749930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C:\Users\Administrator\Documents\WeChat Files\ppdeboke\FileStorage\Temp\167747499306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9057640" cy="5076163"/>
                    </a:xfrm>
                    <a:prstGeom prst="rect">
                      <a:avLst/>
                    </a:prstGeom>
                    <a:noFill/>
                    <a:ln>
                      <a:noFill/>
                    </a:ln>
                  </pic:spPr>
                </pic:pic>
              </a:graphicData>
            </a:graphic>
          </wp:inline>
        </w:drawing>
      </w:r>
    </w:p>
    <w:p>
      <w:pPr>
        <w:jc w:val="left"/>
        <w:rPr>
          <w:sz w:val="30"/>
          <w:szCs w:val="30"/>
        </w:rPr>
      </w:pPr>
      <w:r>
        <w:rPr>
          <w:sz w:val="30"/>
          <w:szCs w:val="30"/>
        </w:rPr>
        <w:drawing>
          <wp:inline distT="0" distB="0" distL="0" distR="0">
            <wp:extent cx="9057640" cy="5087620"/>
            <wp:effectExtent l="0" t="0" r="0" b="0"/>
            <wp:docPr id="75" name="图片 75" descr="C:\Users\Administrator\Documents\WeChat Files\ppdeboke\FileStorage\Temp\1677475081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C:\Users\Administrator\Documents\WeChat Files\ppdeboke\FileStorage\Temp\167747508114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9057640" cy="5087771"/>
                    </a:xfrm>
                    <a:prstGeom prst="rect">
                      <a:avLst/>
                    </a:prstGeom>
                    <a:noFill/>
                    <a:ln>
                      <a:noFill/>
                    </a:ln>
                  </pic:spPr>
                </pic:pic>
              </a:graphicData>
            </a:graphic>
          </wp:inline>
        </w:drawing>
      </w:r>
    </w:p>
    <w:p>
      <w:pPr>
        <w:jc w:val="left"/>
        <w:rPr>
          <w:sz w:val="30"/>
          <w:szCs w:val="30"/>
        </w:rPr>
      </w:pPr>
      <w:r>
        <w:rPr>
          <w:sz w:val="30"/>
          <w:szCs w:val="30"/>
        </w:rPr>
        <w:drawing>
          <wp:inline distT="0" distB="0" distL="0" distR="0">
            <wp:extent cx="9057640" cy="5131435"/>
            <wp:effectExtent l="0" t="0" r="0" b="0"/>
            <wp:docPr id="76" name="图片 76" descr="C:\Users\Administrator\Documents\WeChat Files\ppdeboke\FileStorage\Temp\16774750985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C:\Users\Administrator\Documents\WeChat Files\ppdeboke\FileStorage\Temp\167747509855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9057640" cy="5131481"/>
                    </a:xfrm>
                    <a:prstGeom prst="rect">
                      <a:avLst/>
                    </a:prstGeom>
                    <a:noFill/>
                    <a:ln>
                      <a:noFill/>
                    </a:ln>
                  </pic:spPr>
                </pic:pic>
              </a:graphicData>
            </a:graphic>
          </wp:inline>
        </w:drawing>
      </w:r>
    </w:p>
    <w:p>
      <w:pPr>
        <w:jc w:val="left"/>
        <w:rPr>
          <w:sz w:val="30"/>
          <w:szCs w:val="30"/>
        </w:rPr>
      </w:pPr>
      <w:r>
        <w:rPr>
          <w:sz w:val="30"/>
          <w:szCs w:val="30"/>
        </w:rPr>
        <w:drawing>
          <wp:inline distT="0" distB="0" distL="0" distR="0">
            <wp:extent cx="9057640" cy="5089525"/>
            <wp:effectExtent l="0" t="0" r="0" b="0"/>
            <wp:docPr id="77" name="图片 77" descr="C:\Users\Administrator\Documents\WeChat Files\ppdeboke\FileStorage\Temp\16774751157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C:\Users\Administrator\Documents\WeChat Files\ppdeboke\FileStorage\Temp\167747511576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9057640" cy="5089952"/>
                    </a:xfrm>
                    <a:prstGeom prst="rect">
                      <a:avLst/>
                    </a:prstGeom>
                    <a:noFill/>
                    <a:ln>
                      <a:noFill/>
                    </a:ln>
                  </pic:spPr>
                </pic:pic>
              </a:graphicData>
            </a:graphic>
          </wp:inline>
        </w:drawing>
      </w:r>
    </w:p>
    <w:p>
      <w:pPr>
        <w:jc w:val="left"/>
        <w:rPr>
          <w:sz w:val="30"/>
          <w:szCs w:val="30"/>
        </w:rPr>
      </w:pPr>
      <w:r>
        <w:rPr>
          <w:sz w:val="30"/>
          <w:szCs w:val="30"/>
        </w:rPr>
        <w:drawing>
          <wp:inline distT="0" distB="0" distL="0" distR="0">
            <wp:extent cx="9057640" cy="5080000"/>
            <wp:effectExtent l="0" t="0" r="0" b="6350"/>
            <wp:docPr id="78" name="图片 78" descr="C:\Users\Administrator\Documents\WeChat Files\ppdeboke\FileStorage\Temp\16774751315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C:\Users\Administrator\Documents\WeChat Files\ppdeboke\FileStorage\Temp\167747513157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9057640" cy="5080040"/>
                    </a:xfrm>
                    <a:prstGeom prst="rect">
                      <a:avLst/>
                    </a:prstGeom>
                    <a:noFill/>
                    <a:ln>
                      <a:noFill/>
                    </a:ln>
                  </pic:spPr>
                </pic:pic>
              </a:graphicData>
            </a:graphic>
          </wp:inline>
        </w:drawing>
      </w:r>
    </w:p>
    <w:p>
      <w:pPr>
        <w:jc w:val="left"/>
        <w:rPr>
          <w:sz w:val="30"/>
          <w:szCs w:val="30"/>
        </w:rPr>
      </w:pPr>
      <w:r>
        <w:rPr>
          <w:sz w:val="30"/>
          <w:szCs w:val="30"/>
        </w:rPr>
        <w:drawing>
          <wp:inline distT="0" distB="0" distL="0" distR="0">
            <wp:extent cx="9057640" cy="5123815"/>
            <wp:effectExtent l="0" t="0" r="0" b="635"/>
            <wp:docPr id="79" name="图片 79" descr="C:\Users\Administrator\Documents\WeChat Files\ppdeboke\FileStorage\Temp\16774751517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C:\Users\Administrator\Documents\WeChat Files\ppdeboke\FileStorage\Temp\167747515171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9057640" cy="5124137"/>
                    </a:xfrm>
                    <a:prstGeom prst="rect">
                      <a:avLst/>
                    </a:prstGeom>
                    <a:noFill/>
                    <a:ln>
                      <a:noFill/>
                    </a:ln>
                  </pic:spPr>
                </pic:pic>
              </a:graphicData>
            </a:graphic>
          </wp:inline>
        </w:drawing>
      </w:r>
    </w:p>
    <w:p>
      <w:pPr>
        <w:jc w:val="left"/>
        <w:rPr>
          <w:sz w:val="30"/>
          <w:szCs w:val="30"/>
        </w:rPr>
      </w:pPr>
      <w:r>
        <w:rPr>
          <w:sz w:val="30"/>
          <w:szCs w:val="30"/>
        </w:rPr>
        <w:drawing>
          <wp:inline distT="0" distB="0" distL="0" distR="0">
            <wp:extent cx="9057640" cy="5080635"/>
            <wp:effectExtent l="0" t="0" r="0" b="5715"/>
            <wp:docPr id="80" name="图片 80" descr="C:\Users\Administrator\Documents\WeChat Files\ppdeboke\FileStorage\Temp\16774751728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C:\Users\Administrator\Documents\WeChat Files\ppdeboke\FileStorage\Temp\167747517289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9057640" cy="5081115"/>
                    </a:xfrm>
                    <a:prstGeom prst="rect">
                      <a:avLst/>
                    </a:prstGeom>
                    <a:noFill/>
                    <a:ln>
                      <a:noFill/>
                    </a:ln>
                  </pic:spPr>
                </pic:pic>
              </a:graphicData>
            </a:graphic>
          </wp:inline>
        </w:drawing>
      </w:r>
    </w:p>
    <w:p>
      <w:pPr>
        <w:jc w:val="left"/>
        <w:rPr>
          <w:sz w:val="30"/>
          <w:szCs w:val="30"/>
        </w:rPr>
      </w:pPr>
      <w:r>
        <w:rPr>
          <w:sz w:val="30"/>
          <w:szCs w:val="30"/>
        </w:rPr>
        <w:drawing>
          <wp:inline distT="0" distB="0" distL="0" distR="0">
            <wp:extent cx="9057640" cy="5097145"/>
            <wp:effectExtent l="0" t="0" r="0" b="8255"/>
            <wp:docPr id="81" name="图片 81" descr="C:\Users\Administrator\Documents\WeChat Files\ppdeboke\FileStorage\Temp\16774751895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C:\Users\Administrator\Documents\WeChat Files\ppdeboke\FileStorage\Temp\167747518956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9057640" cy="5097679"/>
                    </a:xfrm>
                    <a:prstGeom prst="rect">
                      <a:avLst/>
                    </a:prstGeom>
                    <a:noFill/>
                    <a:ln>
                      <a:noFill/>
                    </a:ln>
                  </pic:spPr>
                </pic:pic>
              </a:graphicData>
            </a:graphic>
          </wp:inline>
        </w:drawing>
      </w:r>
    </w:p>
    <w:p>
      <w:pPr>
        <w:jc w:val="left"/>
        <w:rPr>
          <w:sz w:val="30"/>
          <w:szCs w:val="30"/>
        </w:rPr>
      </w:pPr>
      <w:r>
        <w:rPr>
          <w:sz w:val="30"/>
          <w:szCs w:val="30"/>
        </w:rPr>
        <w:drawing>
          <wp:inline distT="0" distB="0" distL="0" distR="0">
            <wp:extent cx="9057640" cy="5103495"/>
            <wp:effectExtent l="0" t="0" r="0" b="1905"/>
            <wp:docPr id="82" name="图片 82" descr="C:\Users\Administrator\Documents\WeChat Files\ppdeboke\FileStorage\Temp\16774752039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C:\Users\Administrator\Documents\WeChat Files\ppdeboke\FileStorage\Temp\167747520395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9057640" cy="5103768"/>
                    </a:xfrm>
                    <a:prstGeom prst="rect">
                      <a:avLst/>
                    </a:prstGeom>
                    <a:noFill/>
                    <a:ln>
                      <a:noFill/>
                    </a:ln>
                  </pic:spPr>
                </pic:pic>
              </a:graphicData>
            </a:graphic>
          </wp:inline>
        </w:drawing>
      </w:r>
    </w:p>
    <w:p>
      <w:pPr>
        <w:jc w:val="left"/>
        <w:rPr>
          <w:sz w:val="30"/>
          <w:szCs w:val="30"/>
        </w:rPr>
      </w:pPr>
      <w:r>
        <w:rPr>
          <w:sz w:val="30"/>
          <w:szCs w:val="30"/>
        </w:rPr>
        <w:drawing>
          <wp:inline distT="0" distB="0" distL="0" distR="0">
            <wp:extent cx="9057640" cy="5098415"/>
            <wp:effectExtent l="0" t="0" r="0" b="6985"/>
            <wp:docPr id="83" name="图片 83" descr="C:\Users\Administrator\Documents\WeChat Files\ppdeboke\FileStorage\Temp\16774752207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C:\Users\Administrator\Documents\WeChat Files\ppdeboke\FileStorage\Temp\167747522079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9057640" cy="5098789"/>
                    </a:xfrm>
                    <a:prstGeom prst="rect">
                      <a:avLst/>
                    </a:prstGeom>
                    <a:noFill/>
                    <a:ln>
                      <a:noFill/>
                    </a:ln>
                  </pic:spPr>
                </pic:pic>
              </a:graphicData>
            </a:graphic>
          </wp:inline>
        </w:drawing>
      </w:r>
    </w:p>
    <w:p>
      <w:pPr>
        <w:jc w:val="left"/>
        <w:rPr>
          <w:sz w:val="30"/>
          <w:szCs w:val="30"/>
        </w:rPr>
      </w:pPr>
      <w:bookmarkStart w:id="0" w:name="_GoBack"/>
      <w:bookmarkEnd w:id="0"/>
    </w:p>
    <w:p>
      <w:pPr>
        <w:jc w:val="left"/>
        <w:rPr>
          <w:sz w:val="30"/>
          <w:szCs w:val="30"/>
        </w:rPr>
      </w:pPr>
    </w:p>
    <w:p>
      <w:pPr>
        <w:jc w:val="left"/>
        <w:rPr>
          <w:sz w:val="30"/>
          <w:szCs w:val="30"/>
        </w:rPr>
      </w:pPr>
    </w:p>
    <w:p>
      <w:pPr>
        <w:jc w:val="left"/>
        <w:rPr>
          <w:sz w:val="30"/>
          <w:szCs w:val="30"/>
        </w:rPr>
      </w:pPr>
    </w:p>
    <w:p>
      <w:pPr>
        <w:jc w:val="left"/>
        <w:rPr>
          <w:sz w:val="30"/>
          <w:szCs w:val="30"/>
        </w:rPr>
      </w:pPr>
    </w:p>
    <w:p>
      <w:pPr>
        <w:widowControl/>
        <w:spacing w:before="100" w:beforeAutospacing="1" w:after="100" w:afterAutospacing="1" w:line="900" w:lineRule="atLeast"/>
        <w:outlineLvl w:val="1"/>
        <w:rPr>
          <w:rFonts w:ascii="微软雅黑" w:hAnsi="微软雅黑" w:eastAsia="微软雅黑" w:cs="宋体"/>
          <w:b/>
          <w:color w:val="333333"/>
          <w:kern w:val="36"/>
          <w:sz w:val="24"/>
        </w:rPr>
        <w:sectPr>
          <w:pgSz w:w="16838" w:h="11906" w:orient="landscape"/>
          <w:pgMar w:top="1797" w:right="1134" w:bottom="1797" w:left="1440" w:header="851" w:footer="992" w:gutter="0"/>
          <w:cols w:space="425" w:num="1"/>
          <w:titlePg/>
          <w:docGrid w:type="lines" w:linePitch="312" w:charSpace="0"/>
        </w:sectPr>
      </w:pPr>
    </w:p>
    <w:p>
      <w:pPr>
        <w:widowControl/>
        <w:spacing w:before="100" w:beforeAutospacing="1" w:after="100" w:afterAutospacing="1" w:line="900" w:lineRule="atLeast"/>
        <w:outlineLvl w:val="1"/>
        <w:rPr>
          <w:rFonts w:ascii="微软雅黑" w:hAnsi="微软雅黑" w:eastAsia="微软雅黑" w:cs="宋体"/>
          <w:b/>
          <w:color w:val="333333"/>
          <w:kern w:val="36"/>
          <w:sz w:val="24"/>
        </w:rPr>
      </w:pPr>
      <w:r>
        <w:rPr>
          <w:rFonts w:hint="eastAsia" w:ascii="微软雅黑" w:hAnsi="微软雅黑" w:eastAsia="微软雅黑" w:cs="宋体"/>
          <w:b/>
          <w:color w:val="333333"/>
          <w:kern w:val="36"/>
          <w:sz w:val="24"/>
        </w:rPr>
        <w:t>附件2</w:t>
      </w:r>
    </w:p>
    <w:p>
      <w:pPr>
        <w:rPr>
          <w:rFonts w:ascii="微软雅黑" w:hAnsi="微软雅黑" w:eastAsia="微软雅黑" w:cs="宋体"/>
          <w:color w:val="333333"/>
          <w:spacing w:val="8"/>
          <w:kern w:val="0"/>
          <w:sz w:val="33"/>
          <w:szCs w:val="33"/>
        </w:rPr>
      </w:pPr>
    </w:p>
    <w:p>
      <w:pPr>
        <w:jc w:val="left"/>
      </w:pPr>
      <w:r>
        <w:rPr>
          <w:rFonts w:hint="eastAsia" w:ascii="微软雅黑" w:hAnsi="微软雅黑" w:eastAsia="微软雅黑" w:cs="宋体"/>
          <w:color w:val="333333"/>
          <w:spacing w:val="8"/>
          <w:kern w:val="0"/>
          <w:sz w:val="33"/>
          <w:szCs w:val="33"/>
        </w:rPr>
        <w:t>国家医疗保障局办公室关于进一步做好定点零售药店纳入门诊统筹管理的通知</w:t>
      </w:r>
    </w:p>
    <w:p>
      <w:pPr>
        <w:jc w:val="left"/>
      </w:pPr>
    </w:p>
    <w:p>
      <w:pPr>
        <w:jc w:val="left"/>
        <w:rPr>
          <w:rStyle w:val="13"/>
          <w:rFonts w:ascii="微软雅黑" w:hAnsi="微软雅黑" w:eastAsia="微软雅黑"/>
          <w:color w:val="CD0202"/>
          <w:spacing w:val="8"/>
          <w:sz w:val="60"/>
          <w:szCs w:val="60"/>
        </w:rPr>
      </w:pPr>
      <w:r>
        <w:rPr>
          <w:rFonts w:hint="eastAsia"/>
        </w:rPr>
        <w:t>国家医保局 2023-02-15</w:t>
      </w:r>
    </w:p>
    <w:p>
      <w:pPr>
        <w:pStyle w:val="9"/>
        <w:spacing w:before="0" w:beforeAutospacing="0" w:after="0" w:afterAutospacing="0"/>
        <w:ind w:right="120"/>
        <w:jc w:val="both"/>
        <w:rPr>
          <w:rStyle w:val="13"/>
          <w:rFonts w:ascii="微软雅黑" w:hAnsi="微软雅黑" w:eastAsia="微软雅黑" w:cs="微软雅黑"/>
          <w:color w:val="0A6EBF"/>
          <w:spacing w:val="8"/>
          <w:sz w:val="28"/>
          <w:szCs w:val="28"/>
          <w:shd w:val="clear" w:color="auto" w:fill="FFFFFF"/>
        </w:rPr>
      </w:pPr>
    </w:p>
    <w:p>
      <w:pPr>
        <w:jc w:val="center"/>
        <w:rPr>
          <w:rStyle w:val="13"/>
          <w:rFonts w:ascii="宋体" w:hAnsi="宋体" w:cs="宋体"/>
          <w:spacing w:val="30"/>
          <w:sz w:val="24"/>
          <w:szCs w:val="24"/>
        </w:rPr>
      </w:pPr>
      <w:r>
        <w:rPr>
          <w:rFonts w:ascii="宋体" w:hAnsi="宋体" w:cs="宋体"/>
          <w:b/>
          <w:bCs/>
          <w:spacing w:val="30"/>
          <w:sz w:val="24"/>
          <w:szCs w:val="24"/>
        </w:rPr>
        <w:drawing>
          <wp:inline distT="0" distB="0" distL="0" distR="0">
            <wp:extent cx="5486400" cy="5343525"/>
            <wp:effectExtent l="0" t="0" r="0" b="9525"/>
            <wp:docPr id="58" name="图片 58" descr="C:\Users\Administrator\Documents\WeChat Files\ppdeboke\FileStorage\Temp\9156417dcd3553212641e7654a6bd8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C:\Users\Administrator\Documents\WeChat Files\ppdeboke\FileStorage\Temp\9156417dcd3553212641e7654a6bd84d.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493677" cy="5350612"/>
                    </a:xfrm>
                    <a:prstGeom prst="rect">
                      <a:avLst/>
                    </a:prstGeom>
                    <a:noFill/>
                    <a:ln>
                      <a:noFill/>
                    </a:ln>
                  </pic:spPr>
                </pic:pic>
              </a:graphicData>
            </a:graphic>
          </wp:inline>
        </w:drawing>
      </w:r>
    </w:p>
    <w:p>
      <w:pPr>
        <w:jc w:val="center"/>
        <w:rPr>
          <w:rStyle w:val="13"/>
          <w:rFonts w:ascii="宋体" w:hAnsi="宋体" w:cs="宋体"/>
          <w:spacing w:val="30"/>
          <w:sz w:val="24"/>
          <w:szCs w:val="24"/>
        </w:rPr>
      </w:pPr>
      <w:r>
        <w:rPr>
          <w:rFonts w:ascii="宋体" w:hAnsi="宋体" w:cs="宋体"/>
          <w:b/>
          <w:bCs/>
          <w:spacing w:val="30"/>
          <w:sz w:val="24"/>
          <w:szCs w:val="24"/>
        </w:rPr>
        <w:drawing>
          <wp:inline distT="0" distB="0" distL="0" distR="0">
            <wp:extent cx="5514975" cy="7905750"/>
            <wp:effectExtent l="0" t="0" r="9525" b="0"/>
            <wp:docPr id="59" name="图片 59" descr="C:\Users\Administrator\Documents\WeChat Files\ppdeboke\FileStorage\Temp\1ddc15dea3f3c77ec91b78f5a2cc7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C:\Users\Administrator\Documents\WeChat Files\ppdeboke\FileStorage\Temp\1ddc15dea3f3c77ec91b78f5a2cc747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515521" cy="7906533"/>
                    </a:xfrm>
                    <a:prstGeom prst="rect">
                      <a:avLst/>
                    </a:prstGeom>
                    <a:noFill/>
                    <a:ln>
                      <a:noFill/>
                    </a:ln>
                  </pic:spPr>
                </pic:pic>
              </a:graphicData>
            </a:graphic>
          </wp:inline>
        </w:drawing>
      </w:r>
    </w:p>
    <w:p>
      <w:pPr>
        <w:rPr>
          <w:rStyle w:val="13"/>
          <w:rFonts w:ascii="宋体" w:hAnsi="宋体" w:cs="宋体"/>
          <w:spacing w:val="30"/>
          <w:sz w:val="24"/>
          <w:szCs w:val="24"/>
        </w:rPr>
      </w:pPr>
      <w:r>
        <w:rPr>
          <w:rFonts w:ascii="宋体" w:hAnsi="宋体" w:cs="宋体"/>
          <w:b/>
          <w:bCs/>
          <w:spacing w:val="30"/>
          <w:sz w:val="24"/>
          <w:szCs w:val="24"/>
        </w:rPr>
        <w:drawing>
          <wp:inline distT="0" distB="0" distL="0" distR="0">
            <wp:extent cx="5562600" cy="7419975"/>
            <wp:effectExtent l="0" t="0" r="0" b="9525"/>
            <wp:docPr id="60" name="图片 60" descr="C:\Users\Administrator\Documents\WeChat Files\ppdeboke\FileStorage\Temp\948352e9f123fe6c0078fa7c57194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C:\Users\Administrator\Documents\WeChat Files\ppdeboke\FileStorage\Temp\948352e9f123fe6c0078fa7c57194a1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563875" cy="7421676"/>
                    </a:xfrm>
                    <a:prstGeom prst="rect">
                      <a:avLst/>
                    </a:prstGeom>
                    <a:noFill/>
                    <a:ln>
                      <a:noFill/>
                    </a:ln>
                  </pic:spPr>
                </pic:pic>
              </a:graphicData>
            </a:graphic>
          </wp:inline>
        </w:drawing>
      </w:r>
    </w:p>
    <w:p>
      <w:pPr>
        <w:rPr>
          <w:rStyle w:val="13"/>
          <w:rFonts w:ascii="宋体" w:hAnsi="宋体" w:cs="宋体"/>
          <w:spacing w:val="30"/>
          <w:sz w:val="24"/>
          <w:szCs w:val="24"/>
        </w:rPr>
      </w:pPr>
      <w:r>
        <w:rPr>
          <w:rFonts w:ascii="宋体" w:hAnsi="宋体" w:cs="宋体"/>
          <w:b/>
          <w:bCs/>
          <w:spacing w:val="30"/>
          <w:sz w:val="24"/>
          <w:szCs w:val="24"/>
        </w:rPr>
        <w:drawing>
          <wp:inline distT="0" distB="0" distL="0" distR="0">
            <wp:extent cx="5753100" cy="7115175"/>
            <wp:effectExtent l="0" t="0" r="0" b="9525"/>
            <wp:docPr id="61" name="图片 61" descr="C:\Users\Administrator\Documents\WeChat Files\ppdeboke\FileStorage\Temp\e6e1cf4611a6012ea7ac5c924af286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C:\Users\Administrator\Documents\WeChat Files\ppdeboke\FileStorage\Temp\e6e1cf4611a6012ea7ac5c924af286b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763090" cy="7127530"/>
                    </a:xfrm>
                    <a:prstGeom prst="rect">
                      <a:avLst/>
                    </a:prstGeom>
                    <a:noFill/>
                    <a:ln>
                      <a:noFill/>
                    </a:ln>
                  </pic:spPr>
                </pic:pic>
              </a:graphicData>
            </a:graphic>
          </wp:inline>
        </w:drawing>
      </w:r>
    </w:p>
    <w:p>
      <w:pPr>
        <w:rPr>
          <w:rStyle w:val="13"/>
          <w:rFonts w:ascii="宋体" w:hAnsi="宋体" w:cs="宋体"/>
          <w:spacing w:val="30"/>
          <w:sz w:val="24"/>
          <w:szCs w:val="24"/>
        </w:rPr>
      </w:pPr>
      <w:r>
        <w:rPr>
          <w:rFonts w:ascii="宋体" w:hAnsi="宋体" w:cs="宋体"/>
          <w:b/>
          <w:bCs/>
          <w:spacing w:val="30"/>
          <w:sz w:val="24"/>
          <w:szCs w:val="24"/>
        </w:rPr>
        <w:drawing>
          <wp:inline distT="0" distB="0" distL="0" distR="0">
            <wp:extent cx="5581650" cy="6638925"/>
            <wp:effectExtent l="0" t="0" r="0" b="9525"/>
            <wp:docPr id="8" name="图片 8" descr="C:\Users\Administrator\Documents\WeChat Files\ppdeboke\FileStorage\Temp\b65f6cd9059f2e4eb44056a37f985e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ocuments\WeChat Files\ppdeboke\FileStorage\Temp\b65f6cd9059f2e4eb44056a37f985e2a.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592346" cy="6651647"/>
                    </a:xfrm>
                    <a:prstGeom prst="rect">
                      <a:avLst/>
                    </a:prstGeom>
                    <a:noFill/>
                    <a:ln>
                      <a:noFill/>
                    </a:ln>
                  </pic:spPr>
                </pic:pic>
              </a:graphicData>
            </a:graphic>
          </wp:inline>
        </w:drawing>
      </w:r>
    </w:p>
    <w:p>
      <w:pPr>
        <w:jc w:val="center"/>
        <w:rPr>
          <w:rStyle w:val="13"/>
          <w:rFonts w:cs="Helvetica" w:asciiTheme="minorEastAsia" w:hAnsiTheme="minorEastAsia"/>
          <w:b w:val="0"/>
          <w:spacing w:val="15"/>
          <w:sz w:val="28"/>
          <w:szCs w:val="28"/>
        </w:rPr>
      </w:pPr>
    </w:p>
    <w:p>
      <w:pPr>
        <w:widowControl/>
        <w:spacing w:before="100" w:beforeAutospacing="1" w:after="100" w:afterAutospacing="1" w:line="900" w:lineRule="atLeast"/>
        <w:outlineLvl w:val="1"/>
        <w:rPr>
          <w:rFonts w:ascii="微软雅黑" w:hAnsi="微软雅黑" w:eastAsia="微软雅黑" w:cs="宋体"/>
          <w:b/>
          <w:color w:val="333333"/>
          <w:kern w:val="36"/>
          <w:sz w:val="24"/>
        </w:rPr>
      </w:pPr>
    </w:p>
    <w:p>
      <w:pPr>
        <w:widowControl/>
        <w:spacing w:before="100" w:beforeAutospacing="1" w:after="100" w:afterAutospacing="1" w:line="900" w:lineRule="atLeast"/>
        <w:outlineLvl w:val="1"/>
        <w:rPr>
          <w:rFonts w:ascii="微软雅黑" w:hAnsi="微软雅黑" w:eastAsia="微软雅黑" w:cs="宋体"/>
          <w:b/>
          <w:color w:val="333333"/>
          <w:kern w:val="36"/>
          <w:sz w:val="24"/>
        </w:rPr>
      </w:pPr>
    </w:p>
    <w:p>
      <w:pPr>
        <w:widowControl/>
        <w:spacing w:before="100" w:beforeAutospacing="1" w:after="100" w:afterAutospacing="1" w:line="900" w:lineRule="atLeast"/>
        <w:outlineLvl w:val="1"/>
        <w:rPr>
          <w:rFonts w:ascii="微软雅黑" w:hAnsi="微软雅黑" w:eastAsia="微软雅黑" w:cs="宋体"/>
          <w:b/>
          <w:color w:val="333333"/>
          <w:kern w:val="36"/>
          <w:sz w:val="24"/>
        </w:rPr>
      </w:pPr>
      <w:r>
        <w:rPr>
          <w:rFonts w:hint="eastAsia" w:ascii="微软雅黑" w:hAnsi="微软雅黑" w:eastAsia="微软雅黑" w:cs="宋体"/>
          <w:b/>
          <w:color w:val="333333"/>
          <w:kern w:val="36"/>
          <w:sz w:val="24"/>
        </w:rPr>
        <w:t>附件3</w:t>
      </w:r>
    </w:p>
    <w:p>
      <w:pPr>
        <w:jc w:val="left"/>
        <w:rPr>
          <w:rFonts w:ascii="微软雅黑" w:hAnsi="微软雅黑" w:eastAsia="微软雅黑" w:cs="宋体"/>
          <w:color w:val="333333"/>
          <w:spacing w:val="8"/>
          <w:kern w:val="0"/>
          <w:sz w:val="33"/>
          <w:szCs w:val="33"/>
        </w:rPr>
      </w:pPr>
    </w:p>
    <w:p>
      <w:pPr>
        <w:jc w:val="left"/>
        <w:rPr>
          <w:rFonts w:ascii="微软雅黑" w:hAnsi="微软雅黑" w:eastAsia="微软雅黑" w:cs="宋体"/>
          <w:color w:val="333333"/>
          <w:spacing w:val="8"/>
          <w:kern w:val="0"/>
          <w:sz w:val="33"/>
          <w:szCs w:val="33"/>
        </w:rPr>
      </w:pPr>
      <w:r>
        <w:rPr>
          <w:rFonts w:hint="eastAsia" w:ascii="微软雅黑" w:hAnsi="微软雅黑" w:eastAsia="微软雅黑" w:cs="宋体"/>
          <w:color w:val="333333"/>
          <w:spacing w:val="8"/>
          <w:kern w:val="0"/>
          <w:sz w:val="33"/>
          <w:szCs w:val="33"/>
        </w:rPr>
        <w:t>第八批国采官宣</w:t>
      </w:r>
    </w:p>
    <w:p>
      <w:pPr>
        <w:jc w:val="left"/>
      </w:pPr>
    </w:p>
    <w:p>
      <w:pPr>
        <w:jc w:val="left"/>
        <w:rPr>
          <w:rFonts w:cs="Helvetica" w:asciiTheme="minorEastAsia" w:hAnsiTheme="minorEastAsia"/>
          <w:bCs/>
          <w:spacing w:val="15"/>
          <w:sz w:val="28"/>
          <w:szCs w:val="28"/>
        </w:rPr>
      </w:pPr>
      <w:r>
        <w:rPr>
          <w:rFonts w:hint="eastAsia"/>
        </w:rPr>
        <w:t>原创  医药经济报 2023-02-17</w:t>
      </w:r>
    </w:p>
    <w:p>
      <w:pPr>
        <w:widowControl/>
        <w:jc w:val="left"/>
        <w:rPr>
          <w:rFonts w:ascii="宋体" w:hAnsi="宋体" w:cs="宋体"/>
          <w:b/>
          <w:bCs/>
          <w:kern w:val="0"/>
          <w:sz w:val="24"/>
          <w:szCs w:val="24"/>
        </w:rPr>
      </w:pPr>
    </w:p>
    <w:p>
      <w:pPr>
        <w:ind w:firstLine="620" w:firstLineChars="200"/>
        <w:rPr>
          <w:rStyle w:val="13"/>
          <w:rFonts w:cs="Helvetica" w:asciiTheme="minorEastAsia" w:hAnsiTheme="minorEastAsia"/>
          <w:b w:val="0"/>
          <w:spacing w:val="15"/>
          <w:sz w:val="28"/>
          <w:szCs w:val="28"/>
        </w:rPr>
      </w:pP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2月17日，上海阳光医药采购网发布《关于开展第八批国家组织药品集中采购相关药品信息填报工作的通知》（下称《通知》），正式拉开新一轮国家集采序幕。根据《通知》，自2023年2月20日起，联合采购办公室开展第八批国采相关药品填报工作。</w:t>
      </w:r>
    </w:p>
    <w:p>
      <w:pPr>
        <w:jc w:val="left"/>
        <w:rPr>
          <w:rStyle w:val="13"/>
          <w:rFonts w:cs="Helvetica" w:asciiTheme="minorEastAsia" w:hAnsiTheme="minorEastAsia"/>
          <w:b w:val="0"/>
          <w:spacing w:val="15"/>
          <w:sz w:val="28"/>
          <w:szCs w:val="28"/>
        </w:rPr>
      </w:pPr>
    </w:p>
    <w:p>
      <w:pPr>
        <w:ind w:firstLine="620" w:firstLineChars="200"/>
        <w:jc w:val="left"/>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本次国采共涉及41个品种（以药品名称计），181个品规，包括成都倍特、正大天晴、石药集团、济川药业、四川科伦等上百家药企入场。本次国采整体市场规模较大，或超600亿元，品种纳入门槛从第七批国采的4家上升到至少5家（4+1/5+0），竞争或将更为激烈。（详细名单见文末）</w:t>
      </w:r>
    </w:p>
    <w:p>
      <w:pPr>
        <w:ind w:firstLine="620" w:firstLineChars="200"/>
        <w:jc w:val="left"/>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业内人士指出，随着越来越多的品种被纳入国采，各个治疗领域的药物基本被一网打尽。本次国采同样颇具看点，抗感染药物市场持续洗牌，肝素类产品首次进入国采名单，抗血栓、高血压用药市场再迎变局……另一方面，注射剂剂型仍然是本次国采的“大头”，占比超过60%，达到27个品种。</w:t>
      </w:r>
    </w:p>
    <w:p>
      <w:pPr>
        <w:ind w:firstLine="620" w:firstLineChars="200"/>
        <w:jc w:val="left"/>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事实上，注射剂是中国公立医疗机构终端主要用药途径，多年来市场占比均在50%以上。米内网数据显示，2021年中国公立医疗机构终端化药注射剂销售规模超过6000亿元同比2020年增长10%。</w:t>
      </w:r>
    </w:p>
    <w:p>
      <w:pPr>
        <w:jc w:val="center"/>
        <w:rPr>
          <w:rStyle w:val="13"/>
          <w:rFonts w:cs="Helvetica" w:asciiTheme="minorEastAsia" w:hAnsiTheme="minorEastAsia"/>
          <w:color w:val="1F497D" w:themeColor="text2"/>
          <w:spacing w:val="15"/>
          <w:sz w:val="28"/>
          <w:szCs w:val="28"/>
          <w14:textFill>
            <w14:solidFill>
              <w14:schemeClr w14:val="tx2"/>
            </w14:solidFill>
          </w14:textFill>
        </w:rPr>
      </w:pPr>
      <w:r>
        <w:rPr>
          <w:rStyle w:val="13"/>
          <w:rFonts w:hint="eastAsia" w:cs="Helvetica" w:asciiTheme="minorEastAsia" w:hAnsiTheme="minorEastAsia"/>
          <w:color w:val="1F497D" w:themeColor="text2"/>
          <w:spacing w:val="15"/>
          <w:sz w:val="28"/>
          <w:szCs w:val="28"/>
          <w14:textFill>
            <w14:solidFill>
              <w14:schemeClr w14:val="tx2"/>
            </w14:solidFill>
          </w14:textFill>
        </w:rPr>
        <w:t>各领域用药基本覆盖</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具体来看，本次国采品种覆盖了抗感染、肝素类、抗血栓、高血压等用药范围。米内网数据显示，41个品种中有22个2021年在中国公立医疗机构终端的销售额超过10亿元，其中TOP10 品种合计市场规模接近400亿元。</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在抗感染领域，中国公立医疗机构终端的销售规模保持在1000亿元以上。尽管受限输、限抗等政策影响，近年来叠加疫情冲击，抗感染药物市场规模增速持续放缓，但是仍然有巨大市场潜力。本次国采新纳入的哌拉西林他唑巴坦注射剂、头孢哌酮舒巴坦注射剂、阿莫西林克拉维酸注射剂等品种，在2021年中国公立医疗机构终端的销售额分别超过83亿元、69亿元、30亿元。</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在降血压领域，第八批国采纳入了包括左氨氯地平口服常释剂型、非洛地平缓释控释剂型在内的多个超20亿销售额的大品种。实际上，每一批国采均有高血压用药的身影，至今已有30余个品种被纳入，包括苯磺酸氨氯地平片、硝苯地平控释片、琥珀酸美托洛尔缓释片、厄贝沙坦氢氯噻嗪片等临床大品种。</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随着本次国采推进，高血压用药大品种基本被一网打尽，这一超过500亿元销售规模的慢病用药市场将迎来大洗牌。</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值得注意的是，在之前的七批八轮国采中，并无肝素类产品的身影，此番是该品类首次被纳入。近年来，在中国公立医疗机构终端，肝素类产品在抗血栓形成药中的销售占比逐年提升。2019年，肝素类产品销售额首次突破100亿元，2021年更是超过120亿元。</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目前，依诺肝素注射剂已经有10家药企满足竞争条件，那屈肝素注射剂有5家药企满足竞争条件，两者在2021年中国公立医疗机构终端的销售规模分别超过28亿元和27亿元。</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本次国采不仅有更多、更新的大品种纳入，入局的企业数量也在不断增加。通过对填报名单进行统计分析可以发现，第八批国采涉及品种的厂家数量已经达到5家及以上。这也意味着，随着仿制药一致性评价驶入深水区，相关品种的过评企业数量显著增加，入局企业的竞争程度将越来越激烈。</w:t>
      </w:r>
    </w:p>
    <w:p>
      <w:pPr>
        <w:jc w:val="center"/>
        <w:rPr>
          <w:rStyle w:val="13"/>
          <w:rFonts w:cs="Helvetica" w:asciiTheme="minorEastAsia" w:hAnsiTheme="minorEastAsia"/>
          <w:color w:val="1F497D" w:themeColor="text2"/>
          <w:spacing w:val="15"/>
          <w:sz w:val="28"/>
          <w:szCs w:val="28"/>
          <w14:textFill>
            <w14:solidFill>
              <w14:schemeClr w14:val="tx2"/>
            </w14:solidFill>
          </w14:textFill>
        </w:rPr>
      </w:pPr>
      <w:r>
        <w:rPr>
          <w:rStyle w:val="13"/>
          <w:rFonts w:hint="eastAsia" w:cs="Helvetica" w:asciiTheme="minorEastAsia" w:hAnsiTheme="minorEastAsia"/>
          <w:color w:val="1F497D" w:themeColor="text2"/>
          <w:spacing w:val="15"/>
          <w:sz w:val="28"/>
          <w:szCs w:val="28"/>
          <w14:textFill>
            <w14:solidFill>
              <w14:schemeClr w14:val="tx2"/>
            </w14:solidFill>
          </w14:textFill>
        </w:rPr>
        <w:t>注射剂集采竞争加剧</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2020年5月，国家药监局发布《关于开展化学药品注射剂仿制药质量和疗效一致性评价工作的公告》，正式启动化药注射剂一致性评价工作。由于化药注射剂给药方式不同，其安全性要求比化药口服制剂更高，严格开展一致性评价工作将有利于国产化学药品注射剂质量提升。随着注射剂一致性评价火速推进，注射剂带量采购盛况空前。</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截至2022年12月31日，已通过一致性评价（含视同过评）的注射剂涉及受理号达到2030个，涉及药品1330款（按产品名+企业统计）。其中，扬子江药业过评的注射剂产品最多、科伦药业过评的注射剂受理号最多，双双领跑过评榜。</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目前，第八批国采吹响集结号，27个注射剂展开激战，16个超10亿产品榜上有名。</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从企业角度看，本次国采由国产仿制药占主导，跨国原研药企“戏份”并不多。据统计，辉瑞共有包括市场份额较高的头孢哌酮舒巴坦注射剂、伏立康唑注射剂在内的4个品种参与角逐；赛诺菲则是有2款产品入局，分别是丙戊酸钠注射用浓溶液和依诺肝素钠注射液。此外，默沙东、灵北、阿斯利康、GSK、卫材等跨国药企均有品种在列。</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本土药企中，倍特药业、复星医药分别涉及9款产品，是本次入围产品最多的选手；其次是扬子江药业，有7款产品被纳入；华北制药、华润医药、齐鲁制药、中国生物制药等企业涉及的注射剂品种数均达5个及以上。</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事实上，从“4+7”试点开始，国采之中就一直有注射剂的身影。随着注射剂一次性评价等政策的逐步完善，第五次国采注射剂占比达到50%；第七批国采注射剂占比达到46%；本次国采，注射剂的占比达到60%以上。尽管国采重心从口服制剂向注射剂倾斜，但竞争的激烈程度并未得到减弱。</w:t>
      </w: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奥硝唑注射剂是本轮竞争最为激烈的品种，该品种系第三代硝基咪唑类抗生素，过评厂家已达15家，2021年在中国公立医疗机构终端的销售额超过18亿元，竞争企业包括石家庄四药、双鹭药业、仁和益康等。</w:t>
      </w:r>
    </w:p>
    <w:p>
      <w:pPr>
        <w:rPr>
          <w:rStyle w:val="13"/>
          <w:rFonts w:cs="Helvetica" w:asciiTheme="minorEastAsia" w:hAnsiTheme="minorEastAsia"/>
          <w:b w:val="0"/>
          <w:spacing w:val="15"/>
          <w:sz w:val="28"/>
          <w:szCs w:val="28"/>
        </w:rPr>
      </w:pP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哌拉西林他唑巴坦注射剂是本轮国采市场规模最大的品种，该品种是临床抗感染药物的一线药物，广泛用于治疗中、重度感染，疗效显著。在2021年，哌拉西林他唑巴坦注射剂的市场规模超80亿元，目前已有近10个产品过评，涉及安信制药、华北制药、联邦制药、海宏制药等本土药企。</w:t>
      </w:r>
    </w:p>
    <w:p>
      <w:pPr>
        <w:rPr>
          <w:rStyle w:val="13"/>
          <w:rFonts w:cs="Helvetica" w:asciiTheme="minorEastAsia" w:hAnsiTheme="minorEastAsia"/>
          <w:b w:val="0"/>
          <w:spacing w:val="15"/>
          <w:sz w:val="28"/>
          <w:szCs w:val="28"/>
        </w:rPr>
      </w:pP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头孢哌酮舒巴坦注射剂市场规模接近70亿元，属于头孢类复方制剂。原研辉瑞长期称霸头孢哌酮舒巴坦市场，市场份额超过80%。目前，该产品有苏州东瑞制药、齐鲁安替制药、苏州二叶制药、海南合瑞制药等7家企业过评。</w:t>
      </w:r>
    </w:p>
    <w:p>
      <w:pPr>
        <w:rPr>
          <w:rStyle w:val="13"/>
          <w:rFonts w:cs="Helvetica" w:asciiTheme="minorEastAsia" w:hAnsiTheme="minorEastAsia"/>
          <w:b w:val="0"/>
          <w:spacing w:val="15"/>
          <w:sz w:val="28"/>
          <w:szCs w:val="28"/>
        </w:rPr>
      </w:pPr>
    </w:p>
    <w:p>
      <w:pPr>
        <w:ind w:firstLine="620" w:firstLineChars="200"/>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业内表示，集采通过公开透明、公平公正的竞争方式，逐步完善了医药领域以市场为主导的价格形成机制，引导企业加强质量和成本控制，积极开展产品研发和一致性评价工作，促进产业高质量发展。在医保控费的背景下，集采纳入品种的范围会越来越大，十余家企业争夺同一品种将成为常态，相关品种的市场竞争格局受到的影响也将越来越大。</w:t>
      </w:r>
    </w:p>
    <w:p>
      <w:pPr>
        <w:ind w:firstLine="480" w:firstLineChars="200"/>
        <w:rPr>
          <w:rFonts w:hint="eastAsia" w:ascii="微软雅黑" w:hAnsi="微软雅黑" w:eastAsia="微软雅黑"/>
          <w:color w:val="222222"/>
          <w:spacing w:val="15"/>
          <w:shd w:val="clear" w:color="auto" w:fill="FFFFFF"/>
        </w:rPr>
      </w:pPr>
      <w:r>
        <w:rPr>
          <w:rFonts w:hint="eastAsia" w:ascii="微软雅黑" w:hAnsi="微软雅黑" w:eastAsia="微软雅黑"/>
          <w:color w:val="222222"/>
          <w:spacing w:val="15"/>
          <w:shd w:val="clear" w:color="auto" w:fill="FFFFFF"/>
        </w:rPr>
        <w:t>附件：</w:t>
      </w:r>
    </w:p>
    <w:p>
      <w:pPr>
        <w:ind w:firstLine="480" w:firstLineChars="200"/>
        <w:rPr>
          <w:rFonts w:ascii="微软雅黑" w:hAnsi="微软雅黑" w:eastAsia="微软雅黑" w:cs="宋体"/>
          <w:b/>
          <w:color w:val="333333"/>
          <w:kern w:val="36"/>
          <w:sz w:val="24"/>
        </w:rPr>
      </w:pPr>
      <w:r>
        <w:rPr>
          <w:rFonts w:hint="eastAsia" w:ascii="微软雅黑" w:hAnsi="微软雅黑" w:eastAsia="微软雅黑" w:cs="宋体"/>
          <w:b/>
          <w:color w:val="333333"/>
          <w:kern w:val="36"/>
          <w:sz w:val="24"/>
        </w:rPr>
        <w:t>附件4</w:t>
      </w:r>
    </w:p>
    <w:p>
      <w:pPr>
        <w:rPr>
          <w:rFonts w:ascii="微软雅黑" w:hAnsi="微软雅黑" w:eastAsia="微软雅黑" w:cs="宋体"/>
          <w:color w:val="333333"/>
          <w:spacing w:val="8"/>
          <w:kern w:val="0"/>
          <w:sz w:val="33"/>
          <w:szCs w:val="33"/>
        </w:rPr>
      </w:pPr>
    </w:p>
    <w:p>
      <w:r>
        <w:rPr>
          <w:rFonts w:hint="eastAsia" w:ascii="微软雅黑" w:hAnsi="微软雅黑" w:eastAsia="微软雅黑" w:cs="宋体"/>
          <w:color w:val="333333"/>
          <w:spacing w:val="8"/>
          <w:kern w:val="0"/>
          <w:sz w:val="33"/>
          <w:szCs w:val="33"/>
        </w:rPr>
        <w:t>2022年医药B2C市场规模近千亿，同比增长27%</w:t>
      </w:r>
    </w:p>
    <w:p>
      <w:pPr>
        <w:jc w:val="left"/>
      </w:pPr>
    </w:p>
    <w:p>
      <w:pPr>
        <w:jc w:val="left"/>
        <w:rPr>
          <w:rStyle w:val="13"/>
          <w:rFonts w:cs="Helvetica" w:asciiTheme="minorEastAsia" w:hAnsiTheme="minorEastAsia"/>
          <w:b w:val="0"/>
          <w:spacing w:val="15"/>
          <w:sz w:val="28"/>
          <w:szCs w:val="28"/>
        </w:rPr>
      </w:pPr>
      <w:r>
        <w:rPr>
          <w:rFonts w:hint="eastAsia"/>
        </w:rPr>
        <w:t xml:space="preserve"> 第一药店财智 2023-02-17</w:t>
      </w:r>
    </w:p>
    <w:p>
      <w:pPr>
        <w:jc w:val="left"/>
        <w:rPr>
          <w:rStyle w:val="13"/>
          <w:rFonts w:cs="Helvetica" w:asciiTheme="minorEastAsia" w:hAnsiTheme="minorEastAsia"/>
          <w:b w:val="0"/>
          <w:spacing w:val="15"/>
          <w:sz w:val="28"/>
          <w:szCs w:val="28"/>
        </w:rPr>
      </w:pPr>
    </w:p>
    <w:p>
      <w:pPr>
        <w:rPr>
          <w:rStyle w:val="13"/>
          <w:spacing w:val="30"/>
          <w:sz w:val="23"/>
          <w:szCs w:val="23"/>
        </w:rPr>
      </w:pPr>
      <w:r>
        <w:rPr>
          <w:rStyle w:val="13"/>
          <w:rFonts w:hint="eastAsia" w:ascii="微软雅黑" w:hAnsi="微软雅黑" w:eastAsia="微软雅黑"/>
          <w:color w:val="CD0202"/>
          <w:spacing w:val="8"/>
          <w:sz w:val="60"/>
          <w:szCs w:val="60"/>
          <w:shd w:val="clear" w:color="auto" w:fill="FFFFFF"/>
        </w:rPr>
        <w:t>01</w:t>
      </w:r>
      <w:r>
        <w:rPr>
          <w:rStyle w:val="13"/>
          <w:rFonts w:asciiTheme="minorEastAsia" w:hAnsiTheme="minorEastAsia" w:eastAsiaTheme="minorEastAsia"/>
          <w:spacing w:val="30"/>
          <w:sz w:val="28"/>
          <w:szCs w:val="28"/>
        </w:rPr>
        <w:t>B2C市场销售规模达961亿元市场份额占比15%</w:t>
      </w:r>
    </w:p>
    <w:p>
      <w:pPr>
        <w:ind w:firstLine="620" w:firstLineChars="200"/>
        <w:jc w:val="left"/>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根据中康CMH的行业数据监测和模型预测，2022年全年，全国零售药店市场销售额将达到5,421亿元，同比增长10.2%，是近5年来的最高涨幅。其中，12月单月零售药店市场呈爆发性增长，月销售规模突破800亿元，月度同比增长高达82%。</w:t>
      </w:r>
    </w:p>
    <w:p>
      <w:pPr>
        <w:ind w:firstLine="620" w:firstLineChars="200"/>
        <w:jc w:val="left"/>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反观，B2C市场规模已经接近千亿，增速也十分可观。2022年，全国医药电商-B2C市场销售规模达961亿元，同比去年增长27%；其中，12月单月，受国内防控政策影响，B2C市场同比提升68.4%，规模达到113亿元。</w:t>
      </w:r>
    </w:p>
    <w:p>
      <w:pPr>
        <w:ind w:firstLine="620" w:firstLineChars="200"/>
        <w:jc w:val="left"/>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从渠道来看，线下零售药店依然占主导地位，2022全年市场份额为85%。但从趋势上来看，近三年B2C市场的份额占比稳步提升，2022年份额占比达15%，同比去年提升2%。</w:t>
      </w:r>
    </w:p>
    <w:p>
      <w:pPr>
        <w:jc w:val="left"/>
        <w:rPr>
          <w:rStyle w:val="13"/>
          <w:rFonts w:cs="Helvetica" w:asciiTheme="minorEastAsia" w:hAnsiTheme="minorEastAsia"/>
          <w:b w:val="0"/>
          <w:spacing w:val="15"/>
          <w:sz w:val="28"/>
          <w:szCs w:val="28"/>
        </w:rPr>
      </w:pPr>
    </w:p>
    <w:p>
      <w:pPr>
        <w:jc w:val="left"/>
        <w:rPr>
          <w:rStyle w:val="13"/>
          <w:spacing w:val="30"/>
          <w:sz w:val="23"/>
          <w:szCs w:val="23"/>
        </w:rPr>
      </w:pPr>
      <w:r>
        <w:rPr>
          <w:rStyle w:val="13"/>
          <w:rFonts w:hint="eastAsia" w:ascii="微软雅黑" w:hAnsi="微软雅黑" w:eastAsia="微软雅黑"/>
          <w:color w:val="CD0202"/>
          <w:spacing w:val="8"/>
          <w:sz w:val="60"/>
          <w:szCs w:val="60"/>
          <w:shd w:val="clear" w:color="auto" w:fill="FFFFFF"/>
        </w:rPr>
        <w:t>02</w:t>
      </w:r>
      <w:r>
        <w:rPr>
          <w:rStyle w:val="13"/>
          <w:rFonts w:asciiTheme="minorEastAsia" w:hAnsiTheme="minorEastAsia" w:eastAsiaTheme="minorEastAsia"/>
          <w:spacing w:val="30"/>
          <w:sz w:val="28"/>
          <w:szCs w:val="28"/>
        </w:rPr>
        <w:t>感冒用药同比增速167%眼科类增速达到82%</w:t>
      </w:r>
    </w:p>
    <w:p>
      <w:pPr>
        <w:ind w:firstLine="620" w:firstLineChars="200"/>
        <w:jc w:val="left"/>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疫情期间，免疫健康类、止咳润喉类、肠道健康类、情绪健康类、调节三高类等品类倍受用户青睐。</w:t>
      </w:r>
    </w:p>
    <w:p>
      <w:pPr>
        <w:ind w:firstLine="620" w:firstLineChars="200"/>
        <w:jc w:val="left"/>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从品类维度来看，B2C渠道，TOP3品类集中度下滑，其他品类后劲十足。其中，维矿类反超滋补保健类，成市场第一品类。特别是疫情期间，有助于提升免疫力的维生素矿物质营养补充剂、滋补保健等产品需求大幅增加。</w:t>
      </w:r>
    </w:p>
    <w:p>
      <w:pPr>
        <w:ind w:firstLine="620" w:firstLineChars="200"/>
        <w:jc w:val="left"/>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此外，受国内防控政策影响，感冒用药同比增速突破三位（167%）；眼科类增速达到82%，排名上升3位。</w:t>
      </w:r>
    </w:p>
    <w:p>
      <w:pPr>
        <w:ind w:firstLine="620" w:firstLineChars="200"/>
        <w:jc w:val="left"/>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 xml:space="preserve"> 以眼科品类为例，眼科药品市场在新零售（B2C及O2O）渠道高速发展，中康CMH数据显示，MAT22Q3全国线下零售药店眼科用药销售规模达86亿元，同比增长5%；B2C渠道增速更为强劲，同比增长95%，渠道占比从5%提升至13%，渠道重要性愈发突出。</w:t>
      </w:r>
    </w:p>
    <w:p>
      <w:pPr>
        <w:ind w:firstLine="620" w:firstLineChars="200"/>
        <w:jc w:val="left"/>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其中，适用人群广泛、日常非急用的外用眼部用药在B2C平台上占比较高且呈高速增长。中康CMH B2C监测数据显示，目前缓解视疲劳类药物在市场占比近60%，具有显著地位优势，且规模同比双位数增长，整体发展态势向好。（缓解视疲劳药物包括干眼症治疗药及假性近视、缓解视力疲劳及眼部保健类，两者均具有缓解眼睛干涩、眼睛疲劳、眼睛发痒以及结膜充血等普遍眼部问题。）</w:t>
      </w:r>
    </w:p>
    <w:p>
      <w:pPr>
        <w:jc w:val="left"/>
        <w:rPr>
          <w:rStyle w:val="13"/>
          <w:rFonts w:cs="Helvetica" w:asciiTheme="minorEastAsia" w:hAnsiTheme="minorEastAsia"/>
          <w:b w:val="0"/>
          <w:spacing w:val="15"/>
          <w:sz w:val="28"/>
          <w:szCs w:val="28"/>
        </w:rPr>
      </w:pPr>
    </w:p>
    <w:p>
      <w:pPr>
        <w:ind w:firstLine="620" w:firstLineChars="200"/>
        <w:jc w:val="left"/>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而O2O平台即时配送优势恰好可满足相关患者的应急需求。从中康CMH O2O数据表现看，近一年（MAT22Q3），治疗急性炎症的眼部抗过敏、抗菌消炎类药品在O2O平台的销售排名和份额显著优于B2C渠道，产品的特有属性使得两者在即时服务的O2O渠道具有天然的发展优势。</w:t>
      </w:r>
    </w:p>
    <w:p>
      <w:pPr>
        <w:jc w:val="left"/>
        <w:rPr>
          <w:rStyle w:val="13"/>
          <w:rFonts w:cs="Helvetica" w:asciiTheme="minorEastAsia" w:hAnsiTheme="minorEastAsia" w:eastAsiaTheme="minorEastAsia"/>
          <w:b w:val="0"/>
          <w:spacing w:val="15"/>
          <w:sz w:val="28"/>
          <w:szCs w:val="28"/>
        </w:rPr>
      </w:pPr>
      <w:r>
        <w:rPr>
          <w:rFonts w:hint="eastAsia" w:ascii="微软雅黑" w:hAnsi="微软雅黑" w:eastAsia="微软雅黑"/>
          <w:b/>
          <w:bCs/>
          <w:color w:val="CD0202"/>
          <w:spacing w:val="8"/>
          <w:sz w:val="60"/>
          <w:szCs w:val="60"/>
          <w:shd w:val="clear" w:color="auto" w:fill="FFFFFF"/>
        </w:rPr>
        <w:t>03</w:t>
      </w:r>
      <w:r>
        <w:rPr>
          <w:rStyle w:val="13"/>
          <w:rFonts w:asciiTheme="minorEastAsia" w:hAnsiTheme="minorEastAsia" w:eastAsiaTheme="minorEastAsia"/>
          <w:spacing w:val="30"/>
          <w:sz w:val="28"/>
          <w:szCs w:val="28"/>
        </w:rPr>
        <w:t>处方药销售份额占比35.2%B2C渠道TOP集团表现亮眼</w:t>
      </w:r>
    </w:p>
    <w:p>
      <w:pPr>
        <w:ind w:firstLine="620" w:firstLineChars="200"/>
        <w:jc w:val="left"/>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处方药是医药电商增量空间的最大来源。前期由于政策监管趋严、医保不接入等原因，处方药流向线上尚未完全放开，但供需两端因素的共同驱动下，处方药线上销售额仍然保持较高增速。</w:t>
      </w:r>
    </w:p>
    <w:p>
      <w:pPr>
        <w:ind w:firstLine="620" w:firstLineChars="200"/>
        <w:jc w:val="left"/>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特别是2022年底，《药品网络销售监督管理办法》的靴子落地及广泛落实，网售处方药的合法性让整个医药电商得以在阳光下前行，这对医药电商行业的刺激是不言而喻的。</w:t>
      </w:r>
    </w:p>
    <w:p>
      <w:pPr>
        <w:ind w:firstLine="620" w:firstLineChars="200"/>
        <w:jc w:val="left"/>
        <w:rPr>
          <w:rStyle w:val="13"/>
          <w:rFonts w:cs="Helvetica" w:asciiTheme="minorEastAsia" w:hAnsiTheme="minorEastAsia"/>
          <w:b w:val="0"/>
          <w:spacing w:val="15"/>
          <w:sz w:val="28"/>
          <w:szCs w:val="28"/>
        </w:rPr>
      </w:pPr>
      <w:r>
        <w:rPr>
          <w:rStyle w:val="13"/>
          <w:rFonts w:hint="eastAsia" w:cs="Helvetica" w:asciiTheme="minorEastAsia" w:hAnsiTheme="minorEastAsia"/>
          <w:b w:val="0"/>
          <w:spacing w:val="15"/>
          <w:sz w:val="28"/>
          <w:szCs w:val="28"/>
        </w:rPr>
        <w:t>从增速来看，2022年处方药销售份额占整体B2C零售市场的35.2%，挤压非药品市场表现，持续扩大与非处方药的差距；从趋势上看，2022年处方药增速放缓，但仍位列增速第一。</w:t>
      </w:r>
    </w:p>
    <w:p>
      <w:pPr>
        <w:jc w:val="left"/>
        <w:rPr>
          <w:rStyle w:val="13"/>
          <w:rFonts w:cs="Helvetica" w:asciiTheme="minorEastAsia" w:hAnsiTheme="minorEastAsia"/>
          <w:b w:val="0"/>
          <w:spacing w:val="15"/>
          <w:sz w:val="28"/>
          <w:szCs w:val="28"/>
        </w:rPr>
      </w:pPr>
    </w:p>
    <w:p>
      <w:pPr>
        <w:ind w:firstLine="620" w:firstLineChars="200"/>
        <w:rPr>
          <w:rStyle w:val="13"/>
          <w:rFonts w:cs="Helvetica" w:asciiTheme="minorEastAsia" w:hAnsiTheme="minorEastAsia" w:eastAsiaTheme="minorEastAsia"/>
          <w:b w:val="0"/>
          <w:spacing w:val="15"/>
          <w:sz w:val="28"/>
          <w:szCs w:val="28"/>
        </w:rPr>
      </w:pPr>
      <w:r>
        <w:rPr>
          <w:rStyle w:val="13"/>
          <w:rFonts w:hint="eastAsia" w:cs="Helvetica" w:asciiTheme="minorEastAsia" w:hAnsiTheme="minorEastAsia" w:eastAsiaTheme="minorEastAsia"/>
          <w:b w:val="0"/>
          <w:spacing w:val="15"/>
          <w:sz w:val="28"/>
          <w:szCs w:val="28"/>
        </w:rPr>
        <w:t>从B2C渠道TOP15集团来看，汤臣倍健位居电商渠道集团首位，份额达到4.8%；除汤臣倍健，其余集团竞争激烈，以岭制药、湖北海德润份额上涨近1%。</w:t>
      </w:r>
    </w:p>
    <w:p>
      <w:pPr>
        <w:rPr>
          <w:rStyle w:val="13"/>
          <w:rFonts w:cs="Helvetica" w:asciiTheme="minorEastAsia" w:hAnsiTheme="minorEastAsia"/>
          <w:b w:val="0"/>
          <w:spacing w:val="15"/>
          <w:sz w:val="28"/>
          <w:szCs w:val="28"/>
        </w:rPr>
      </w:pPr>
    </w:p>
    <w:p>
      <w:pPr>
        <w:jc w:val="center"/>
        <w:rPr>
          <w:rFonts w:ascii="微软雅黑" w:hAnsi="微软雅黑" w:eastAsia="微软雅黑" w:cs="宋体"/>
          <w:b/>
          <w:color w:val="333333"/>
          <w:kern w:val="36"/>
          <w:sz w:val="24"/>
        </w:rPr>
      </w:pPr>
      <w:r>
        <w:rPr>
          <w:rFonts w:hint="eastAsia" w:ascii="微软雅黑" w:hAnsi="微软雅黑" w:eastAsia="微软雅黑"/>
          <w:color w:val="888888"/>
          <w:spacing w:val="30"/>
          <w:sz w:val="18"/>
          <w:szCs w:val="18"/>
          <w:shd w:val="clear" w:color="auto" w:fill="FFFFFF"/>
        </w:rPr>
        <w:t>数据来源：中康CMH</w:t>
      </w:r>
    </w:p>
    <w:p>
      <w:pPr>
        <w:widowControl/>
        <w:spacing w:before="100" w:beforeAutospacing="1" w:after="100" w:afterAutospacing="1" w:line="900" w:lineRule="atLeast"/>
        <w:outlineLvl w:val="1"/>
        <w:rPr>
          <w:rFonts w:ascii="微软雅黑" w:hAnsi="微软雅黑" w:eastAsia="微软雅黑" w:cs="宋体"/>
          <w:b/>
          <w:color w:val="333333"/>
          <w:kern w:val="36"/>
          <w:sz w:val="24"/>
        </w:rPr>
      </w:pPr>
      <w:r>
        <w:rPr>
          <w:rFonts w:hint="eastAsia" w:ascii="微软雅黑" w:hAnsi="微软雅黑" w:eastAsia="微软雅黑" w:cs="宋体"/>
          <w:b/>
          <w:color w:val="333333"/>
          <w:kern w:val="36"/>
          <w:sz w:val="24"/>
        </w:rPr>
        <w:t>附件5</w:t>
      </w:r>
    </w:p>
    <w:p>
      <w:pPr>
        <w:rPr>
          <w:rFonts w:ascii="微软雅黑" w:hAnsi="微软雅黑" w:eastAsia="微软雅黑" w:cs="宋体"/>
          <w:color w:val="333333"/>
          <w:spacing w:val="8"/>
          <w:kern w:val="0"/>
          <w:sz w:val="33"/>
          <w:szCs w:val="33"/>
        </w:rPr>
      </w:pPr>
    </w:p>
    <w:p>
      <w:pPr>
        <w:jc w:val="left"/>
      </w:pPr>
      <w:r>
        <w:rPr>
          <w:rFonts w:hint="eastAsia" w:ascii="微软雅黑" w:hAnsi="微软雅黑" w:eastAsia="微软雅黑" w:cs="宋体"/>
          <w:color w:val="333333"/>
          <w:spacing w:val="8"/>
          <w:kern w:val="0"/>
          <w:sz w:val="33"/>
          <w:szCs w:val="33"/>
        </w:rPr>
        <w:t>华人健康上市</w:t>
      </w:r>
    </w:p>
    <w:p>
      <w:pPr>
        <w:jc w:val="left"/>
      </w:pPr>
    </w:p>
    <w:p>
      <w:pPr>
        <w:pStyle w:val="9"/>
        <w:spacing w:before="0" w:beforeAutospacing="0" w:after="0" w:afterAutospacing="0"/>
        <w:ind w:right="120"/>
        <w:jc w:val="both"/>
        <w:rPr>
          <w:rStyle w:val="13"/>
          <w:rFonts w:ascii="微软雅黑" w:hAnsi="微软雅黑" w:eastAsia="微软雅黑" w:cs="微软雅黑"/>
          <w:color w:val="0A6EBF"/>
          <w:spacing w:val="8"/>
          <w:sz w:val="28"/>
          <w:szCs w:val="28"/>
          <w:shd w:val="clear" w:color="auto" w:fill="FFFFFF"/>
        </w:rPr>
      </w:pPr>
      <w:r>
        <w:rPr>
          <w:rFonts w:hint="eastAsia" w:asciiTheme="minorHAnsi" w:hAnsiTheme="minorHAnsi" w:eastAsiaTheme="minorEastAsia" w:cstheme="minorBidi"/>
          <w:kern w:val="2"/>
          <w:sz w:val="21"/>
          <w:szCs w:val="22"/>
        </w:rPr>
        <w:t>第一药店财智 2023-02-20</w:t>
      </w:r>
    </w:p>
    <w:p>
      <w:pPr>
        <w:pStyle w:val="9"/>
        <w:spacing w:before="0" w:beforeAutospacing="0" w:after="0" w:afterAutospacing="0"/>
        <w:ind w:left="120" w:right="120"/>
        <w:jc w:val="both"/>
        <w:rPr>
          <w:rStyle w:val="13"/>
          <w:rFonts w:ascii="微软雅黑" w:hAnsi="微软雅黑" w:eastAsia="微软雅黑" w:cs="微软雅黑"/>
          <w:color w:val="0A6EBF"/>
          <w:spacing w:val="8"/>
          <w:sz w:val="28"/>
          <w:szCs w:val="28"/>
          <w:shd w:val="clear" w:color="auto" w:fill="FFFFFF"/>
        </w:rPr>
      </w:pPr>
    </w:p>
    <w:p>
      <w:pPr>
        <w:pStyle w:val="9"/>
        <w:ind w:left="120" w:right="120"/>
        <w:rPr>
          <w:rFonts w:ascii="微软雅黑" w:hAnsi="微软雅黑" w:eastAsia="微软雅黑" w:cs="微软雅黑"/>
          <w:b/>
          <w:bCs/>
          <w:color w:val="0A6EBF"/>
          <w:spacing w:val="8"/>
          <w:sz w:val="28"/>
          <w:szCs w:val="28"/>
          <w:shd w:val="clear" w:color="auto" w:fill="FFFFFF"/>
        </w:rPr>
      </w:pPr>
      <w:r>
        <w:rPr>
          <w:rStyle w:val="13"/>
          <w:rFonts w:ascii="微软雅黑" w:hAnsi="微软雅黑" w:eastAsia="微软雅黑" w:cs="微软雅黑"/>
          <w:color w:val="0A6EBF"/>
          <w:spacing w:val="8"/>
          <w:sz w:val="28"/>
          <w:szCs w:val="28"/>
          <w:shd w:val="clear" w:color="auto" w:fill="FFFFFF"/>
        </w:rPr>
        <w:t>01</w:t>
      </w:r>
      <w:r>
        <w:rPr>
          <w:rStyle w:val="13"/>
          <w:rFonts w:hint="eastAsia" w:ascii="微软雅黑" w:hAnsi="微软雅黑" w:eastAsia="微软雅黑" w:cs="微软雅黑"/>
          <w:color w:val="0A6EBF"/>
          <w:spacing w:val="8"/>
          <w:sz w:val="28"/>
          <w:szCs w:val="28"/>
          <w:shd w:val="clear" w:color="auto" w:fill="FFFFFF"/>
        </w:rPr>
        <w:t xml:space="preserve"> 华人健康A股开启申购 力争5年实现营收100亿元</w:t>
      </w:r>
    </w:p>
    <w:p>
      <w:pPr>
        <w:ind w:firstLine="620" w:firstLineChars="200"/>
        <w:rPr>
          <w:rStyle w:val="13"/>
          <w:rFonts w:cs="Helvetica" w:asciiTheme="minorEastAsia" w:hAnsiTheme="minorEastAsia"/>
          <w:b w:val="0"/>
          <w:spacing w:val="15"/>
          <w:kern w:val="0"/>
          <w:sz w:val="28"/>
          <w:szCs w:val="28"/>
        </w:rPr>
      </w:pPr>
      <w:r>
        <w:rPr>
          <w:rStyle w:val="13"/>
          <w:rFonts w:hint="eastAsia" w:cs="Helvetica" w:asciiTheme="minorEastAsia" w:hAnsiTheme="minorEastAsia"/>
          <w:b w:val="0"/>
          <w:spacing w:val="15"/>
          <w:kern w:val="0"/>
          <w:sz w:val="28"/>
          <w:szCs w:val="28"/>
        </w:rPr>
        <w:t>今日（2月20日），华人健康(301408.SZ)在深交所创业板IPO正式开启申购，发行价格为16.24元/股，申购上限为1.10万股，市盈率106.19倍。</w:t>
      </w:r>
    </w:p>
    <w:p>
      <w:pPr>
        <w:ind w:firstLine="620" w:firstLineChars="200"/>
        <w:rPr>
          <w:rStyle w:val="13"/>
          <w:rFonts w:cs="Helvetica" w:asciiTheme="minorEastAsia" w:hAnsiTheme="minorEastAsia"/>
          <w:b w:val="0"/>
          <w:spacing w:val="15"/>
          <w:kern w:val="0"/>
          <w:sz w:val="28"/>
          <w:szCs w:val="28"/>
        </w:rPr>
      </w:pPr>
      <w:r>
        <w:rPr>
          <w:rStyle w:val="13"/>
          <w:rFonts w:hint="eastAsia" w:cs="Helvetica" w:asciiTheme="minorEastAsia" w:hAnsiTheme="minorEastAsia"/>
          <w:b w:val="0"/>
          <w:spacing w:val="15"/>
          <w:kern w:val="0"/>
          <w:sz w:val="28"/>
          <w:szCs w:val="28"/>
        </w:rPr>
        <w:t>华人健康董事长何家乐向《合肥日报》表示，正式登陆资本市场后，华人健康将加速医药零售的并购整合，力争5年实现营收100亿元。据悉，华人健康公开发行募集资金主要投向安徽省内，省内计划开店518家，进一步巩固公司省内排名优势。</w:t>
      </w:r>
    </w:p>
    <w:p>
      <w:pPr>
        <w:ind w:firstLine="620" w:firstLineChars="200"/>
        <w:rPr>
          <w:rStyle w:val="13"/>
          <w:rFonts w:cs="Helvetica" w:asciiTheme="minorEastAsia" w:hAnsiTheme="minorEastAsia"/>
          <w:b w:val="0"/>
          <w:spacing w:val="15"/>
          <w:kern w:val="0"/>
          <w:sz w:val="28"/>
          <w:szCs w:val="28"/>
        </w:rPr>
      </w:pPr>
      <w:r>
        <w:rPr>
          <w:rStyle w:val="13"/>
          <w:rFonts w:hint="eastAsia" w:cs="Helvetica" w:asciiTheme="minorEastAsia" w:hAnsiTheme="minorEastAsia"/>
          <w:b w:val="0"/>
          <w:spacing w:val="15"/>
          <w:kern w:val="0"/>
          <w:sz w:val="28"/>
          <w:szCs w:val="28"/>
        </w:rPr>
        <w:t>招股书显示，华人健康专注于医药流通行业，主要从事医药零售、代理及终端集采三大块业务。根据中天运会计师事务所（特殊普通合伙）审计的财务报表，2019年到2021年华人健康营收分别为15.22亿元、19.31亿元、23.39亿元，2022年1-6月，公司营收近14.10亿元，净利润4208.51万元。截至2022年6月30日，公司已拥有 938 家门店（935家零售药店和3家门诊），已经成为安徽省最大的药店连锁企业。</w:t>
      </w:r>
    </w:p>
    <w:p>
      <w:pPr>
        <w:ind w:firstLine="620" w:firstLineChars="200"/>
        <w:rPr>
          <w:rStyle w:val="13"/>
          <w:rFonts w:cs="Helvetica" w:asciiTheme="minorEastAsia" w:hAnsiTheme="minorEastAsia"/>
          <w:b w:val="0"/>
          <w:spacing w:val="15"/>
          <w:kern w:val="0"/>
          <w:sz w:val="28"/>
          <w:szCs w:val="28"/>
        </w:rPr>
      </w:pPr>
      <w:r>
        <w:rPr>
          <w:rStyle w:val="13"/>
          <w:rFonts w:hint="eastAsia" w:cs="Helvetica" w:asciiTheme="minorEastAsia" w:hAnsiTheme="minorEastAsia"/>
          <w:b w:val="0"/>
          <w:spacing w:val="15"/>
          <w:kern w:val="0"/>
          <w:sz w:val="28"/>
          <w:szCs w:val="28"/>
        </w:rPr>
        <w:t>华人健康是业内少数对医药零售、代理及终端集采等流通领域全覆盖的企业。华人健康代理业务多为独家代理，主要客户为零售连锁企业。此外，依托于公司多年来积累的医药零售与代理业务上游供应链渠道资源，公司开发了终端集采业务，2020-2022年上半年，公司终端集采的客户门店数量分别为 328、639、817家，客户数量、配送门店数量、销售金额均处于快速发展中。</w:t>
      </w:r>
    </w:p>
    <w:p>
      <w:pPr>
        <w:ind w:firstLine="620" w:firstLineChars="200"/>
        <w:rPr>
          <w:rStyle w:val="13"/>
          <w:rFonts w:cs="Helvetica" w:asciiTheme="minorEastAsia" w:hAnsiTheme="minorEastAsia"/>
          <w:b w:val="0"/>
          <w:spacing w:val="15"/>
          <w:kern w:val="0"/>
          <w:sz w:val="28"/>
          <w:szCs w:val="28"/>
        </w:rPr>
      </w:pPr>
      <w:r>
        <w:rPr>
          <w:rStyle w:val="13"/>
          <w:rFonts w:hint="eastAsia" w:cs="Helvetica" w:asciiTheme="minorEastAsia" w:hAnsiTheme="minorEastAsia"/>
          <w:b w:val="0"/>
          <w:spacing w:val="15"/>
          <w:kern w:val="0"/>
          <w:sz w:val="28"/>
          <w:szCs w:val="28"/>
        </w:rPr>
        <w:t>近几年，安徽省药品零售市场竞争激烈，如老百姓大药房收购了安徽百姓缘大药房之后，通过子公司频频收购本地连锁如安徽元初药房等；高济医疗在本地也收购多家连锁，如滁州华巨百姓缘大药房、安徽广济大药房、芜湖中山大药房等，海王星辰在蚌埠布局门店等。此外，互联网企业亦积极在医药零售领域进行布局，如京东集团下设京东健康，近几年京东大药房在蚌埠、铜陵开了多家店。这些外部资本的入局，使得本土连锁药店愈加承压。</w:t>
      </w:r>
    </w:p>
    <w:p>
      <w:pPr>
        <w:ind w:firstLine="620" w:firstLineChars="200"/>
        <w:rPr>
          <w:rFonts w:asciiTheme="minorEastAsia" w:hAnsiTheme="minorEastAsia" w:cstheme="minorEastAsia"/>
          <w:b/>
          <w:sz w:val="28"/>
          <w:szCs w:val="28"/>
        </w:rPr>
      </w:pPr>
      <w:r>
        <w:rPr>
          <w:rStyle w:val="13"/>
          <w:rFonts w:hint="eastAsia" w:cs="Helvetica" w:asciiTheme="minorEastAsia" w:hAnsiTheme="minorEastAsia"/>
          <w:b w:val="0"/>
          <w:spacing w:val="15"/>
          <w:kern w:val="0"/>
          <w:sz w:val="28"/>
          <w:szCs w:val="28"/>
        </w:rPr>
        <w:t>安徽省药监局数据显示，截至2022年9月底，安徽省共有药品经营许可证持证企业22855家，其中：批发企业429家、零售连锁企业302家、零售连锁企业门店12676家、零售药店9448家。</w:t>
      </w:r>
    </w:p>
    <w:p>
      <w:pPr>
        <w:rPr>
          <w:rFonts w:asciiTheme="minorEastAsia" w:hAnsiTheme="minorEastAsia" w:cstheme="minorEastAsia"/>
          <w:sz w:val="28"/>
          <w:szCs w:val="28"/>
        </w:rPr>
      </w:pPr>
    </w:p>
    <w:p>
      <w:pPr>
        <w:pStyle w:val="9"/>
        <w:spacing w:after="156" w:afterLines="50"/>
        <w:ind w:left="119" w:right="119"/>
        <w:rPr>
          <w:rStyle w:val="13"/>
          <w:rFonts w:ascii="微软雅黑" w:hAnsi="微软雅黑" w:eastAsia="微软雅黑" w:cs="微软雅黑"/>
          <w:color w:val="0A6EBF"/>
          <w:spacing w:val="8"/>
          <w:sz w:val="28"/>
          <w:szCs w:val="28"/>
          <w:shd w:val="clear" w:color="auto" w:fill="FFFFFF"/>
        </w:rPr>
      </w:pPr>
      <w:r>
        <w:rPr>
          <w:rStyle w:val="13"/>
          <w:rFonts w:ascii="微软雅黑" w:hAnsi="微软雅黑" w:eastAsia="微软雅黑" w:cs="微软雅黑"/>
          <w:color w:val="0A6EBF"/>
          <w:spacing w:val="8"/>
          <w:sz w:val="28"/>
          <w:szCs w:val="28"/>
          <w:shd w:val="clear" w:color="auto" w:fill="FFFFFF"/>
        </w:rPr>
        <w:t>02</w:t>
      </w:r>
      <w:r>
        <w:rPr>
          <w:rStyle w:val="13"/>
          <w:rFonts w:hint="eastAsia" w:ascii="微软雅黑" w:hAnsi="微软雅黑" w:eastAsia="微软雅黑" w:cs="微软雅黑"/>
          <w:color w:val="0A6EBF"/>
          <w:spacing w:val="8"/>
          <w:sz w:val="28"/>
          <w:szCs w:val="28"/>
          <w:shd w:val="clear" w:color="auto" w:fill="FFFFFF"/>
        </w:rPr>
        <w:t>资本热捧的连锁药店继续“狂飙”2023年多家连锁筹谋上市？</w:t>
      </w:r>
    </w:p>
    <w:p>
      <w:pPr>
        <w:ind w:firstLine="560" w:firstLineChars="200"/>
        <w:rPr>
          <w:sz w:val="28"/>
          <w:szCs w:val="28"/>
        </w:rPr>
      </w:pPr>
      <w:r>
        <w:rPr>
          <w:rFonts w:hint="eastAsia"/>
          <w:sz w:val="28"/>
          <w:szCs w:val="28"/>
        </w:rPr>
        <w:t>后疫情时代，药店圈在资本市场继续“狂飙”，IPO、并购、加盟……连锁药店跑马圈地之势依旧不减。</w:t>
      </w:r>
    </w:p>
    <w:p>
      <w:pPr>
        <w:ind w:firstLine="560" w:firstLineChars="200"/>
        <w:rPr>
          <w:sz w:val="28"/>
          <w:szCs w:val="28"/>
        </w:rPr>
      </w:pPr>
      <w:r>
        <w:rPr>
          <w:rFonts w:hint="eastAsia"/>
          <w:sz w:val="28"/>
          <w:szCs w:val="28"/>
        </w:rPr>
        <w:t>随着华人健康上市，药品零售市场也掀起新一波资本热潮。业内也在关注高济医疗、全亿健康、海王星辰等连锁药店在资本市场的新动态。</w:t>
      </w:r>
    </w:p>
    <w:p>
      <w:pPr>
        <w:ind w:firstLine="560" w:firstLineChars="200"/>
        <w:rPr>
          <w:sz w:val="28"/>
          <w:szCs w:val="28"/>
        </w:rPr>
      </w:pPr>
      <w:r>
        <w:rPr>
          <w:rFonts w:hint="eastAsia"/>
          <w:sz w:val="28"/>
          <w:szCs w:val="28"/>
        </w:rPr>
        <w:t>有业内观点认为，在“门诊统筹”、长处方政策、《药品网络销售监督管理办法》等政策叠加影响下，药品零售终端的渠道价值将进一步凸显。在多项利好政策叠加下，在行业集中度的大趋势下，资本市场长期看好药店赛道，而这也是连锁药店不断冲击资本市场的一个强动力。</w:t>
      </w:r>
    </w:p>
    <w:p>
      <w:pPr>
        <w:ind w:firstLine="560" w:firstLineChars="200"/>
        <w:rPr>
          <w:sz w:val="28"/>
          <w:szCs w:val="28"/>
        </w:rPr>
      </w:pPr>
      <w:r>
        <w:rPr>
          <w:rFonts w:hint="eastAsia"/>
          <w:sz w:val="28"/>
          <w:szCs w:val="28"/>
        </w:rPr>
        <w:t>除了头部连锁锚定上市之路，众多区域龙头企业也在不断深耕及谋求突围。</w:t>
      </w:r>
    </w:p>
    <w:p>
      <w:pPr>
        <w:ind w:firstLine="560" w:firstLineChars="200"/>
        <w:rPr>
          <w:sz w:val="28"/>
          <w:szCs w:val="28"/>
        </w:rPr>
      </w:pPr>
      <w:r>
        <w:rPr>
          <w:rFonts w:hint="eastAsia"/>
          <w:sz w:val="28"/>
          <w:szCs w:val="28"/>
        </w:rPr>
        <w:t>此前，德生堂医药股份有限公司（简称“德生堂”）在港交所递交招股书，计划在主板上市。招股书显示，截至2022年9月30日，德生堂拥有药店数1047家，其中包括931家自营药店和116家加盟药店。从财务来看，德生堂2020年与2021年营收分别为17.54亿元、20.14亿元，同比增长14.8%。2021年与2022年前三季度营收分别为14.67亿元、17.08亿元，同比增长16.4%。</w:t>
      </w:r>
    </w:p>
    <w:p>
      <w:pPr>
        <w:ind w:firstLine="560" w:firstLineChars="200"/>
        <w:rPr>
          <w:sz w:val="28"/>
          <w:szCs w:val="28"/>
        </w:rPr>
      </w:pPr>
      <w:r>
        <w:rPr>
          <w:rFonts w:hint="eastAsia"/>
          <w:sz w:val="28"/>
          <w:szCs w:val="28"/>
        </w:rPr>
        <w:t>德生堂表示，将致力于扩大公司药店网络（包括自营和加盟药店）、医疗诊所以及康养中心，战略重点为甘肃省、北京、陝西省、青海省、宁夏回族自治区、内蒙古自治区、山西省。不仅如此，德生堂还计划于上海、天津及广东省广州等一线大都市地区开设旗舰药店。</w:t>
      </w:r>
    </w:p>
    <w:p>
      <w:pPr>
        <w:ind w:firstLine="560" w:firstLineChars="200"/>
        <w:rPr>
          <w:rFonts w:hint="eastAsia"/>
          <w:sz w:val="28"/>
          <w:szCs w:val="28"/>
        </w:rPr>
      </w:pPr>
      <w:r>
        <w:rPr>
          <w:rFonts w:hint="eastAsia"/>
          <w:sz w:val="28"/>
          <w:szCs w:val="28"/>
        </w:rPr>
        <w:t>国际资本也看好连锁药店赛道。近日，西安怡康被私募股权基金CVC Capital Partners全面收购，CVC表示将继续支持企业加快业务发展，并制定标准化的运营体系，以确保不同地区门店的统一管理，同时继续发展其数字化业务。在资本加持下，医药零售行业的集中度将不断提升，从PE巨头KKR接手全亿健康，到CVC入主西安怡康，未来或有新势力持续进入药品零售赛道，而这或将冲击省级龙头企业在区域“称霸”的市场格局。</w:t>
      </w:r>
    </w:p>
    <w:p>
      <w:pP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p>
    <w:p>
      <w:pPr>
        <w:widowControl/>
        <w:spacing w:before="100" w:beforeAutospacing="1" w:after="100" w:afterAutospacing="1" w:line="900" w:lineRule="atLeast"/>
        <w:outlineLvl w:val="1"/>
        <w:rPr>
          <w:rFonts w:ascii="微软雅黑" w:hAnsi="微软雅黑" w:eastAsia="微软雅黑" w:cs="宋体"/>
          <w:b/>
          <w:color w:val="333333"/>
          <w:kern w:val="36"/>
          <w:sz w:val="24"/>
        </w:rPr>
      </w:pPr>
      <w:r>
        <w:rPr>
          <w:rFonts w:hint="eastAsia" w:ascii="微软雅黑" w:hAnsi="微软雅黑" w:eastAsia="微软雅黑" w:cs="宋体"/>
          <w:b/>
          <w:color w:val="333333"/>
          <w:kern w:val="36"/>
          <w:sz w:val="24"/>
        </w:rPr>
        <w:t>附件6</w:t>
      </w:r>
    </w:p>
    <w:p>
      <w:pPr>
        <w:rPr>
          <w:rFonts w:ascii="微软雅黑" w:hAnsi="微软雅黑" w:eastAsia="微软雅黑" w:cs="宋体"/>
          <w:color w:val="333333"/>
          <w:spacing w:val="8"/>
          <w:kern w:val="0"/>
          <w:sz w:val="33"/>
          <w:szCs w:val="33"/>
        </w:rPr>
      </w:pPr>
    </w:p>
    <w:p>
      <w:pPr>
        <w:jc w:val="left"/>
      </w:pPr>
      <w:r>
        <w:rPr>
          <w:rFonts w:hint="eastAsia" w:ascii="微软雅黑" w:hAnsi="微软雅黑" w:eastAsia="微软雅黑" w:cs="宋体"/>
          <w:color w:val="333333"/>
          <w:spacing w:val="8"/>
          <w:kern w:val="0"/>
          <w:sz w:val="33"/>
          <w:szCs w:val="33"/>
        </w:rPr>
        <w:t>春季药店必备的7大品类方案</w:t>
      </w:r>
    </w:p>
    <w:p>
      <w:pPr>
        <w:jc w:val="left"/>
      </w:pPr>
    </w:p>
    <w:p>
      <w:pPr>
        <w:pStyle w:val="9"/>
        <w:spacing w:before="0" w:beforeAutospacing="0" w:after="0" w:afterAutospacing="0"/>
        <w:ind w:right="120"/>
        <w:jc w:val="both"/>
        <w:rPr>
          <w:rStyle w:val="13"/>
          <w:rFonts w:ascii="微软雅黑" w:hAnsi="微软雅黑" w:eastAsia="微软雅黑" w:cs="微软雅黑"/>
          <w:color w:val="0A6EBF"/>
          <w:spacing w:val="8"/>
          <w:sz w:val="28"/>
          <w:szCs w:val="28"/>
          <w:shd w:val="clear" w:color="auto" w:fill="FFFFFF"/>
        </w:rPr>
      </w:pPr>
      <w:r>
        <w:rPr>
          <w:rFonts w:hint="eastAsia" w:asciiTheme="minorHAnsi" w:hAnsiTheme="minorHAnsi" w:eastAsiaTheme="minorEastAsia" w:cstheme="minorBidi"/>
          <w:kern w:val="2"/>
          <w:sz w:val="21"/>
          <w:szCs w:val="22"/>
        </w:rPr>
        <w:t>中国药店 2023-02-13</w:t>
      </w:r>
    </w:p>
    <w:p>
      <w:pPr>
        <w:pStyle w:val="9"/>
        <w:ind w:left="120" w:right="120"/>
        <w:rPr>
          <w:rFonts w:ascii="微软雅黑" w:hAnsi="微软雅黑" w:eastAsia="微软雅黑" w:cs="微软雅黑"/>
          <w:b/>
          <w:bCs/>
          <w:color w:val="0A6EBF"/>
          <w:spacing w:val="8"/>
          <w:sz w:val="28"/>
          <w:szCs w:val="28"/>
          <w:shd w:val="clear" w:color="auto" w:fill="FFFFFF"/>
        </w:rPr>
      </w:pPr>
    </w:p>
    <w:p>
      <w:pPr>
        <w:ind w:firstLine="620" w:firstLineChars="200"/>
        <w:rPr>
          <w:rStyle w:val="13"/>
          <w:rFonts w:hint="eastAsia" w:cs="Helvetica" w:asciiTheme="minorEastAsia" w:hAnsiTheme="minorEastAsia"/>
          <w:b w:val="0"/>
          <w:spacing w:val="15"/>
          <w:kern w:val="0"/>
          <w:sz w:val="28"/>
          <w:szCs w:val="28"/>
        </w:rPr>
      </w:pPr>
      <w:r>
        <w:rPr>
          <w:rStyle w:val="13"/>
          <w:rFonts w:hint="eastAsia" w:cs="Helvetica" w:asciiTheme="minorEastAsia" w:hAnsiTheme="minorEastAsia"/>
          <w:b w:val="0"/>
          <w:spacing w:val="15"/>
          <w:kern w:val="0"/>
          <w:sz w:val="28"/>
          <w:szCs w:val="28"/>
        </w:rPr>
        <w:t>在传统医学里，春是万物复苏，开始生长的时候，身体也不例外，特别是儿童，新一轮的生长发育开始了，因此在这个阶段，青少年生长发育所需维生素、矿物质等会进入一个销售旺季。</w:t>
      </w:r>
    </w:p>
    <w:p>
      <w:pPr>
        <w:ind w:firstLine="620" w:firstLineChars="200"/>
        <w:rPr>
          <w:rStyle w:val="13"/>
          <w:rFonts w:hint="eastAsia" w:cs="Helvetica" w:asciiTheme="minorEastAsia" w:hAnsiTheme="minorEastAsia"/>
          <w:b w:val="0"/>
          <w:spacing w:val="15"/>
          <w:kern w:val="0"/>
          <w:sz w:val="28"/>
          <w:szCs w:val="28"/>
        </w:rPr>
      </w:pPr>
      <w:r>
        <w:rPr>
          <w:rStyle w:val="13"/>
          <w:rFonts w:hint="eastAsia" w:cs="Helvetica" w:asciiTheme="minorEastAsia" w:hAnsiTheme="minorEastAsia"/>
          <w:b w:val="0"/>
          <w:spacing w:val="15"/>
          <w:kern w:val="0"/>
          <w:sz w:val="28"/>
          <w:szCs w:val="28"/>
        </w:rPr>
        <w:t>另外，春天也是细菌和病毒高发的时节，加上气温变化快，感冒发烧会进入频发期，流行性感冒、病毒性感冒用药会成为春季药店最主要的销售对象，加上季节特殊性，导致疾病发展特别快速，感冒发烧，特别是发高烧现象会相对比较频繁；伴随着花粉等过敏源的出现和气温升高后户外活动地增多，过敏性鼻炎、荨麻疹、过敏性皮炎等发生几率大为增加，抗过敏口服药以及缓解过敏症状的皮肤用药、血管收缩药品等销售也会上升........。</w:t>
      </w:r>
    </w:p>
    <w:p>
      <w:pPr>
        <w:ind w:firstLine="620" w:firstLineChars="200"/>
        <w:rPr>
          <w:rStyle w:val="13"/>
          <w:rFonts w:hint="eastAsia" w:cs="Helvetica" w:asciiTheme="minorEastAsia" w:hAnsiTheme="minorEastAsia"/>
          <w:b w:val="0"/>
          <w:spacing w:val="15"/>
          <w:kern w:val="0"/>
          <w:sz w:val="28"/>
          <w:szCs w:val="28"/>
        </w:rPr>
      </w:pPr>
      <w:r>
        <w:rPr>
          <w:rStyle w:val="13"/>
          <w:rFonts w:hint="eastAsia" w:cs="Helvetica" w:asciiTheme="minorEastAsia" w:hAnsiTheme="minorEastAsia"/>
          <w:b w:val="0"/>
          <w:spacing w:val="15"/>
          <w:kern w:val="0"/>
          <w:sz w:val="28"/>
          <w:szCs w:val="28"/>
        </w:rPr>
        <w:t>那么结合这些特点，我们药店该从哪些品类着手，提升药店销量呢？下面给大家整理部分，供参考：</w:t>
      </w:r>
    </w:p>
    <w:p>
      <w:pPr>
        <w:ind w:firstLine="620" w:firstLineChars="200"/>
        <w:rPr>
          <w:rFonts w:hint="eastAsia" w:cs="Helvetica" w:asciiTheme="minorEastAsia" w:hAnsiTheme="minorEastAsia"/>
          <w:bCs/>
          <w:spacing w:val="15"/>
          <w:kern w:val="0"/>
          <w:sz w:val="28"/>
          <w:szCs w:val="28"/>
        </w:rPr>
      </w:pPr>
      <w:r>
        <w:rPr>
          <w:rFonts w:cs="Helvetica" w:asciiTheme="minorEastAsia" w:hAnsiTheme="minorEastAsia"/>
          <w:bCs/>
          <w:spacing w:val="15"/>
          <w:kern w:val="0"/>
          <w:sz w:val="28"/>
          <w:szCs w:val="28"/>
        </w:rPr>
        <w:t>01</w:t>
      </w:r>
      <w:r>
        <w:rPr>
          <w:rFonts w:hint="eastAsia" w:cs="Helvetica" w:asciiTheme="minorEastAsia" w:hAnsiTheme="minorEastAsia"/>
          <w:bCs/>
          <w:spacing w:val="15"/>
          <w:kern w:val="0"/>
          <w:sz w:val="28"/>
          <w:szCs w:val="28"/>
        </w:rPr>
        <w:t>补钙类</w:t>
      </w:r>
    </w:p>
    <w:p>
      <w:pPr>
        <w:ind w:firstLine="620" w:firstLineChars="200"/>
        <w:rPr>
          <w:rFonts w:hint="eastAsia" w:cs="Helvetica" w:asciiTheme="minorEastAsia" w:hAnsiTheme="minorEastAsia"/>
          <w:bCs/>
          <w:spacing w:val="15"/>
          <w:kern w:val="0"/>
          <w:sz w:val="28"/>
          <w:szCs w:val="28"/>
        </w:rPr>
      </w:pPr>
      <w:r>
        <w:rPr>
          <w:rFonts w:hint="eastAsia" w:cs="Helvetica" w:asciiTheme="minorEastAsia" w:hAnsiTheme="minorEastAsia"/>
          <w:bCs/>
          <w:spacing w:val="15"/>
          <w:kern w:val="0"/>
          <w:sz w:val="28"/>
          <w:szCs w:val="28"/>
        </w:rPr>
        <w:t>春季是补钙的黄金期，首先药店要将“春季补钙正当时”的信息传达给顾客，可对补钙产品特殊陈列，提醒顾客补钙的最佳时节到了；同时也可以印制一些与补钙相关的知识手册进行宣传教育，内容可以包括：运动与钙吸收的关系、不同人群适用的补钙产品等等。</w:t>
      </w:r>
    </w:p>
    <w:p>
      <w:pPr>
        <w:ind w:firstLine="620" w:firstLineChars="200"/>
        <w:rPr>
          <w:rFonts w:hint="eastAsia" w:cs="Helvetica" w:asciiTheme="minorEastAsia" w:hAnsiTheme="minorEastAsia"/>
          <w:bCs/>
          <w:spacing w:val="15"/>
          <w:kern w:val="0"/>
          <w:sz w:val="28"/>
          <w:szCs w:val="28"/>
        </w:rPr>
      </w:pPr>
      <w:r>
        <w:rPr>
          <w:rFonts w:cs="Helvetica" w:asciiTheme="minorEastAsia" w:hAnsiTheme="minorEastAsia"/>
          <w:bCs/>
          <w:spacing w:val="15"/>
          <w:kern w:val="0"/>
          <w:sz w:val="28"/>
          <w:szCs w:val="28"/>
        </w:rPr>
        <w:t>02</w:t>
      </w:r>
      <w:r>
        <w:rPr>
          <w:rFonts w:hint="eastAsia" w:cs="Helvetica" w:asciiTheme="minorEastAsia" w:hAnsiTheme="minorEastAsia"/>
          <w:bCs/>
          <w:spacing w:val="15"/>
          <w:kern w:val="0"/>
          <w:sz w:val="28"/>
          <w:szCs w:val="28"/>
        </w:rPr>
        <w:t>瘦身清肠排毒类</w:t>
      </w:r>
    </w:p>
    <w:p>
      <w:pPr>
        <w:ind w:firstLine="620" w:firstLineChars="200"/>
        <w:rPr>
          <w:rFonts w:hint="eastAsia" w:cs="Helvetica" w:asciiTheme="minorEastAsia" w:hAnsiTheme="minorEastAsia"/>
          <w:bCs/>
          <w:spacing w:val="15"/>
          <w:kern w:val="0"/>
          <w:sz w:val="28"/>
          <w:szCs w:val="28"/>
        </w:rPr>
      </w:pPr>
      <w:r>
        <w:rPr>
          <w:rFonts w:hint="eastAsia" w:cs="Helvetica" w:asciiTheme="minorEastAsia" w:hAnsiTheme="minorEastAsia"/>
          <w:bCs/>
          <w:spacing w:val="15"/>
          <w:kern w:val="0"/>
          <w:sz w:val="28"/>
          <w:szCs w:val="28"/>
        </w:rPr>
        <w:t xml:space="preserve">随着天气逐渐变暧，瘦身清肠排毒这些产品应该要拿出来操作，在门店场外、橱窗、店堂特殊展示区等营造出一个主题，也可以邀请相关产品的厂家配合做活动。 </w:t>
      </w:r>
    </w:p>
    <w:p>
      <w:pPr>
        <w:ind w:firstLine="620" w:firstLineChars="200"/>
        <w:rPr>
          <w:rFonts w:hint="eastAsia" w:cs="Helvetica" w:asciiTheme="minorEastAsia" w:hAnsiTheme="minorEastAsia"/>
          <w:bCs/>
          <w:spacing w:val="15"/>
          <w:kern w:val="0"/>
          <w:sz w:val="28"/>
          <w:szCs w:val="28"/>
        </w:rPr>
      </w:pPr>
      <w:r>
        <w:rPr>
          <w:rFonts w:cs="Helvetica" w:asciiTheme="minorEastAsia" w:hAnsiTheme="minorEastAsia"/>
          <w:bCs/>
          <w:spacing w:val="15"/>
          <w:kern w:val="0"/>
          <w:sz w:val="28"/>
          <w:szCs w:val="28"/>
        </w:rPr>
        <w:t>03</w:t>
      </w:r>
      <w:r>
        <w:rPr>
          <w:rFonts w:hint="eastAsia" w:cs="Helvetica" w:asciiTheme="minorEastAsia" w:hAnsiTheme="minorEastAsia"/>
          <w:bCs/>
          <w:spacing w:val="15"/>
          <w:kern w:val="0"/>
          <w:sz w:val="28"/>
          <w:szCs w:val="28"/>
        </w:rPr>
        <w:t>抗敏、药妆类</w:t>
      </w:r>
    </w:p>
    <w:p>
      <w:pPr>
        <w:ind w:firstLine="620" w:firstLineChars="200"/>
        <w:rPr>
          <w:rFonts w:hint="eastAsia" w:cs="Helvetica" w:asciiTheme="minorEastAsia" w:hAnsiTheme="minorEastAsia"/>
          <w:bCs/>
          <w:spacing w:val="15"/>
          <w:kern w:val="0"/>
          <w:sz w:val="28"/>
          <w:szCs w:val="28"/>
        </w:rPr>
      </w:pPr>
      <w:r>
        <w:rPr>
          <w:rFonts w:hint="eastAsia" w:cs="Helvetica" w:asciiTheme="minorEastAsia" w:hAnsiTheme="minorEastAsia"/>
          <w:bCs/>
          <w:spacing w:val="15"/>
          <w:kern w:val="0"/>
          <w:sz w:val="28"/>
          <w:szCs w:val="28"/>
        </w:rPr>
        <w:t>春季是过敏高发季节，随着万物复苏，有些人会出现皮肤起斑、喷嚏不断，眼睛发痒等过敏症状，药店可以抓住“春季过敏高发”的特点，选择相关抗过敏产品作为主推品类。</w:t>
      </w:r>
    </w:p>
    <w:p>
      <w:pPr>
        <w:ind w:firstLine="620" w:firstLineChars="200"/>
        <w:rPr>
          <w:rFonts w:hint="eastAsia" w:cs="Helvetica" w:asciiTheme="minorEastAsia" w:hAnsiTheme="minorEastAsia"/>
          <w:bCs/>
          <w:spacing w:val="15"/>
          <w:kern w:val="0"/>
          <w:sz w:val="28"/>
          <w:szCs w:val="28"/>
        </w:rPr>
      </w:pPr>
      <w:r>
        <w:rPr>
          <w:rFonts w:hint="eastAsia" w:cs="Helvetica" w:asciiTheme="minorEastAsia" w:hAnsiTheme="minorEastAsia"/>
          <w:bCs/>
          <w:spacing w:val="15"/>
          <w:kern w:val="0"/>
          <w:sz w:val="28"/>
          <w:szCs w:val="28"/>
        </w:rPr>
        <w:t>比如说过敏性鼻炎、过敏性皮肤病如荨麻疹、季节性皮炎，另外还有哮喘等这样一些“敏感性”的疾病将会增多。</w:t>
      </w:r>
    </w:p>
    <w:p>
      <w:pPr>
        <w:ind w:firstLine="620" w:firstLineChars="200"/>
        <w:rPr>
          <w:rFonts w:hint="eastAsia" w:cs="Helvetica" w:asciiTheme="minorEastAsia" w:hAnsiTheme="minorEastAsia"/>
          <w:bCs/>
          <w:spacing w:val="15"/>
          <w:kern w:val="0"/>
          <w:sz w:val="28"/>
          <w:szCs w:val="28"/>
        </w:rPr>
      </w:pPr>
      <w:r>
        <w:rPr>
          <w:rFonts w:hint="eastAsia" w:cs="Helvetica" w:asciiTheme="minorEastAsia" w:hAnsiTheme="minorEastAsia"/>
          <w:bCs/>
          <w:spacing w:val="15"/>
          <w:kern w:val="0"/>
          <w:sz w:val="28"/>
          <w:szCs w:val="28"/>
        </w:rPr>
        <w:t>这个时候我们可以营销的产品有口罩，抗过敏类产品，还有天然维C，葡萄籽素等相关营养素产品。除了主推口服抗过敏药物外，药店还可以将药妆作为春季抗过敏的主推品类。</w:t>
      </w:r>
    </w:p>
    <w:p>
      <w:pPr>
        <w:ind w:firstLine="620" w:firstLineChars="200"/>
        <w:rPr>
          <w:rFonts w:hint="eastAsia" w:cs="Helvetica" w:asciiTheme="minorEastAsia" w:hAnsiTheme="minorEastAsia"/>
          <w:bCs/>
          <w:spacing w:val="15"/>
          <w:kern w:val="0"/>
          <w:sz w:val="28"/>
          <w:szCs w:val="28"/>
        </w:rPr>
      </w:pPr>
      <w:r>
        <w:rPr>
          <w:rFonts w:hint="eastAsia" w:cs="Helvetica" w:asciiTheme="minorEastAsia" w:hAnsiTheme="minorEastAsia"/>
          <w:bCs/>
          <w:spacing w:val="15"/>
          <w:kern w:val="0"/>
          <w:sz w:val="28"/>
          <w:szCs w:val="28"/>
        </w:rPr>
        <w:t>在春季，敏感肌肤的人群常常会被红肿、灼热、刺痛、瘙痒等问题困扰，使用具有抗过敏成分的护肤品就成为很多“敏感人”的选择。而药妆的功效性和针对性对比普通化妆品更强，此时推荐给饱受过敏困扰的消费者可以说是“一拍即合”。</w:t>
      </w:r>
    </w:p>
    <w:p>
      <w:pPr>
        <w:ind w:firstLine="620" w:firstLineChars="200"/>
        <w:rPr>
          <w:rFonts w:hint="eastAsia" w:cs="Helvetica" w:asciiTheme="minorEastAsia" w:hAnsiTheme="minorEastAsia"/>
          <w:bCs/>
          <w:spacing w:val="15"/>
          <w:kern w:val="0"/>
          <w:sz w:val="28"/>
          <w:szCs w:val="28"/>
        </w:rPr>
      </w:pPr>
      <w:r>
        <w:rPr>
          <w:rFonts w:cs="Helvetica" w:asciiTheme="minorEastAsia" w:hAnsiTheme="minorEastAsia"/>
          <w:bCs/>
          <w:spacing w:val="15"/>
          <w:kern w:val="0"/>
          <w:sz w:val="28"/>
          <w:szCs w:val="28"/>
        </w:rPr>
        <w:t>04</w:t>
      </w:r>
      <w:r>
        <w:rPr>
          <w:rFonts w:hint="eastAsia" w:cs="Helvetica" w:asciiTheme="minorEastAsia" w:hAnsiTheme="minorEastAsia"/>
          <w:bCs/>
          <w:spacing w:val="15"/>
          <w:kern w:val="0"/>
          <w:sz w:val="28"/>
          <w:szCs w:val="28"/>
        </w:rPr>
        <w:t>主打儿科产品</w:t>
      </w:r>
    </w:p>
    <w:p>
      <w:pPr>
        <w:ind w:firstLine="620" w:firstLineChars="200"/>
        <w:rPr>
          <w:rFonts w:hint="eastAsia" w:cs="Helvetica" w:asciiTheme="minorEastAsia" w:hAnsiTheme="minorEastAsia"/>
          <w:bCs/>
          <w:spacing w:val="15"/>
          <w:kern w:val="0"/>
          <w:sz w:val="28"/>
          <w:szCs w:val="28"/>
        </w:rPr>
      </w:pPr>
      <w:r>
        <w:rPr>
          <w:rFonts w:hint="eastAsia" w:cs="Helvetica" w:asciiTheme="minorEastAsia" w:hAnsiTheme="minorEastAsia"/>
          <w:bCs/>
          <w:spacing w:val="15"/>
          <w:kern w:val="0"/>
          <w:sz w:val="28"/>
          <w:szCs w:val="28"/>
        </w:rPr>
        <w:t>二胎政策开放以来，婴幼儿人数陡增，这将会推动药店儿童品类的增长，其中以维生素、鱼肝油、钙、益生菌等这样一些产品为增长的主要地方，另外，相关的儿科常用药也可以创造出增长的机会来。</w:t>
      </w:r>
    </w:p>
    <w:p>
      <w:pPr>
        <w:ind w:firstLine="620" w:firstLineChars="200"/>
        <w:rPr>
          <w:rFonts w:hint="eastAsia" w:cs="Helvetica" w:asciiTheme="minorEastAsia" w:hAnsiTheme="minorEastAsia"/>
          <w:bCs/>
          <w:spacing w:val="15"/>
          <w:kern w:val="0"/>
          <w:sz w:val="28"/>
          <w:szCs w:val="28"/>
        </w:rPr>
      </w:pPr>
      <w:r>
        <w:rPr>
          <w:rFonts w:hint="eastAsia" w:cs="Helvetica" w:asciiTheme="minorEastAsia" w:hAnsiTheme="minorEastAsia"/>
          <w:bCs/>
          <w:spacing w:val="15"/>
          <w:kern w:val="0"/>
          <w:sz w:val="28"/>
          <w:szCs w:val="28"/>
        </w:rPr>
        <w:t>另外，一些小的产品，比如枇杷糖、含片、口喷等，在这个季节也是可以操作的。</w:t>
      </w:r>
    </w:p>
    <w:p>
      <w:pPr>
        <w:ind w:firstLine="620" w:firstLineChars="200"/>
        <w:rPr>
          <w:rFonts w:hint="eastAsia" w:cs="Helvetica" w:asciiTheme="minorEastAsia" w:hAnsiTheme="minorEastAsia"/>
          <w:bCs/>
          <w:spacing w:val="15"/>
          <w:kern w:val="0"/>
          <w:sz w:val="28"/>
          <w:szCs w:val="28"/>
        </w:rPr>
      </w:pPr>
      <w:r>
        <w:rPr>
          <w:rFonts w:hint="eastAsia" w:cs="Helvetica" w:asciiTheme="minorEastAsia" w:hAnsiTheme="minorEastAsia"/>
          <w:bCs/>
          <w:spacing w:val="15"/>
          <w:kern w:val="0"/>
          <w:sz w:val="28"/>
          <w:szCs w:val="28"/>
        </w:rPr>
        <w:t>在设计营销方案时，可以把这些市场特征融入到主题活动当中去，以产品的促销带动门店营销，而我们的思路应结合这个季节、这个时点、这个经济环境与这个政策环境下催生出来的机会，如此，才能积极把握市场变化。</w:t>
      </w:r>
    </w:p>
    <w:p>
      <w:pPr>
        <w:ind w:firstLine="620" w:firstLineChars="200"/>
        <w:rPr>
          <w:rFonts w:hint="eastAsia" w:cs="Helvetica" w:asciiTheme="minorEastAsia" w:hAnsiTheme="minorEastAsia"/>
          <w:bCs/>
          <w:spacing w:val="15"/>
          <w:kern w:val="0"/>
          <w:sz w:val="28"/>
          <w:szCs w:val="28"/>
        </w:rPr>
      </w:pPr>
      <w:r>
        <w:rPr>
          <w:rFonts w:hint="eastAsia" w:cs="Helvetica" w:asciiTheme="minorEastAsia" w:hAnsiTheme="minorEastAsia"/>
          <w:bCs/>
          <w:spacing w:val="15"/>
          <w:kern w:val="0"/>
          <w:sz w:val="28"/>
          <w:szCs w:val="28"/>
        </w:rPr>
        <w:t>可根据当地的风俗，来设计一些可操作的应季活动。市场部在策划活动时，也可以和门店店长或其他同事进行沟通，大家一起来想可能会有更多的好点子。</w:t>
      </w:r>
    </w:p>
    <w:p>
      <w:pPr>
        <w:ind w:firstLine="620" w:firstLineChars="200"/>
        <w:rPr>
          <w:rFonts w:hint="eastAsia" w:cs="Helvetica" w:asciiTheme="minorEastAsia" w:hAnsiTheme="minorEastAsia"/>
          <w:bCs/>
          <w:spacing w:val="15"/>
          <w:kern w:val="0"/>
          <w:sz w:val="28"/>
          <w:szCs w:val="28"/>
        </w:rPr>
      </w:pPr>
      <w:r>
        <w:rPr>
          <w:rFonts w:hint="eastAsia" w:cs="Helvetica" w:asciiTheme="minorEastAsia" w:hAnsiTheme="minorEastAsia"/>
          <w:bCs/>
          <w:spacing w:val="15"/>
          <w:kern w:val="0"/>
          <w:sz w:val="28"/>
          <w:szCs w:val="28"/>
        </w:rPr>
        <w:t>另外，在平时工作当中，应该要收集竞争对手所做的活动，特别是当地的或附近门店所做的活动，也可以从其活动当中得到一些启发。</w:t>
      </w:r>
    </w:p>
    <w:p>
      <w:pPr>
        <w:ind w:firstLine="620" w:firstLineChars="200"/>
        <w:rPr>
          <w:rFonts w:hint="eastAsia" w:cs="Helvetica" w:asciiTheme="minorEastAsia" w:hAnsiTheme="minorEastAsia"/>
          <w:bCs/>
          <w:spacing w:val="15"/>
          <w:kern w:val="0"/>
          <w:sz w:val="28"/>
          <w:szCs w:val="28"/>
        </w:rPr>
      </w:pPr>
      <w:r>
        <w:rPr>
          <w:rFonts w:hint="eastAsia" w:cs="Helvetica" w:asciiTheme="minorEastAsia" w:hAnsiTheme="minorEastAsia"/>
          <w:bCs/>
          <w:spacing w:val="15"/>
          <w:kern w:val="0"/>
          <w:sz w:val="28"/>
          <w:szCs w:val="28"/>
        </w:rPr>
        <w:t>营销之法，在于常变常新，在变中又要始终锁定真实的市场需求，如此才能百战不殆。</w:t>
      </w:r>
    </w:p>
    <w:p>
      <w:pPr>
        <w:ind w:firstLine="620" w:firstLineChars="200"/>
        <w:rPr>
          <w:rFonts w:hint="eastAsia" w:cs="Helvetica" w:asciiTheme="minorEastAsia" w:hAnsiTheme="minorEastAsia"/>
          <w:bCs/>
          <w:spacing w:val="15"/>
          <w:kern w:val="0"/>
          <w:sz w:val="28"/>
          <w:szCs w:val="28"/>
        </w:rPr>
      </w:pPr>
      <w:r>
        <w:rPr>
          <w:rFonts w:cs="Helvetica" w:asciiTheme="minorEastAsia" w:hAnsiTheme="minorEastAsia"/>
          <w:bCs/>
          <w:spacing w:val="15"/>
          <w:kern w:val="0"/>
          <w:sz w:val="28"/>
          <w:szCs w:val="28"/>
        </w:rPr>
        <w:t>05</w:t>
      </w:r>
      <w:r>
        <w:rPr>
          <w:rFonts w:hint="eastAsia" w:cs="Helvetica" w:asciiTheme="minorEastAsia" w:hAnsiTheme="minorEastAsia"/>
          <w:bCs/>
          <w:spacing w:val="15"/>
          <w:kern w:val="0"/>
          <w:sz w:val="28"/>
          <w:szCs w:val="28"/>
        </w:rPr>
        <w:t>家庭器械、旅游常备药</w:t>
      </w:r>
    </w:p>
    <w:p>
      <w:pPr>
        <w:ind w:firstLine="620" w:firstLineChars="200"/>
        <w:rPr>
          <w:rFonts w:hint="eastAsia" w:cs="Helvetica" w:asciiTheme="minorEastAsia" w:hAnsiTheme="minorEastAsia"/>
          <w:bCs/>
          <w:spacing w:val="15"/>
          <w:kern w:val="0"/>
          <w:sz w:val="28"/>
          <w:szCs w:val="28"/>
        </w:rPr>
      </w:pPr>
      <w:r>
        <w:rPr>
          <w:rFonts w:hint="eastAsia" w:cs="Helvetica" w:asciiTheme="minorEastAsia" w:hAnsiTheme="minorEastAsia"/>
          <w:bCs/>
          <w:spacing w:val="15"/>
          <w:kern w:val="0"/>
          <w:sz w:val="28"/>
          <w:szCs w:val="28"/>
        </w:rPr>
        <w:t>春季医械类促销可以整理出一些应季的产品，如春天的天气乍暖还寒，很多人（尤其是老年人）时常感到关节疼痛，药店可以就此做一个护具专区，提示顾客爱护自己的关节；</w:t>
      </w:r>
    </w:p>
    <w:p>
      <w:pPr>
        <w:ind w:firstLine="620" w:firstLineChars="200"/>
        <w:rPr>
          <w:rFonts w:hint="eastAsia" w:cs="Helvetica" w:asciiTheme="minorEastAsia" w:hAnsiTheme="minorEastAsia"/>
          <w:bCs/>
          <w:spacing w:val="15"/>
          <w:kern w:val="0"/>
          <w:sz w:val="28"/>
          <w:szCs w:val="28"/>
        </w:rPr>
      </w:pPr>
      <w:r>
        <w:rPr>
          <w:rFonts w:hint="eastAsia" w:cs="Helvetica" w:asciiTheme="minorEastAsia" w:hAnsiTheme="minorEastAsia"/>
          <w:bCs/>
          <w:spacing w:val="15"/>
          <w:kern w:val="0"/>
          <w:sz w:val="28"/>
          <w:szCs w:val="28"/>
        </w:rPr>
        <w:t>此外，随着天气转暖，出游的人也会增加，春游将是一个比较好的主题，春游的出行常备药及助行器也是我们可以营销的一个品类。</w:t>
      </w:r>
    </w:p>
    <w:p>
      <w:pPr>
        <w:ind w:firstLine="620" w:firstLineChars="200"/>
        <w:rPr>
          <w:rFonts w:hint="eastAsia" w:cs="Helvetica" w:asciiTheme="minorEastAsia" w:hAnsiTheme="minorEastAsia"/>
          <w:bCs/>
          <w:spacing w:val="15"/>
          <w:kern w:val="0"/>
          <w:sz w:val="28"/>
          <w:szCs w:val="28"/>
        </w:rPr>
      </w:pPr>
      <w:r>
        <w:rPr>
          <w:rFonts w:hint="eastAsia" w:cs="Helvetica" w:asciiTheme="minorEastAsia" w:hAnsiTheme="minorEastAsia"/>
          <w:bCs/>
          <w:spacing w:val="15"/>
          <w:kern w:val="0"/>
          <w:sz w:val="28"/>
          <w:szCs w:val="28"/>
        </w:rPr>
        <w:t xml:space="preserve">常备药中，包括普通的腹泻、上呼吸道感染、小外伤、湿疹等这些疾病相关的产品，可以拿出来作为主题营销活动，以特价、折扣、第二件半价等方式来吸引顾客。 </w:t>
      </w:r>
    </w:p>
    <w:p>
      <w:pPr>
        <w:ind w:firstLine="620" w:firstLineChars="200"/>
        <w:rPr>
          <w:rFonts w:hint="eastAsia" w:cs="Helvetica" w:asciiTheme="minorEastAsia" w:hAnsiTheme="minorEastAsia"/>
          <w:bCs/>
          <w:spacing w:val="15"/>
          <w:kern w:val="0"/>
          <w:sz w:val="28"/>
          <w:szCs w:val="28"/>
        </w:rPr>
      </w:pPr>
      <w:r>
        <w:rPr>
          <w:rFonts w:cs="Helvetica" w:asciiTheme="minorEastAsia" w:hAnsiTheme="minorEastAsia"/>
          <w:bCs/>
          <w:spacing w:val="15"/>
          <w:kern w:val="0"/>
          <w:sz w:val="28"/>
          <w:szCs w:val="28"/>
        </w:rPr>
        <w:t>06</w:t>
      </w:r>
      <w:r>
        <w:rPr>
          <w:rFonts w:hint="eastAsia" w:cs="Helvetica" w:asciiTheme="minorEastAsia" w:hAnsiTheme="minorEastAsia"/>
          <w:bCs/>
          <w:spacing w:val="15"/>
          <w:kern w:val="0"/>
          <w:sz w:val="28"/>
          <w:szCs w:val="28"/>
        </w:rPr>
        <w:t>益智类产品</w:t>
      </w:r>
    </w:p>
    <w:p>
      <w:pPr>
        <w:ind w:firstLine="620" w:firstLineChars="200"/>
        <w:rPr>
          <w:rFonts w:hint="eastAsia" w:cs="Helvetica" w:asciiTheme="minorEastAsia" w:hAnsiTheme="minorEastAsia"/>
          <w:bCs/>
          <w:spacing w:val="15"/>
          <w:kern w:val="0"/>
          <w:sz w:val="28"/>
          <w:szCs w:val="28"/>
        </w:rPr>
      </w:pPr>
      <w:r>
        <w:rPr>
          <w:rFonts w:hint="eastAsia" w:cs="Helvetica" w:asciiTheme="minorEastAsia" w:hAnsiTheme="minorEastAsia"/>
          <w:bCs/>
          <w:spacing w:val="15"/>
          <w:kern w:val="0"/>
          <w:sz w:val="28"/>
          <w:szCs w:val="28"/>
        </w:rPr>
        <w:t xml:space="preserve">药店此时应该主动打出益智类产品的营销，因为接下来的几个月，学生面临中高考，还有其他各种考试，所以抗疲劳、改善记忆相关品种可以做活动，可以自己创造出一个益智创意主题营销节日。 </w:t>
      </w:r>
    </w:p>
    <w:p>
      <w:pPr>
        <w:ind w:firstLine="620" w:firstLineChars="200"/>
        <w:rPr>
          <w:rFonts w:hint="eastAsia" w:cs="Helvetica" w:asciiTheme="minorEastAsia" w:hAnsiTheme="minorEastAsia"/>
          <w:bCs/>
          <w:spacing w:val="15"/>
          <w:kern w:val="0"/>
          <w:sz w:val="28"/>
          <w:szCs w:val="28"/>
        </w:rPr>
      </w:pPr>
      <w:r>
        <w:rPr>
          <w:rFonts w:cs="Helvetica" w:asciiTheme="minorEastAsia" w:hAnsiTheme="minorEastAsia"/>
          <w:bCs/>
          <w:spacing w:val="15"/>
          <w:kern w:val="0"/>
          <w:sz w:val="28"/>
          <w:szCs w:val="28"/>
        </w:rPr>
        <w:t>07</w:t>
      </w:r>
      <w:r>
        <w:rPr>
          <w:rFonts w:hint="eastAsia" w:cs="Helvetica" w:asciiTheme="minorEastAsia" w:hAnsiTheme="minorEastAsia"/>
          <w:bCs/>
          <w:spacing w:val="15"/>
          <w:kern w:val="0"/>
          <w:sz w:val="28"/>
          <w:szCs w:val="28"/>
        </w:rPr>
        <w:t>花茶类</w:t>
      </w:r>
    </w:p>
    <w:p>
      <w:pPr>
        <w:ind w:firstLine="620" w:firstLineChars="200"/>
        <w:rPr>
          <w:rFonts w:cs="Helvetica" w:asciiTheme="minorEastAsia" w:hAnsiTheme="minorEastAsia"/>
          <w:bCs/>
          <w:spacing w:val="15"/>
          <w:kern w:val="0"/>
          <w:sz w:val="28"/>
          <w:szCs w:val="28"/>
        </w:rPr>
      </w:pPr>
      <w:r>
        <w:rPr>
          <w:rFonts w:hint="eastAsia" w:cs="Helvetica" w:asciiTheme="minorEastAsia" w:hAnsiTheme="minorEastAsia"/>
          <w:bCs/>
          <w:spacing w:val="15"/>
          <w:kern w:val="0"/>
          <w:sz w:val="28"/>
          <w:szCs w:val="28"/>
        </w:rPr>
        <w:t>抓住春天的尾巴，准备迎接夏季的到来，忙碌的生活，匆匆的人们，“亚健康”的状态大大降低了生活质量。这个时候，如果泡上一杯花茶，沁人心脾的清香，能够缓解疲劳和郁闷。</w:t>
      </w:r>
    </w:p>
    <w:p>
      <w:pPr>
        <w:rPr>
          <w:sz w:val="28"/>
          <w:szCs w:val="28"/>
        </w:rPr>
      </w:pPr>
    </w:p>
    <w:sectPr>
      <w:pgSz w:w="11906" w:h="16838"/>
      <w:pgMar w:top="1440" w:right="1797" w:bottom="1134" w:left="1797"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Heiti SC Light">
    <w:altName w:val="Arial Unicode MS"/>
    <w:panose1 w:val="00000000000000000000"/>
    <w:charset w:val="50"/>
    <w:family w:val="auto"/>
    <w:pitch w:val="default"/>
    <w:sig w:usb0="00000000" w:usb1="00000000" w:usb2="00000010" w:usb3="00000000" w:csb0="00040000" w:csb1="00000000"/>
  </w:font>
  <w:font w:name="Helvetica">
    <w:altName w:val="Arial"/>
    <w:panose1 w:val="020B0604020202020204"/>
    <w:charset w:val="00"/>
    <w:family w:val="swiss"/>
    <w:pitch w:val="default"/>
    <w:sig w:usb0="00000000" w:usb1="00000000" w:usb2="00000000" w:usb3="00000000" w:csb0="00000001" w:csb1="00000000"/>
  </w:font>
  <w:font w:name="微软雅黑">
    <w:panose1 w:val="020B0503020204020204"/>
    <w:charset w:val="86"/>
    <w:family w:val="swiss"/>
    <w:pitch w:val="default"/>
    <w:sig w:usb0="80000287" w:usb1="280F3C52" w:usb2="00000016" w:usb3="00000000" w:csb0="0004001F"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174036"/>
    </w:sdtPr>
    <w:sdtContent>
      <w:p>
        <w:pPr>
          <w:pStyle w:val="7"/>
          <w:jc w:val="center"/>
        </w:pPr>
        <w:r>
          <w:fldChar w:fldCharType="begin"/>
        </w:r>
        <w:r>
          <w:instrText xml:space="preserve"> PAGE   \* MERGEFORMAT </w:instrText>
        </w:r>
        <w:r>
          <w:fldChar w:fldCharType="separate"/>
        </w:r>
        <w:r>
          <w:rPr>
            <w:lang w:val="zh-CN"/>
          </w:rPr>
          <w:t>76</w:t>
        </w:r>
        <w:r>
          <w:rPr>
            <w:lang w:val="zh-CN"/>
          </w:rPr>
          <w:fldChar w:fldCharType="end"/>
        </w:r>
      </w:p>
    </w:sdtContent>
  </w:sdt>
  <w:p>
    <w:pPr>
      <w:pStyle w:val="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7C4072A"/>
    <w:multiLevelType w:val="singleLevel"/>
    <w:tmpl w:val="B7C4072A"/>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IyYzMyZjhjZWI0MmYzYWUxYzE2YThlOTgxY2RjYTIifQ=="/>
  </w:docVars>
  <w:rsids>
    <w:rsidRoot w:val="00EE0913"/>
    <w:rsid w:val="00001BFB"/>
    <w:rsid w:val="00001CAA"/>
    <w:rsid w:val="000022E3"/>
    <w:rsid w:val="000024F5"/>
    <w:rsid w:val="00002766"/>
    <w:rsid w:val="000039EE"/>
    <w:rsid w:val="00003F1F"/>
    <w:rsid w:val="000052F1"/>
    <w:rsid w:val="00005C14"/>
    <w:rsid w:val="00010051"/>
    <w:rsid w:val="000100BC"/>
    <w:rsid w:val="000113BB"/>
    <w:rsid w:val="00011510"/>
    <w:rsid w:val="00011729"/>
    <w:rsid w:val="000128A3"/>
    <w:rsid w:val="00013DD2"/>
    <w:rsid w:val="000146CA"/>
    <w:rsid w:val="00015379"/>
    <w:rsid w:val="000155B7"/>
    <w:rsid w:val="0001575A"/>
    <w:rsid w:val="00015A5C"/>
    <w:rsid w:val="00015D57"/>
    <w:rsid w:val="000175C9"/>
    <w:rsid w:val="00017C59"/>
    <w:rsid w:val="00017FF3"/>
    <w:rsid w:val="000208A4"/>
    <w:rsid w:val="0002159E"/>
    <w:rsid w:val="00022B29"/>
    <w:rsid w:val="00022D08"/>
    <w:rsid w:val="0002356D"/>
    <w:rsid w:val="0002364C"/>
    <w:rsid w:val="0002670E"/>
    <w:rsid w:val="0002785C"/>
    <w:rsid w:val="00027E7A"/>
    <w:rsid w:val="00027F86"/>
    <w:rsid w:val="00031218"/>
    <w:rsid w:val="0003140E"/>
    <w:rsid w:val="00031F9A"/>
    <w:rsid w:val="000323D0"/>
    <w:rsid w:val="00032702"/>
    <w:rsid w:val="00032748"/>
    <w:rsid w:val="00032D3A"/>
    <w:rsid w:val="00032F39"/>
    <w:rsid w:val="00033524"/>
    <w:rsid w:val="00033888"/>
    <w:rsid w:val="000341C2"/>
    <w:rsid w:val="000348FD"/>
    <w:rsid w:val="000352F5"/>
    <w:rsid w:val="00035AF1"/>
    <w:rsid w:val="00035BE2"/>
    <w:rsid w:val="00035C5A"/>
    <w:rsid w:val="00035CD4"/>
    <w:rsid w:val="00036356"/>
    <w:rsid w:val="0003643D"/>
    <w:rsid w:val="00036535"/>
    <w:rsid w:val="00037ADC"/>
    <w:rsid w:val="00040400"/>
    <w:rsid w:val="00040A70"/>
    <w:rsid w:val="00040DA8"/>
    <w:rsid w:val="000417F0"/>
    <w:rsid w:val="000420F3"/>
    <w:rsid w:val="000436FE"/>
    <w:rsid w:val="000454E9"/>
    <w:rsid w:val="000459E3"/>
    <w:rsid w:val="00047695"/>
    <w:rsid w:val="00050CCD"/>
    <w:rsid w:val="00050E0C"/>
    <w:rsid w:val="00051091"/>
    <w:rsid w:val="00053A0E"/>
    <w:rsid w:val="00053CCF"/>
    <w:rsid w:val="00053D46"/>
    <w:rsid w:val="00055025"/>
    <w:rsid w:val="0005614E"/>
    <w:rsid w:val="000561FD"/>
    <w:rsid w:val="0005653C"/>
    <w:rsid w:val="0005678D"/>
    <w:rsid w:val="000568B6"/>
    <w:rsid w:val="00056ADA"/>
    <w:rsid w:val="00057226"/>
    <w:rsid w:val="00057394"/>
    <w:rsid w:val="00057873"/>
    <w:rsid w:val="00057E16"/>
    <w:rsid w:val="00060194"/>
    <w:rsid w:val="00060829"/>
    <w:rsid w:val="00060B4E"/>
    <w:rsid w:val="00060DB6"/>
    <w:rsid w:val="00060E3A"/>
    <w:rsid w:val="00060F2A"/>
    <w:rsid w:val="000612FF"/>
    <w:rsid w:val="00061883"/>
    <w:rsid w:val="0006228B"/>
    <w:rsid w:val="000626AD"/>
    <w:rsid w:val="000627A5"/>
    <w:rsid w:val="000629CC"/>
    <w:rsid w:val="00063B74"/>
    <w:rsid w:val="000644AD"/>
    <w:rsid w:val="00064FF9"/>
    <w:rsid w:val="000660CF"/>
    <w:rsid w:val="00066B1E"/>
    <w:rsid w:val="00067203"/>
    <w:rsid w:val="0007054B"/>
    <w:rsid w:val="00070668"/>
    <w:rsid w:val="00070C62"/>
    <w:rsid w:val="00072506"/>
    <w:rsid w:val="0007440C"/>
    <w:rsid w:val="00074962"/>
    <w:rsid w:val="00074A61"/>
    <w:rsid w:val="000755B1"/>
    <w:rsid w:val="0007594B"/>
    <w:rsid w:val="00076278"/>
    <w:rsid w:val="00076422"/>
    <w:rsid w:val="00076AA0"/>
    <w:rsid w:val="00077AA6"/>
    <w:rsid w:val="0008101C"/>
    <w:rsid w:val="00081C4C"/>
    <w:rsid w:val="0008296C"/>
    <w:rsid w:val="00082B25"/>
    <w:rsid w:val="00082D82"/>
    <w:rsid w:val="0008334C"/>
    <w:rsid w:val="00084851"/>
    <w:rsid w:val="000853DB"/>
    <w:rsid w:val="000855A7"/>
    <w:rsid w:val="00085664"/>
    <w:rsid w:val="00085999"/>
    <w:rsid w:val="00086182"/>
    <w:rsid w:val="00086257"/>
    <w:rsid w:val="00086383"/>
    <w:rsid w:val="0008668C"/>
    <w:rsid w:val="00087C0D"/>
    <w:rsid w:val="00087E46"/>
    <w:rsid w:val="00087FA7"/>
    <w:rsid w:val="00090C13"/>
    <w:rsid w:val="00091146"/>
    <w:rsid w:val="0009141B"/>
    <w:rsid w:val="0009174A"/>
    <w:rsid w:val="00091FFC"/>
    <w:rsid w:val="00093A40"/>
    <w:rsid w:val="00093CBF"/>
    <w:rsid w:val="00093E3A"/>
    <w:rsid w:val="00094515"/>
    <w:rsid w:val="000953D3"/>
    <w:rsid w:val="00096C9C"/>
    <w:rsid w:val="00097D5A"/>
    <w:rsid w:val="000A003B"/>
    <w:rsid w:val="000A0979"/>
    <w:rsid w:val="000A0C20"/>
    <w:rsid w:val="000A1603"/>
    <w:rsid w:val="000A1660"/>
    <w:rsid w:val="000A1AFA"/>
    <w:rsid w:val="000A1B47"/>
    <w:rsid w:val="000A202A"/>
    <w:rsid w:val="000A2150"/>
    <w:rsid w:val="000A23F5"/>
    <w:rsid w:val="000A49A4"/>
    <w:rsid w:val="000A634C"/>
    <w:rsid w:val="000A6BFA"/>
    <w:rsid w:val="000A7367"/>
    <w:rsid w:val="000B0A67"/>
    <w:rsid w:val="000B3940"/>
    <w:rsid w:val="000B3F1B"/>
    <w:rsid w:val="000B4EC5"/>
    <w:rsid w:val="000B53B1"/>
    <w:rsid w:val="000B5C93"/>
    <w:rsid w:val="000B6825"/>
    <w:rsid w:val="000B6B74"/>
    <w:rsid w:val="000B6B78"/>
    <w:rsid w:val="000C2567"/>
    <w:rsid w:val="000C47AA"/>
    <w:rsid w:val="000C4E05"/>
    <w:rsid w:val="000C682D"/>
    <w:rsid w:val="000C6AFC"/>
    <w:rsid w:val="000C6FFF"/>
    <w:rsid w:val="000C7C03"/>
    <w:rsid w:val="000D041E"/>
    <w:rsid w:val="000D0824"/>
    <w:rsid w:val="000D09F2"/>
    <w:rsid w:val="000D0D8A"/>
    <w:rsid w:val="000D1C31"/>
    <w:rsid w:val="000D246E"/>
    <w:rsid w:val="000D28F7"/>
    <w:rsid w:val="000D37FA"/>
    <w:rsid w:val="000D44E7"/>
    <w:rsid w:val="000D56A1"/>
    <w:rsid w:val="000D5A1A"/>
    <w:rsid w:val="000D61D0"/>
    <w:rsid w:val="000D6AB0"/>
    <w:rsid w:val="000D76C3"/>
    <w:rsid w:val="000E0059"/>
    <w:rsid w:val="000E05FD"/>
    <w:rsid w:val="000E11A9"/>
    <w:rsid w:val="000E1243"/>
    <w:rsid w:val="000E16A0"/>
    <w:rsid w:val="000E251E"/>
    <w:rsid w:val="000E2955"/>
    <w:rsid w:val="000E2B6C"/>
    <w:rsid w:val="000E42C0"/>
    <w:rsid w:val="000E4895"/>
    <w:rsid w:val="000E4A5E"/>
    <w:rsid w:val="000E5D58"/>
    <w:rsid w:val="000E6245"/>
    <w:rsid w:val="000E79CF"/>
    <w:rsid w:val="000F0270"/>
    <w:rsid w:val="000F07CE"/>
    <w:rsid w:val="000F0AF0"/>
    <w:rsid w:val="000F0C17"/>
    <w:rsid w:val="000F0F23"/>
    <w:rsid w:val="000F19A2"/>
    <w:rsid w:val="000F1D22"/>
    <w:rsid w:val="000F2C6A"/>
    <w:rsid w:val="000F32F6"/>
    <w:rsid w:val="000F33C1"/>
    <w:rsid w:val="000F43A9"/>
    <w:rsid w:val="000F55D2"/>
    <w:rsid w:val="000F6444"/>
    <w:rsid w:val="000F6846"/>
    <w:rsid w:val="000F6ACA"/>
    <w:rsid w:val="000F6D53"/>
    <w:rsid w:val="000F724C"/>
    <w:rsid w:val="000F7299"/>
    <w:rsid w:val="00101647"/>
    <w:rsid w:val="001016A6"/>
    <w:rsid w:val="00101B15"/>
    <w:rsid w:val="001031E5"/>
    <w:rsid w:val="001032B8"/>
    <w:rsid w:val="00103BC3"/>
    <w:rsid w:val="00103DAD"/>
    <w:rsid w:val="00104ACF"/>
    <w:rsid w:val="00105135"/>
    <w:rsid w:val="001056A9"/>
    <w:rsid w:val="00105CE5"/>
    <w:rsid w:val="001069F4"/>
    <w:rsid w:val="00106AD4"/>
    <w:rsid w:val="0010723C"/>
    <w:rsid w:val="00107268"/>
    <w:rsid w:val="001110C3"/>
    <w:rsid w:val="0011189B"/>
    <w:rsid w:val="00113937"/>
    <w:rsid w:val="00113DC5"/>
    <w:rsid w:val="00114185"/>
    <w:rsid w:val="00114802"/>
    <w:rsid w:val="001149F4"/>
    <w:rsid w:val="001173FB"/>
    <w:rsid w:val="00117A35"/>
    <w:rsid w:val="0012030B"/>
    <w:rsid w:val="00120A62"/>
    <w:rsid w:val="00121C29"/>
    <w:rsid w:val="00122376"/>
    <w:rsid w:val="00122583"/>
    <w:rsid w:val="001225B1"/>
    <w:rsid w:val="001228C5"/>
    <w:rsid w:val="001228E1"/>
    <w:rsid w:val="00123126"/>
    <w:rsid w:val="00123D5A"/>
    <w:rsid w:val="00123FCE"/>
    <w:rsid w:val="0012415F"/>
    <w:rsid w:val="00124221"/>
    <w:rsid w:val="00125020"/>
    <w:rsid w:val="00126255"/>
    <w:rsid w:val="00126BF8"/>
    <w:rsid w:val="0012750C"/>
    <w:rsid w:val="0012752B"/>
    <w:rsid w:val="00127A07"/>
    <w:rsid w:val="0013048B"/>
    <w:rsid w:val="00130EEA"/>
    <w:rsid w:val="00131CBA"/>
    <w:rsid w:val="00131EC6"/>
    <w:rsid w:val="00132673"/>
    <w:rsid w:val="001326AA"/>
    <w:rsid w:val="00133315"/>
    <w:rsid w:val="00134DA7"/>
    <w:rsid w:val="00136D64"/>
    <w:rsid w:val="001403FA"/>
    <w:rsid w:val="001407D8"/>
    <w:rsid w:val="0014087D"/>
    <w:rsid w:val="001424A8"/>
    <w:rsid w:val="0014298A"/>
    <w:rsid w:val="00142E3F"/>
    <w:rsid w:val="0014384A"/>
    <w:rsid w:val="001440EE"/>
    <w:rsid w:val="00144ECC"/>
    <w:rsid w:val="001455A2"/>
    <w:rsid w:val="00145DB1"/>
    <w:rsid w:val="001460BB"/>
    <w:rsid w:val="001466DA"/>
    <w:rsid w:val="00146CD9"/>
    <w:rsid w:val="00146F74"/>
    <w:rsid w:val="00147260"/>
    <w:rsid w:val="00147B39"/>
    <w:rsid w:val="001500A3"/>
    <w:rsid w:val="00150113"/>
    <w:rsid w:val="00150FFB"/>
    <w:rsid w:val="00151A04"/>
    <w:rsid w:val="00152AE5"/>
    <w:rsid w:val="00152C40"/>
    <w:rsid w:val="00152E4E"/>
    <w:rsid w:val="0015388E"/>
    <w:rsid w:val="00153D1C"/>
    <w:rsid w:val="00154F45"/>
    <w:rsid w:val="0015554A"/>
    <w:rsid w:val="00155BAD"/>
    <w:rsid w:val="001563A0"/>
    <w:rsid w:val="00156883"/>
    <w:rsid w:val="001578CA"/>
    <w:rsid w:val="001608F2"/>
    <w:rsid w:val="00162ADF"/>
    <w:rsid w:val="00162DBC"/>
    <w:rsid w:val="001630AD"/>
    <w:rsid w:val="001639CA"/>
    <w:rsid w:val="00163BDD"/>
    <w:rsid w:val="00163DA7"/>
    <w:rsid w:val="001642EC"/>
    <w:rsid w:val="00164597"/>
    <w:rsid w:val="00164B58"/>
    <w:rsid w:val="00164C43"/>
    <w:rsid w:val="00164D14"/>
    <w:rsid w:val="00165C37"/>
    <w:rsid w:val="001670DA"/>
    <w:rsid w:val="0017152E"/>
    <w:rsid w:val="00171A68"/>
    <w:rsid w:val="001739AD"/>
    <w:rsid w:val="00173C28"/>
    <w:rsid w:val="0017408C"/>
    <w:rsid w:val="0017443B"/>
    <w:rsid w:val="0017457B"/>
    <w:rsid w:val="00175134"/>
    <w:rsid w:val="001767E5"/>
    <w:rsid w:val="0018153F"/>
    <w:rsid w:val="0018160E"/>
    <w:rsid w:val="00181800"/>
    <w:rsid w:val="0018452F"/>
    <w:rsid w:val="00185B3C"/>
    <w:rsid w:val="00186072"/>
    <w:rsid w:val="0018620F"/>
    <w:rsid w:val="001864C9"/>
    <w:rsid w:val="00187303"/>
    <w:rsid w:val="001903A2"/>
    <w:rsid w:val="001905DD"/>
    <w:rsid w:val="001908AB"/>
    <w:rsid w:val="00190927"/>
    <w:rsid w:val="00190F6E"/>
    <w:rsid w:val="001919F5"/>
    <w:rsid w:val="00191FD5"/>
    <w:rsid w:val="0019335B"/>
    <w:rsid w:val="00193B69"/>
    <w:rsid w:val="00193F34"/>
    <w:rsid w:val="0019486C"/>
    <w:rsid w:val="00195DC1"/>
    <w:rsid w:val="001962FE"/>
    <w:rsid w:val="001A038F"/>
    <w:rsid w:val="001A0497"/>
    <w:rsid w:val="001A0670"/>
    <w:rsid w:val="001A1C96"/>
    <w:rsid w:val="001A301E"/>
    <w:rsid w:val="001A354B"/>
    <w:rsid w:val="001A354F"/>
    <w:rsid w:val="001A47B2"/>
    <w:rsid w:val="001A4F2B"/>
    <w:rsid w:val="001A4F78"/>
    <w:rsid w:val="001A510C"/>
    <w:rsid w:val="001A5FCE"/>
    <w:rsid w:val="001A621D"/>
    <w:rsid w:val="001B0448"/>
    <w:rsid w:val="001B07E5"/>
    <w:rsid w:val="001B0EFF"/>
    <w:rsid w:val="001B1726"/>
    <w:rsid w:val="001B1E70"/>
    <w:rsid w:val="001B2160"/>
    <w:rsid w:val="001B25B6"/>
    <w:rsid w:val="001B2E23"/>
    <w:rsid w:val="001B3741"/>
    <w:rsid w:val="001B3846"/>
    <w:rsid w:val="001B4721"/>
    <w:rsid w:val="001B544A"/>
    <w:rsid w:val="001B5720"/>
    <w:rsid w:val="001B62B5"/>
    <w:rsid w:val="001B6A65"/>
    <w:rsid w:val="001B6C75"/>
    <w:rsid w:val="001B7965"/>
    <w:rsid w:val="001B7DF4"/>
    <w:rsid w:val="001C27A9"/>
    <w:rsid w:val="001C2967"/>
    <w:rsid w:val="001C3235"/>
    <w:rsid w:val="001C33F7"/>
    <w:rsid w:val="001C39E0"/>
    <w:rsid w:val="001C39FD"/>
    <w:rsid w:val="001C4801"/>
    <w:rsid w:val="001C508D"/>
    <w:rsid w:val="001C5A48"/>
    <w:rsid w:val="001D0737"/>
    <w:rsid w:val="001D107C"/>
    <w:rsid w:val="001D13D4"/>
    <w:rsid w:val="001D1E3F"/>
    <w:rsid w:val="001D33E2"/>
    <w:rsid w:val="001D3B5C"/>
    <w:rsid w:val="001D3BFF"/>
    <w:rsid w:val="001D433F"/>
    <w:rsid w:val="001D44DA"/>
    <w:rsid w:val="001D5F46"/>
    <w:rsid w:val="001D5F9D"/>
    <w:rsid w:val="001D71ED"/>
    <w:rsid w:val="001D7E99"/>
    <w:rsid w:val="001E0A8D"/>
    <w:rsid w:val="001E0EF4"/>
    <w:rsid w:val="001E1450"/>
    <w:rsid w:val="001E1C3D"/>
    <w:rsid w:val="001E2F38"/>
    <w:rsid w:val="001E34DF"/>
    <w:rsid w:val="001E3D69"/>
    <w:rsid w:val="001E6F04"/>
    <w:rsid w:val="001E72AD"/>
    <w:rsid w:val="001E7B65"/>
    <w:rsid w:val="001F0482"/>
    <w:rsid w:val="001F090A"/>
    <w:rsid w:val="001F0A9C"/>
    <w:rsid w:val="001F17B4"/>
    <w:rsid w:val="001F2D98"/>
    <w:rsid w:val="001F2F68"/>
    <w:rsid w:val="001F33AE"/>
    <w:rsid w:val="001F4080"/>
    <w:rsid w:val="001F467E"/>
    <w:rsid w:val="001F4D84"/>
    <w:rsid w:val="001F53FD"/>
    <w:rsid w:val="001F6CFD"/>
    <w:rsid w:val="001F7124"/>
    <w:rsid w:val="001F7965"/>
    <w:rsid w:val="0020139B"/>
    <w:rsid w:val="002022A3"/>
    <w:rsid w:val="002034B9"/>
    <w:rsid w:val="00203567"/>
    <w:rsid w:val="00203947"/>
    <w:rsid w:val="00205880"/>
    <w:rsid w:val="00205AB9"/>
    <w:rsid w:val="00205B89"/>
    <w:rsid w:val="00205EB5"/>
    <w:rsid w:val="00207153"/>
    <w:rsid w:val="002075FF"/>
    <w:rsid w:val="0020779A"/>
    <w:rsid w:val="002103E0"/>
    <w:rsid w:val="0021048A"/>
    <w:rsid w:val="002105D7"/>
    <w:rsid w:val="0021132D"/>
    <w:rsid w:val="002119CC"/>
    <w:rsid w:val="00211DD8"/>
    <w:rsid w:val="002122CD"/>
    <w:rsid w:val="00212300"/>
    <w:rsid w:val="00213B80"/>
    <w:rsid w:val="00214454"/>
    <w:rsid w:val="0021452B"/>
    <w:rsid w:val="002158D3"/>
    <w:rsid w:val="002160B9"/>
    <w:rsid w:val="00216CDF"/>
    <w:rsid w:val="002173B6"/>
    <w:rsid w:val="00221241"/>
    <w:rsid w:val="002228FF"/>
    <w:rsid w:val="00222CC3"/>
    <w:rsid w:val="00223404"/>
    <w:rsid w:val="002236A0"/>
    <w:rsid w:val="002243A0"/>
    <w:rsid w:val="002243A5"/>
    <w:rsid w:val="002249B6"/>
    <w:rsid w:val="00226714"/>
    <w:rsid w:val="002278CC"/>
    <w:rsid w:val="00230207"/>
    <w:rsid w:val="00230B63"/>
    <w:rsid w:val="00230C6B"/>
    <w:rsid w:val="00230CE7"/>
    <w:rsid w:val="00231311"/>
    <w:rsid w:val="002314A5"/>
    <w:rsid w:val="002318A0"/>
    <w:rsid w:val="002327D9"/>
    <w:rsid w:val="00232967"/>
    <w:rsid w:val="00233542"/>
    <w:rsid w:val="0023379C"/>
    <w:rsid w:val="00233C59"/>
    <w:rsid w:val="002342D9"/>
    <w:rsid w:val="00235103"/>
    <w:rsid w:val="002351A4"/>
    <w:rsid w:val="00236537"/>
    <w:rsid w:val="00237D91"/>
    <w:rsid w:val="0024061C"/>
    <w:rsid w:val="00240C67"/>
    <w:rsid w:val="00240FAB"/>
    <w:rsid w:val="002416FC"/>
    <w:rsid w:val="002427C2"/>
    <w:rsid w:val="00244227"/>
    <w:rsid w:val="00244248"/>
    <w:rsid w:val="0024457B"/>
    <w:rsid w:val="00244ABD"/>
    <w:rsid w:val="00245654"/>
    <w:rsid w:val="0024591C"/>
    <w:rsid w:val="00245FDA"/>
    <w:rsid w:val="0024640D"/>
    <w:rsid w:val="00247264"/>
    <w:rsid w:val="00247497"/>
    <w:rsid w:val="00247AA4"/>
    <w:rsid w:val="00247E86"/>
    <w:rsid w:val="00250160"/>
    <w:rsid w:val="00250630"/>
    <w:rsid w:val="0025106B"/>
    <w:rsid w:val="002519F4"/>
    <w:rsid w:val="00251B6B"/>
    <w:rsid w:val="00251BB2"/>
    <w:rsid w:val="0025201B"/>
    <w:rsid w:val="00252A4A"/>
    <w:rsid w:val="00254F04"/>
    <w:rsid w:val="00255199"/>
    <w:rsid w:val="0025548F"/>
    <w:rsid w:val="00256111"/>
    <w:rsid w:val="00256345"/>
    <w:rsid w:val="002563FA"/>
    <w:rsid w:val="0026045F"/>
    <w:rsid w:val="00260468"/>
    <w:rsid w:val="00260992"/>
    <w:rsid w:val="002621FF"/>
    <w:rsid w:val="002625CF"/>
    <w:rsid w:val="002625D6"/>
    <w:rsid w:val="002626AA"/>
    <w:rsid w:val="002629B4"/>
    <w:rsid w:val="0026346A"/>
    <w:rsid w:val="002638D5"/>
    <w:rsid w:val="00264A0A"/>
    <w:rsid w:val="002657C3"/>
    <w:rsid w:val="0026611E"/>
    <w:rsid w:val="0026627E"/>
    <w:rsid w:val="00266A78"/>
    <w:rsid w:val="00266C02"/>
    <w:rsid w:val="00266CC5"/>
    <w:rsid w:val="002677A9"/>
    <w:rsid w:val="00270B26"/>
    <w:rsid w:val="00271D6D"/>
    <w:rsid w:val="00272A57"/>
    <w:rsid w:val="00272DD6"/>
    <w:rsid w:val="00272DD8"/>
    <w:rsid w:val="0027315C"/>
    <w:rsid w:val="00273666"/>
    <w:rsid w:val="00274D0C"/>
    <w:rsid w:val="00275C4C"/>
    <w:rsid w:val="002761C2"/>
    <w:rsid w:val="00276518"/>
    <w:rsid w:val="00276854"/>
    <w:rsid w:val="00276911"/>
    <w:rsid w:val="00276E5B"/>
    <w:rsid w:val="002776BC"/>
    <w:rsid w:val="002806FF"/>
    <w:rsid w:val="0028072E"/>
    <w:rsid w:val="00280939"/>
    <w:rsid w:val="0028113F"/>
    <w:rsid w:val="00281484"/>
    <w:rsid w:val="00282D8C"/>
    <w:rsid w:val="00283DBC"/>
    <w:rsid w:val="00284758"/>
    <w:rsid w:val="00285A99"/>
    <w:rsid w:val="00286031"/>
    <w:rsid w:val="00286857"/>
    <w:rsid w:val="002906A4"/>
    <w:rsid w:val="00291A08"/>
    <w:rsid w:val="002920A8"/>
    <w:rsid w:val="00292553"/>
    <w:rsid w:val="00292558"/>
    <w:rsid w:val="00292833"/>
    <w:rsid w:val="00292AA3"/>
    <w:rsid w:val="0029335C"/>
    <w:rsid w:val="002937FB"/>
    <w:rsid w:val="002938F5"/>
    <w:rsid w:val="002946BD"/>
    <w:rsid w:val="002952D5"/>
    <w:rsid w:val="00295F88"/>
    <w:rsid w:val="00297251"/>
    <w:rsid w:val="0029747B"/>
    <w:rsid w:val="002A07D3"/>
    <w:rsid w:val="002A2451"/>
    <w:rsid w:val="002A33A8"/>
    <w:rsid w:val="002A3C2B"/>
    <w:rsid w:val="002A3DB5"/>
    <w:rsid w:val="002A4944"/>
    <w:rsid w:val="002A598B"/>
    <w:rsid w:val="002A5DD2"/>
    <w:rsid w:val="002A62EC"/>
    <w:rsid w:val="002A68AE"/>
    <w:rsid w:val="002B01FD"/>
    <w:rsid w:val="002B0589"/>
    <w:rsid w:val="002B1BAE"/>
    <w:rsid w:val="002B1F7B"/>
    <w:rsid w:val="002B1FCF"/>
    <w:rsid w:val="002B3ED6"/>
    <w:rsid w:val="002B3FA2"/>
    <w:rsid w:val="002B46CC"/>
    <w:rsid w:val="002B4A21"/>
    <w:rsid w:val="002B4B4C"/>
    <w:rsid w:val="002B4DC6"/>
    <w:rsid w:val="002B5298"/>
    <w:rsid w:val="002B556C"/>
    <w:rsid w:val="002B5B13"/>
    <w:rsid w:val="002B681D"/>
    <w:rsid w:val="002C1C42"/>
    <w:rsid w:val="002C1E38"/>
    <w:rsid w:val="002C2126"/>
    <w:rsid w:val="002C26E3"/>
    <w:rsid w:val="002C31C2"/>
    <w:rsid w:val="002C3457"/>
    <w:rsid w:val="002C393C"/>
    <w:rsid w:val="002C3FEE"/>
    <w:rsid w:val="002C431C"/>
    <w:rsid w:val="002C46BB"/>
    <w:rsid w:val="002C473E"/>
    <w:rsid w:val="002C4A09"/>
    <w:rsid w:val="002C510D"/>
    <w:rsid w:val="002C665A"/>
    <w:rsid w:val="002C72F3"/>
    <w:rsid w:val="002C7A72"/>
    <w:rsid w:val="002C7DC1"/>
    <w:rsid w:val="002D1189"/>
    <w:rsid w:val="002D1EA0"/>
    <w:rsid w:val="002D2553"/>
    <w:rsid w:val="002D2D9C"/>
    <w:rsid w:val="002D3CB8"/>
    <w:rsid w:val="002D4680"/>
    <w:rsid w:val="002D4FF8"/>
    <w:rsid w:val="002D50D6"/>
    <w:rsid w:val="002D580B"/>
    <w:rsid w:val="002D5B47"/>
    <w:rsid w:val="002D68A2"/>
    <w:rsid w:val="002D7855"/>
    <w:rsid w:val="002D7BEE"/>
    <w:rsid w:val="002E096F"/>
    <w:rsid w:val="002E1067"/>
    <w:rsid w:val="002E1EA0"/>
    <w:rsid w:val="002E2D86"/>
    <w:rsid w:val="002E36AC"/>
    <w:rsid w:val="002E3F25"/>
    <w:rsid w:val="002E4FD9"/>
    <w:rsid w:val="002E5E7D"/>
    <w:rsid w:val="002E6ABE"/>
    <w:rsid w:val="002F0685"/>
    <w:rsid w:val="002F06C9"/>
    <w:rsid w:val="002F1160"/>
    <w:rsid w:val="002F13BC"/>
    <w:rsid w:val="002F1F90"/>
    <w:rsid w:val="002F3403"/>
    <w:rsid w:val="002F3F94"/>
    <w:rsid w:val="002F40B3"/>
    <w:rsid w:val="002F526F"/>
    <w:rsid w:val="002F55CA"/>
    <w:rsid w:val="002F58B5"/>
    <w:rsid w:val="002F6E14"/>
    <w:rsid w:val="002F7B7B"/>
    <w:rsid w:val="00300477"/>
    <w:rsid w:val="00300F79"/>
    <w:rsid w:val="00302DBE"/>
    <w:rsid w:val="00304584"/>
    <w:rsid w:val="00304793"/>
    <w:rsid w:val="003047E7"/>
    <w:rsid w:val="003051B4"/>
    <w:rsid w:val="00305369"/>
    <w:rsid w:val="00305412"/>
    <w:rsid w:val="00306DBC"/>
    <w:rsid w:val="003070F1"/>
    <w:rsid w:val="00307F55"/>
    <w:rsid w:val="0031012A"/>
    <w:rsid w:val="00310835"/>
    <w:rsid w:val="00310B0A"/>
    <w:rsid w:val="0031156E"/>
    <w:rsid w:val="00311A79"/>
    <w:rsid w:val="00312472"/>
    <w:rsid w:val="00312785"/>
    <w:rsid w:val="00312A2C"/>
    <w:rsid w:val="00312A4E"/>
    <w:rsid w:val="00313469"/>
    <w:rsid w:val="00313539"/>
    <w:rsid w:val="00314C54"/>
    <w:rsid w:val="00316472"/>
    <w:rsid w:val="00317276"/>
    <w:rsid w:val="0031733F"/>
    <w:rsid w:val="0031748B"/>
    <w:rsid w:val="003179E4"/>
    <w:rsid w:val="00317BF9"/>
    <w:rsid w:val="00320350"/>
    <w:rsid w:val="00320FE0"/>
    <w:rsid w:val="003210F3"/>
    <w:rsid w:val="00321602"/>
    <w:rsid w:val="0032169F"/>
    <w:rsid w:val="00322C5C"/>
    <w:rsid w:val="00323170"/>
    <w:rsid w:val="00323392"/>
    <w:rsid w:val="0032363C"/>
    <w:rsid w:val="00323C2E"/>
    <w:rsid w:val="00323DE1"/>
    <w:rsid w:val="00324197"/>
    <w:rsid w:val="003245D3"/>
    <w:rsid w:val="00325071"/>
    <w:rsid w:val="003268D7"/>
    <w:rsid w:val="00327CAF"/>
    <w:rsid w:val="00327FE5"/>
    <w:rsid w:val="0033263D"/>
    <w:rsid w:val="0033291B"/>
    <w:rsid w:val="0033465D"/>
    <w:rsid w:val="00335274"/>
    <w:rsid w:val="00335A4E"/>
    <w:rsid w:val="00335C44"/>
    <w:rsid w:val="00336499"/>
    <w:rsid w:val="0033663B"/>
    <w:rsid w:val="00336E08"/>
    <w:rsid w:val="00336F6F"/>
    <w:rsid w:val="003370D6"/>
    <w:rsid w:val="0033724A"/>
    <w:rsid w:val="00337391"/>
    <w:rsid w:val="00337888"/>
    <w:rsid w:val="00341038"/>
    <w:rsid w:val="0034105F"/>
    <w:rsid w:val="00342973"/>
    <w:rsid w:val="0034346C"/>
    <w:rsid w:val="0034378E"/>
    <w:rsid w:val="0034422C"/>
    <w:rsid w:val="003442D9"/>
    <w:rsid w:val="00345AFD"/>
    <w:rsid w:val="00346311"/>
    <w:rsid w:val="00346627"/>
    <w:rsid w:val="00347111"/>
    <w:rsid w:val="003507E9"/>
    <w:rsid w:val="00350845"/>
    <w:rsid w:val="00351168"/>
    <w:rsid w:val="00352C9C"/>
    <w:rsid w:val="0035304D"/>
    <w:rsid w:val="00354BFD"/>
    <w:rsid w:val="00354D1F"/>
    <w:rsid w:val="00357A31"/>
    <w:rsid w:val="00357D07"/>
    <w:rsid w:val="00360F8B"/>
    <w:rsid w:val="00361C58"/>
    <w:rsid w:val="00361E31"/>
    <w:rsid w:val="00361FBE"/>
    <w:rsid w:val="003645B8"/>
    <w:rsid w:val="00364EDB"/>
    <w:rsid w:val="00365092"/>
    <w:rsid w:val="003656A7"/>
    <w:rsid w:val="00365C24"/>
    <w:rsid w:val="003662F1"/>
    <w:rsid w:val="00366589"/>
    <w:rsid w:val="00366A50"/>
    <w:rsid w:val="00366F4D"/>
    <w:rsid w:val="0036711D"/>
    <w:rsid w:val="00367305"/>
    <w:rsid w:val="0036751A"/>
    <w:rsid w:val="003679CE"/>
    <w:rsid w:val="00370103"/>
    <w:rsid w:val="003712D6"/>
    <w:rsid w:val="00371710"/>
    <w:rsid w:val="003724C8"/>
    <w:rsid w:val="003730BD"/>
    <w:rsid w:val="00373967"/>
    <w:rsid w:val="00373A5F"/>
    <w:rsid w:val="00374CE2"/>
    <w:rsid w:val="003752B6"/>
    <w:rsid w:val="00376004"/>
    <w:rsid w:val="0037647A"/>
    <w:rsid w:val="00376480"/>
    <w:rsid w:val="00376771"/>
    <w:rsid w:val="0037765D"/>
    <w:rsid w:val="00380C91"/>
    <w:rsid w:val="0038131A"/>
    <w:rsid w:val="003817B3"/>
    <w:rsid w:val="00382270"/>
    <w:rsid w:val="003836E1"/>
    <w:rsid w:val="00384748"/>
    <w:rsid w:val="003849E1"/>
    <w:rsid w:val="00385431"/>
    <w:rsid w:val="00385743"/>
    <w:rsid w:val="00386D12"/>
    <w:rsid w:val="003874DC"/>
    <w:rsid w:val="00387AE4"/>
    <w:rsid w:val="003902AC"/>
    <w:rsid w:val="003902B7"/>
    <w:rsid w:val="003902FB"/>
    <w:rsid w:val="00390444"/>
    <w:rsid w:val="00390561"/>
    <w:rsid w:val="00390851"/>
    <w:rsid w:val="0039109A"/>
    <w:rsid w:val="003914FA"/>
    <w:rsid w:val="00393655"/>
    <w:rsid w:val="003938AF"/>
    <w:rsid w:val="00393F06"/>
    <w:rsid w:val="0039555E"/>
    <w:rsid w:val="003962F0"/>
    <w:rsid w:val="00396661"/>
    <w:rsid w:val="00397D5A"/>
    <w:rsid w:val="00397F9A"/>
    <w:rsid w:val="003A06BF"/>
    <w:rsid w:val="003A082D"/>
    <w:rsid w:val="003A0FC6"/>
    <w:rsid w:val="003A17C6"/>
    <w:rsid w:val="003A1EDA"/>
    <w:rsid w:val="003A2A79"/>
    <w:rsid w:val="003A2D64"/>
    <w:rsid w:val="003A3081"/>
    <w:rsid w:val="003A4135"/>
    <w:rsid w:val="003A5055"/>
    <w:rsid w:val="003A516D"/>
    <w:rsid w:val="003A5641"/>
    <w:rsid w:val="003A583B"/>
    <w:rsid w:val="003A67B2"/>
    <w:rsid w:val="003A6902"/>
    <w:rsid w:val="003A7F64"/>
    <w:rsid w:val="003B014F"/>
    <w:rsid w:val="003B044F"/>
    <w:rsid w:val="003B0B28"/>
    <w:rsid w:val="003B0EE9"/>
    <w:rsid w:val="003B24E8"/>
    <w:rsid w:val="003B2521"/>
    <w:rsid w:val="003B37EF"/>
    <w:rsid w:val="003B3A38"/>
    <w:rsid w:val="003B3A52"/>
    <w:rsid w:val="003B478F"/>
    <w:rsid w:val="003B5078"/>
    <w:rsid w:val="003B6CEF"/>
    <w:rsid w:val="003B7665"/>
    <w:rsid w:val="003B794B"/>
    <w:rsid w:val="003C0CEC"/>
    <w:rsid w:val="003C1120"/>
    <w:rsid w:val="003C1999"/>
    <w:rsid w:val="003C1A2D"/>
    <w:rsid w:val="003C31B3"/>
    <w:rsid w:val="003C34EC"/>
    <w:rsid w:val="003C356F"/>
    <w:rsid w:val="003C3686"/>
    <w:rsid w:val="003C3AD5"/>
    <w:rsid w:val="003C46AB"/>
    <w:rsid w:val="003C4D36"/>
    <w:rsid w:val="003C594F"/>
    <w:rsid w:val="003C5C2A"/>
    <w:rsid w:val="003C6E83"/>
    <w:rsid w:val="003C79BE"/>
    <w:rsid w:val="003D073B"/>
    <w:rsid w:val="003D1CD9"/>
    <w:rsid w:val="003D24D6"/>
    <w:rsid w:val="003D2AE9"/>
    <w:rsid w:val="003D402A"/>
    <w:rsid w:val="003D4BFD"/>
    <w:rsid w:val="003D4F06"/>
    <w:rsid w:val="003D68AB"/>
    <w:rsid w:val="003D7AC8"/>
    <w:rsid w:val="003D7B40"/>
    <w:rsid w:val="003E0D0F"/>
    <w:rsid w:val="003E1888"/>
    <w:rsid w:val="003E3DE0"/>
    <w:rsid w:val="003E499D"/>
    <w:rsid w:val="003E4D7B"/>
    <w:rsid w:val="003E50E1"/>
    <w:rsid w:val="003E5215"/>
    <w:rsid w:val="003E524C"/>
    <w:rsid w:val="003E5B90"/>
    <w:rsid w:val="003E6D15"/>
    <w:rsid w:val="003E6FE6"/>
    <w:rsid w:val="003E70B9"/>
    <w:rsid w:val="003E711B"/>
    <w:rsid w:val="003E74F7"/>
    <w:rsid w:val="003E76BE"/>
    <w:rsid w:val="003F07B6"/>
    <w:rsid w:val="003F09D8"/>
    <w:rsid w:val="003F11DF"/>
    <w:rsid w:val="003F12FB"/>
    <w:rsid w:val="003F1864"/>
    <w:rsid w:val="003F1C89"/>
    <w:rsid w:val="003F1D3F"/>
    <w:rsid w:val="003F1F98"/>
    <w:rsid w:val="003F3312"/>
    <w:rsid w:val="003F4D08"/>
    <w:rsid w:val="003F5392"/>
    <w:rsid w:val="003F5C06"/>
    <w:rsid w:val="003F5D26"/>
    <w:rsid w:val="003F5E53"/>
    <w:rsid w:val="003F5FAB"/>
    <w:rsid w:val="003F66F5"/>
    <w:rsid w:val="003F6EF1"/>
    <w:rsid w:val="003F6F0B"/>
    <w:rsid w:val="003F6F7E"/>
    <w:rsid w:val="003F7CD9"/>
    <w:rsid w:val="004004A9"/>
    <w:rsid w:val="00401A5E"/>
    <w:rsid w:val="00402835"/>
    <w:rsid w:val="004036D4"/>
    <w:rsid w:val="004037CC"/>
    <w:rsid w:val="00403D84"/>
    <w:rsid w:val="00403E71"/>
    <w:rsid w:val="00404FFF"/>
    <w:rsid w:val="00406F51"/>
    <w:rsid w:val="00407DE5"/>
    <w:rsid w:val="004101C2"/>
    <w:rsid w:val="0041038A"/>
    <w:rsid w:val="00412203"/>
    <w:rsid w:val="00412CF6"/>
    <w:rsid w:val="00413FA9"/>
    <w:rsid w:val="004142CB"/>
    <w:rsid w:val="004145E0"/>
    <w:rsid w:val="0041468C"/>
    <w:rsid w:val="00414706"/>
    <w:rsid w:val="00415BFA"/>
    <w:rsid w:val="00415F69"/>
    <w:rsid w:val="00416421"/>
    <w:rsid w:val="00416997"/>
    <w:rsid w:val="00416EF8"/>
    <w:rsid w:val="00417AE2"/>
    <w:rsid w:val="00421A67"/>
    <w:rsid w:val="00421F7A"/>
    <w:rsid w:val="004220BE"/>
    <w:rsid w:val="00423DB5"/>
    <w:rsid w:val="00425249"/>
    <w:rsid w:val="0042555B"/>
    <w:rsid w:val="00425DDE"/>
    <w:rsid w:val="00430063"/>
    <w:rsid w:val="00431042"/>
    <w:rsid w:val="00431504"/>
    <w:rsid w:val="00432908"/>
    <w:rsid w:val="00432E09"/>
    <w:rsid w:val="00433299"/>
    <w:rsid w:val="0043362D"/>
    <w:rsid w:val="00433A99"/>
    <w:rsid w:val="00434263"/>
    <w:rsid w:val="0043430C"/>
    <w:rsid w:val="004348D6"/>
    <w:rsid w:val="00434C44"/>
    <w:rsid w:val="00436B3A"/>
    <w:rsid w:val="00437A50"/>
    <w:rsid w:val="00440712"/>
    <w:rsid w:val="004407B0"/>
    <w:rsid w:val="00441126"/>
    <w:rsid w:val="00442071"/>
    <w:rsid w:val="00442243"/>
    <w:rsid w:val="004424C2"/>
    <w:rsid w:val="004434D1"/>
    <w:rsid w:val="004443DB"/>
    <w:rsid w:val="00444478"/>
    <w:rsid w:val="0044561B"/>
    <w:rsid w:val="00445B89"/>
    <w:rsid w:val="00446986"/>
    <w:rsid w:val="00447011"/>
    <w:rsid w:val="00447F78"/>
    <w:rsid w:val="004509DA"/>
    <w:rsid w:val="00450A96"/>
    <w:rsid w:val="00451772"/>
    <w:rsid w:val="00452EE2"/>
    <w:rsid w:val="00453117"/>
    <w:rsid w:val="00454775"/>
    <w:rsid w:val="0045582A"/>
    <w:rsid w:val="00455DBA"/>
    <w:rsid w:val="004569D8"/>
    <w:rsid w:val="00457D43"/>
    <w:rsid w:val="00457E13"/>
    <w:rsid w:val="004600C4"/>
    <w:rsid w:val="00460D45"/>
    <w:rsid w:val="00461C9E"/>
    <w:rsid w:val="004623D3"/>
    <w:rsid w:val="004636AB"/>
    <w:rsid w:val="004639B2"/>
    <w:rsid w:val="00463B34"/>
    <w:rsid w:val="00465B50"/>
    <w:rsid w:val="00465C48"/>
    <w:rsid w:val="00465EB8"/>
    <w:rsid w:val="004670EB"/>
    <w:rsid w:val="0046721D"/>
    <w:rsid w:val="004672D7"/>
    <w:rsid w:val="00467651"/>
    <w:rsid w:val="004677A5"/>
    <w:rsid w:val="00467DC3"/>
    <w:rsid w:val="0047089B"/>
    <w:rsid w:val="00470CEB"/>
    <w:rsid w:val="00470F7B"/>
    <w:rsid w:val="00471E9C"/>
    <w:rsid w:val="00472E84"/>
    <w:rsid w:val="00473BC1"/>
    <w:rsid w:val="00474E7F"/>
    <w:rsid w:val="00475AD3"/>
    <w:rsid w:val="00475C42"/>
    <w:rsid w:val="00475D3D"/>
    <w:rsid w:val="00476200"/>
    <w:rsid w:val="00476F76"/>
    <w:rsid w:val="00480642"/>
    <w:rsid w:val="00480C0D"/>
    <w:rsid w:val="0048102A"/>
    <w:rsid w:val="004812AA"/>
    <w:rsid w:val="00482395"/>
    <w:rsid w:val="004831C3"/>
    <w:rsid w:val="00484545"/>
    <w:rsid w:val="00484809"/>
    <w:rsid w:val="004859BB"/>
    <w:rsid w:val="00486251"/>
    <w:rsid w:val="0048680C"/>
    <w:rsid w:val="0048796A"/>
    <w:rsid w:val="00487EF9"/>
    <w:rsid w:val="00490155"/>
    <w:rsid w:val="00490629"/>
    <w:rsid w:val="00490B34"/>
    <w:rsid w:val="0049475D"/>
    <w:rsid w:val="004947E2"/>
    <w:rsid w:val="00494C34"/>
    <w:rsid w:val="00494F33"/>
    <w:rsid w:val="004954CE"/>
    <w:rsid w:val="004966D8"/>
    <w:rsid w:val="004971AF"/>
    <w:rsid w:val="00497214"/>
    <w:rsid w:val="004A0635"/>
    <w:rsid w:val="004A16C0"/>
    <w:rsid w:val="004A267F"/>
    <w:rsid w:val="004A3D97"/>
    <w:rsid w:val="004A4A6C"/>
    <w:rsid w:val="004A538B"/>
    <w:rsid w:val="004A676E"/>
    <w:rsid w:val="004A6B9F"/>
    <w:rsid w:val="004A71B6"/>
    <w:rsid w:val="004B01E1"/>
    <w:rsid w:val="004B1197"/>
    <w:rsid w:val="004B2C58"/>
    <w:rsid w:val="004B37EA"/>
    <w:rsid w:val="004B3804"/>
    <w:rsid w:val="004B3885"/>
    <w:rsid w:val="004B3A6D"/>
    <w:rsid w:val="004B4737"/>
    <w:rsid w:val="004B4860"/>
    <w:rsid w:val="004B52D0"/>
    <w:rsid w:val="004B55F1"/>
    <w:rsid w:val="004B5B57"/>
    <w:rsid w:val="004B5FCB"/>
    <w:rsid w:val="004B64CC"/>
    <w:rsid w:val="004B67CE"/>
    <w:rsid w:val="004B6DAD"/>
    <w:rsid w:val="004B6FA0"/>
    <w:rsid w:val="004C0247"/>
    <w:rsid w:val="004C171A"/>
    <w:rsid w:val="004C2D54"/>
    <w:rsid w:val="004C3CBE"/>
    <w:rsid w:val="004C3CE4"/>
    <w:rsid w:val="004C4274"/>
    <w:rsid w:val="004C7281"/>
    <w:rsid w:val="004C7C97"/>
    <w:rsid w:val="004D0092"/>
    <w:rsid w:val="004D0111"/>
    <w:rsid w:val="004D084D"/>
    <w:rsid w:val="004D2867"/>
    <w:rsid w:val="004D35EC"/>
    <w:rsid w:val="004D3876"/>
    <w:rsid w:val="004D4BAA"/>
    <w:rsid w:val="004D4C2F"/>
    <w:rsid w:val="004D4E85"/>
    <w:rsid w:val="004D60C7"/>
    <w:rsid w:val="004D6958"/>
    <w:rsid w:val="004E1511"/>
    <w:rsid w:val="004E1A94"/>
    <w:rsid w:val="004E29A8"/>
    <w:rsid w:val="004E2ADA"/>
    <w:rsid w:val="004E38CE"/>
    <w:rsid w:val="004E3ED9"/>
    <w:rsid w:val="004E3F4A"/>
    <w:rsid w:val="004E4BB1"/>
    <w:rsid w:val="004E50C1"/>
    <w:rsid w:val="004E5638"/>
    <w:rsid w:val="004E56B5"/>
    <w:rsid w:val="004E5C10"/>
    <w:rsid w:val="004E72D5"/>
    <w:rsid w:val="004E7710"/>
    <w:rsid w:val="004F0E84"/>
    <w:rsid w:val="004F0FE1"/>
    <w:rsid w:val="004F121E"/>
    <w:rsid w:val="004F22CD"/>
    <w:rsid w:val="004F3AC9"/>
    <w:rsid w:val="004F5EF4"/>
    <w:rsid w:val="004F6B78"/>
    <w:rsid w:val="004F763F"/>
    <w:rsid w:val="004F7F26"/>
    <w:rsid w:val="005000DE"/>
    <w:rsid w:val="005001C4"/>
    <w:rsid w:val="005005F8"/>
    <w:rsid w:val="00500E96"/>
    <w:rsid w:val="0050100C"/>
    <w:rsid w:val="005021B9"/>
    <w:rsid w:val="00503712"/>
    <w:rsid w:val="005042C2"/>
    <w:rsid w:val="00505232"/>
    <w:rsid w:val="00505EA4"/>
    <w:rsid w:val="00505F7D"/>
    <w:rsid w:val="00506F31"/>
    <w:rsid w:val="00507E29"/>
    <w:rsid w:val="00510E72"/>
    <w:rsid w:val="0051119F"/>
    <w:rsid w:val="00511CFB"/>
    <w:rsid w:val="005132F6"/>
    <w:rsid w:val="00514C16"/>
    <w:rsid w:val="0051595C"/>
    <w:rsid w:val="00515B45"/>
    <w:rsid w:val="0051644E"/>
    <w:rsid w:val="0051646E"/>
    <w:rsid w:val="005174E7"/>
    <w:rsid w:val="00517C0C"/>
    <w:rsid w:val="00520913"/>
    <w:rsid w:val="005213F6"/>
    <w:rsid w:val="00521621"/>
    <w:rsid w:val="00521C2D"/>
    <w:rsid w:val="00522893"/>
    <w:rsid w:val="00523B2B"/>
    <w:rsid w:val="00523D61"/>
    <w:rsid w:val="00523D8F"/>
    <w:rsid w:val="00523ED3"/>
    <w:rsid w:val="00524818"/>
    <w:rsid w:val="005255AF"/>
    <w:rsid w:val="005256DB"/>
    <w:rsid w:val="00526122"/>
    <w:rsid w:val="0052626E"/>
    <w:rsid w:val="0052644A"/>
    <w:rsid w:val="00526794"/>
    <w:rsid w:val="00527A5D"/>
    <w:rsid w:val="005304C3"/>
    <w:rsid w:val="00531185"/>
    <w:rsid w:val="0053380C"/>
    <w:rsid w:val="00533C5A"/>
    <w:rsid w:val="00533CAC"/>
    <w:rsid w:val="005344EF"/>
    <w:rsid w:val="00536F68"/>
    <w:rsid w:val="005373B7"/>
    <w:rsid w:val="005373E7"/>
    <w:rsid w:val="00537403"/>
    <w:rsid w:val="00537423"/>
    <w:rsid w:val="00537ADE"/>
    <w:rsid w:val="005415C7"/>
    <w:rsid w:val="00542C03"/>
    <w:rsid w:val="00543671"/>
    <w:rsid w:val="005439C2"/>
    <w:rsid w:val="00543B55"/>
    <w:rsid w:val="005445E0"/>
    <w:rsid w:val="0054576E"/>
    <w:rsid w:val="00546498"/>
    <w:rsid w:val="0054699E"/>
    <w:rsid w:val="00547F88"/>
    <w:rsid w:val="00550EE7"/>
    <w:rsid w:val="0055123E"/>
    <w:rsid w:val="00551CA2"/>
    <w:rsid w:val="00551D58"/>
    <w:rsid w:val="0055237F"/>
    <w:rsid w:val="0055250D"/>
    <w:rsid w:val="00552761"/>
    <w:rsid w:val="00552AC7"/>
    <w:rsid w:val="00552CC4"/>
    <w:rsid w:val="005531B7"/>
    <w:rsid w:val="00553819"/>
    <w:rsid w:val="00554749"/>
    <w:rsid w:val="0055488B"/>
    <w:rsid w:val="005572FD"/>
    <w:rsid w:val="005575A7"/>
    <w:rsid w:val="00557A9F"/>
    <w:rsid w:val="00557C8E"/>
    <w:rsid w:val="00557EC3"/>
    <w:rsid w:val="0056031B"/>
    <w:rsid w:val="005607D2"/>
    <w:rsid w:val="00560CC1"/>
    <w:rsid w:val="00560CD8"/>
    <w:rsid w:val="00560D7F"/>
    <w:rsid w:val="005622D9"/>
    <w:rsid w:val="0056501C"/>
    <w:rsid w:val="005653A4"/>
    <w:rsid w:val="005656B9"/>
    <w:rsid w:val="0056604E"/>
    <w:rsid w:val="005664FC"/>
    <w:rsid w:val="005665C8"/>
    <w:rsid w:val="005667F5"/>
    <w:rsid w:val="00566CFC"/>
    <w:rsid w:val="00567329"/>
    <w:rsid w:val="005674C3"/>
    <w:rsid w:val="00570BCB"/>
    <w:rsid w:val="00570FB0"/>
    <w:rsid w:val="00571FA6"/>
    <w:rsid w:val="005728E3"/>
    <w:rsid w:val="00572BE2"/>
    <w:rsid w:val="00573F39"/>
    <w:rsid w:val="0057442A"/>
    <w:rsid w:val="00575219"/>
    <w:rsid w:val="005766DB"/>
    <w:rsid w:val="0058147E"/>
    <w:rsid w:val="00581653"/>
    <w:rsid w:val="00581705"/>
    <w:rsid w:val="00582195"/>
    <w:rsid w:val="00582A49"/>
    <w:rsid w:val="0058329D"/>
    <w:rsid w:val="00583D67"/>
    <w:rsid w:val="00583F7A"/>
    <w:rsid w:val="005842F5"/>
    <w:rsid w:val="00584B68"/>
    <w:rsid w:val="00584F8E"/>
    <w:rsid w:val="005870CF"/>
    <w:rsid w:val="00587245"/>
    <w:rsid w:val="0058741D"/>
    <w:rsid w:val="00587879"/>
    <w:rsid w:val="00587CED"/>
    <w:rsid w:val="005902B9"/>
    <w:rsid w:val="00590EC8"/>
    <w:rsid w:val="005914A1"/>
    <w:rsid w:val="00591FEB"/>
    <w:rsid w:val="005921D6"/>
    <w:rsid w:val="00592404"/>
    <w:rsid w:val="00594156"/>
    <w:rsid w:val="00594234"/>
    <w:rsid w:val="00594F38"/>
    <w:rsid w:val="005963FD"/>
    <w:rsid w:val="0059771D"/>
    <w:rsid w:val="0059776B"/>
    <w:rsid w:val="005A273E"/>
    <w:rsid w:val="005A2A33"/>
    <w:rsid w:val="005A2CD4"/>
    <w:rsid w:val="005A2E7A"/>
    <w:rsid w:val="005A2FF4"/>
    <w:rsid w:val="005A5744"/>
    <w:rsid w:val="005A6006"/>
    <w:rsid w:val="005A76FD"/>
    <w:rsid w:val="005B0440"/>
    <w:rsid w:val="005B0576"/>
    <w:rsid w:val="005B08EE"/>
    <w:rsid w:val="005B0B4C"/>
    <w:rsid w:val="005B0E29"/>
    <w:rsid w:val="005B1D49"/>
    <w:rsid w:val="005B25AE"/>
    <w:rsid w:val="005B3DD9"/>
    <w:rsid w:val="005B4BF2"/>
    <w:rsid w:val="005B5317"/>
    <w:rsid w:val="005B564F"/>
    <w:rsid w:val="005B5BC1"/>
    <w:rsid w:val="005B68EC"/>
    <w:rsid w:val="005B6AB6"/>
    <w:rsid w:val="005B731E"/>
    <w:rsid w:val="005B74DC"/>
    <w:rsid w:val="005B7DED"/>
    <w:rsid w:val="005C07FD"/>
    <w:rsid w:val="005C1DC4"/>
    <w:rsid w:val="005C20F1"/>
    <w:rsid w:val="005C2158"/>
    <w:rsid w:val="005C22DA"/>
    <w:rsid w:val="005C4724"/>
    <w:rsid w:val="005C47B8"/>
    <w:rsid w:val="005C5B9C"/>
    <w:rsid w:val="005C6DE8"/>
    <w:rsid w:val="005C7C55"/>
    <w:rsid w:val="005D2171"/>
    <w:rsid w:val="005D22D1"/>
    <w:rsid w:val="005D23E8"/>
    <w:rsid w:val="005D2D96"/>
    <w:rsid w:val="005D44A8"/>
    <w:rsid w:val="005D59A8"/>
    <w:rsid w:val="005D5E71"/>
    <w:rsid w:val="005D6392"/>
    <w:rsid w:val="005D65AE"/>
    <w:rsid w:val="005D7320"/>
    <w:rsid w:val="005D7463"/>
    <w:rsid w:val="005D7BDD"/>
    <w:rsid w:val="005D7D43"/>
    <w:rsid w:val="005E3A9B"/>
    <w:rsid w:val="005E48A0"/>
    <w:rsid w:val="005E4B49"/>
    <w:rsid w:val="005E5241"/>
    <w:rsid w:val="005E5B1D"/>
    <w:rsid w:val="005E6377"/>
    <w:rsid w:val="005E750B"/>
    <w:rsid w:val="005E7CEA"/>
    <w:rsid w:val="005F023A"/>
    <w:rsid w:val="005F02AF"/>
    <w:rsid w:val="005F1719"/>
    <w:rsid w:val="005F2817"/>
    <w:rsid w:val="005F3812"/>
    <w:rsid w:val="005F4451"/>
    <w:rsid w:val="005F4590"/>
    <w:rsid w:val="005F52CE"/>
    <w:rsid w:val="005F6C87"/>
    <w:rsid w:val="005F73C2"/>
    <w:rsid w:val="005F7AE0"/>
    <w:rsid w:val="0060019F"/>
    <w:rsid w:val="006002B9"/>
    <w:rsid w:val="00600D7E"/>
    <w:rsid w:val="00603094"/>
    <w:rsid w:val="00603466"/>
    <w:rsid w:val="006036D2"/>
    <w:rsid w:val="0060464E"/>
    <w:rsid w:val="006053CD"/>
    <w:rsid w:val="00605FC0"/>
    <w:rsid w:val="0060648C"/>
    <w:rsid w:val="00606E1F"/>
    <w:rsid w:val="00606F85"/>
    <w:rsid w:val="0060747B"/>
    <w:rsid w:val="00607EFD"/>
    <w:rsid w:val="006100B4"/>
    <w:rsid w:val="00610A23"/>
    <w:rsid w:val="00611F3F"/>
    <w:rsid w:val="00612A1B"/>
    <w:rsid w:val="00613C0E"/>
    <w:rsid w:val="00613C3B"/>
    <w:rsid w:val="006147EE"/>
    <w:rsid w:val="00615E0A"/>
    <w:rsid w:val="00617A3C"/>
    <w:rsid w:val="00620134"/>
    <w:rsid w:val="0062046F"/>
    <w:rsid w:val="0062061E"/>
    <w:rsid w:val="00620A19"/>
    <w:rsid w:val="00621934"/>
    <w:rsid w:val="006252E0"/>
    <w:rsid w:val="006262F0"/>
    <w:rsid w:val="00627B57"/>
    <w:rsid w:val="0063181F"/>
    <w:rsid w:val="00631A90"/>
    <w:rsid w:val="00631AAA"/>
    <w:rsid w:val="006323AE"/>
    <w:rsid w:val="00632774"/>
    <w:rsid w:val="00634210"/>
    <w:rsid w:val="00634487"/>
    <w:rsid w:val="00635516"/>
    <w:rsid w:val="0063631E"/>
    <w:rsid w:val="00636C1C"/>
    <w:rsid w:val="00637E77"/>
    <w:rsid w:val="00640027"/>
    <w:rsid w:val="00640572"/>
    <w:rsid w:val="00642485"/>
    <w:rsid w:val="006424A1"/>
    <w:rsid w:val="006429BB"/>
    <w:rsid w:val="00642B9D"/>
    <w:rsid w:val="006434A5"/>
    <w:rsid w:val="00643EB1"/>
    <w:rsid w:val="00644728"/>
    <w:rsid w:val="00644F30"/>
    <w:rsid w:val="00645B64"/>
    <w:rsid w:val="00647037"/>
    <w:rsid w:val="006528C5"/>
    <w:rsid w:val="00652F6A"/>
    <w:rsid w:val="006540AA"/>
    <w:rsid w:val="00654470"/>
    <w:rsid w:val="00655712"/>
    <w:rsid w:val="006568CA"/>
    <w:rsid w:val="006570EB"/>
    <w:rsid w:val="00657192"/>
    <w:rsid w:val="006571BE"/>
    <w:rsid w:val="00660474"/>
    <w:rsid w:val="00660A24"/>
    <w:rsid w:val="00660B52"/>
    <w:rsid w:val="006614A1"/>
    <w:rsid w:val="0066206F"/>
    <w:rsid w:val="00662406"/>
    <w:rsid w:val="00662DE2"/>
    <w:rsid w:val="006633BC"/>
    <w:rsid w:val="006640EE"/>
    <w:rsid w:val="006646B8"/>
    <w:rsid w:val="006651AD"/>
    <w:rsid w:val="00666B51"/>
    <w:rsid w:val="00670A54"/>
    <w:rsid w:val="00671103"/>
    <w:rsid w:val="00672426"/>
    <w:rsid w:val="006724A5"/>
    <w:rsid w:val="006726E6"/>
    <w:rsid w:val="00673A1B"/>
    <w:rsid w:val="0067431C"/>
    <w:rsid w:val="006745F3"/>
    <w:rsid w:val="0067485E"/>
    <w:rsid w:val="00674E6A"/>
    <w:rsid w:val="0067613C"/>
    <w:rsid w:val="00676334"/>
    <w:rsid w:val="00677844"/>
    <w:rsid w:val="00677C11"/>
    <w:rsid w:val="00677EED"/>
    <w:rsid w:val="006800C4"/>
    <w:rsid w:val="006803FE"/>
    <w:rsid w:val="0068073D"/>
    <w:rsid w:val="006815BE"/>
    <w:rsid w:val="006815CA"/>
    <w:rsid w:val="006829A7"/>
    <w:rsid w:val="00682CFC"/>
    <w:rsid w:val="00682D26"/>
    <w:rsid w:val="00683581"/>
    <w:rsid w:val="00683E8D"/>
    <w:rsid w:val="006844CE"/>
    <w:rsid w:val="00684B8B"/>
    <w:rsid w:val="00684C34"/>
    <w:rsid w:val="00685431"/>
    <w:rsid w:val="0068578F"/>
    <w:rsid w:val="006864ED"/>
    <w:rsid w:val="00686767"/>
    <w:rsid w:val="006867A3"/>
    <w:rsid w:val="00687269"/>
    <w:rsid w:val="00687A8B"/>
    <w:rsid w:val="00690BF1"/>
    <w:rsid w:val="0069161F"/>
    <w:rsid w:val="00691717"/>
    <w:rsid w:val="00692ECD"/>
    <w:rsid w:val="00694570"/>
    <w:rsid w:val="006949FC"/>
    <w:rsid w:val="006965BF"/>
    <w:rsid w:val="0069662C"/>
    <w:rsid w:val="006A044B"/>
    <w:rsid w:val="006A194D"/>
    <w:rsid w:val="006A2825"/>
    <w:rsid w:val="006A3A2F"/>
    <w:rsid w:val="006A3AA8"/>
    <w:rsid w:val="006A3BD7"/>
    <w:rsid w:val="006A3FA9"/>
    <w:rsid w:val="006A43C7"/>
    <w:rsid w:val="006A5012"/>
    <w:rsid w:val="006A54D0"/>
    <w:rsid w:val="006A54FA"/>
    <w:rsid w:val="006A57EE"/>
    <w:rsid w:val="006A725A"/>
    <w:rsid w:val="006B0715"/>
    <w:rsid w:val="006B072C"/>
    <w:rsid w:val="006B0AFF"/>
    <w:rsid w:val="006B0CAD"/>
    <w:rsid w:val="006B1D1E"/>
    <w:rsid w:val="006B2065"/>
    <w:rsid w:val="006B304B"/>
    <w:rsid w:val="006B5891"/>
    <w:rsid w:val="006B5973"/>
    <w:rsid w:val="006B5D86"/>
    <w:rsid w:val="006B63E5"/>
    <w:rsid w:val="006B69C4"/>
    <w:rsid w:val="006B6D0F"/>
    <w:rsid w:val="006B6E3A"/>
    <w:rsid w:val="006B7403"/>
    <w:rsid w:val="006C0190"/>
    <w:rsid w:val="006C0AA4"/>
    <w:rsid w:val="006C1D80"/>
    <w:rsid w:val="006C22BE"/>
    <w:rsid w:val="006C2576"/>
    <w:rsid w:val="006C2CEB"/>
    <w:rsid w:val="006C3248"/>
    <w:rsid w:val="006C3D07"/>
    <w:rsid w:val="006C4046"/>
    <w:rsid w:val="006C65FE"/>
    <w:rsid w:val="006C7039"/>
    <w:rsid w:val="006C78C0"/>
    <w:rsid w:val="006C78FD"/>
    <w:rsid w:val="006D0129"/>
    <w:rsid w:val="006D0383"/>
    <w:rsid w:val="006D0F1E"/>
    <w:rsid w:val="006D23F1"/>
    <w:rsid w:val="006D2DD4"/>
    <w:rsid w:val="006D3EA8"/>
    <w:rsid w:val="006D44BA"/>
    <w:rsid w:val="006D6384"/>
    <w:rsid w:val="006D71BF"/>
    <w:rsid w:val="006D74CB"/>
    <w:rsid w:val="006E1DD8"/>
    <w:rsid w:val="006E34E2"/>
    <w:rsid w:val="006E3B07"/>
    <w:rsid w:val="006E3B29"/>
    <w:rsid w:val="006E43A0"/>
    <w:rsid w:val="006E45CE"/>
    <w:rsid w:val="006E4B48"/>
    <w:rsid w:val="006E5756"/>
    <w:rsid w:val="006E5C8D"/>
    <w:rsid w:val="006E6DED"/>
    <w:rsid w:val="006E702C"/>
    <w:rsid w:val="006E7639"/>
    <w:rsid w:val="006E7AD9"/>
    <w:rsid w:val="006E7FC8"/>
    <w:rsid w:val="006F03C8"/>
    <w:rsid w:val="006F0A19"/>
    <w:rsid w:val="006F0F83"/>
    <w:rsid w:val="006F1CEC"/>
    <w:rsid w:val="006F201F"/>
    <w:rsid w:val="006F25F5"/>
    <w:rsid w:val="006F371F"/>
    <w:rsid w:val="006F4B62"/>
    <w:rsid w:val="006F5124"/>
    <w:rsid w:val="006F5285"/>
    <w:rsid w:val="006F5942"/>
    <w:rsid w:val="006F63D2"/>
    <w:rsid w:val="006F6BBC"/>
    <w:rsid w:val="006F72C9"/>
    <w:rsid w:val="00700509"/>
    <w:rsid w:val="00700803"/>
    <w:rsid w:val="00700FF9"/>
    <w:rsid w:val="0070162F"/>
    <w:rsid w:val="00702273"/>
    <w:rsid w:val="007031A8"/>
    <w:rsid w:val="007042A3"/>
    <w:rsid w:val="00704315"/>
    <w:rsid w:val="00704B0B"/>
    <w:rsid w:val="00704DD3"/>
    <w:rsid w:val="00705171"/>
    <w:rsid w:val="0070547D"/>
    <w:rsid w:val="007060FF"/>
    <w:rsid w:val="00706C2D"/>
    <w:rsid w:val="00707258"/>
    <w:rsid w:val="0070758F"/>
    <w:rsid w:val="00707F9E"/>
    <w:rsid w:val="00710B18"/>
    <w:rsid w:val="00711EFA"/>
    <w:rsid w:val="007123EC"/>
    <w:rsid w:val="0071250A"/>
    <w:rsid w:val="00712AEF"/>
    <w:rsid w:val="0071380D"/>
    <w:rsid w:val="0071386C"/>
    <w:rsid w:val="007142C6"/>
    <w:rsid w:val="00715834"/>
    <w:rsid w:val="007159EF"/>
    <w:rsid w:val="007170EB"/>
    <w:rsid w:val="00717466"/>
    <w:rsid w:val="007178AE"/>
    <w:rsid w:val="00717C15"/>
    <w:rsid w:val="00720138"/>
    <w:rsid w:val="007211A2"/>
    <w:rsid w:val="00721CA9"/>
    <w:rsid w:val="00723A70"/>
    <w:rsid w:val="00723BD6"/>
    <w:rsid w:val="00723D39"/>
    <w:rsid w:val="007242E8"/>
    <w:rsid w:val="00724637"/>
    <w:rsid w:val="0072593C"/>
    <w:rsid w:val="00726523"/>
    <w:rsid w:val="00726AB8"/>
    <w:rsid w:val="007272C0"/>
    <w:rsid w:val="00730E23"/>
    <w:rsid w:val="00731E43"/>
    <w:rsid w:val="007320E2"/>
    <w:rsid w:val="00733A24"/>
    <w:rsid w:val="00735361"/>
    <w:rsid w:val="0073586B"/>
    <w:rsid w:val="00735990"/>
    <w:rsid w:val="00737585"/>
    <w:rsid w:val="0073787C"/>
    <w:rsid w:val="0074024A"/>
    <w:rsid w:val="007415D4"/>
    <w:rsid w:val="00742514"/>
    <w:rsid w:val="00743CDA"/>
    <w:rsid w:val="00744E86"/>
    <w:rsid w:val="007460CB"/>
    <w:rsid w:val="007465EF"/>
    <w:rsid w:val="0074697F"/>
    <w:rsid w:val="00746E97"/>
    <w:rsid w:val="007477C6"/>
    <w:rsid w:val="0075012C"/>
    <w:rsid w:val="00750A97"/>
    <w:rsid w:val="00750E4C"/>
    <w:rsid w:val="00751008"/>
    <w:rsid w:val="00751245"/>
    <w:rsid w:val="007517DA"/>
    <w:rsid w:val="00752631"/>
    <w:rsid w:val="00752756"/>
    <w:rsid w:val="00752E62"/>
    <w:rsid w:val="0075359D"/>
    <w:rsid w:val="007549A4"/>
    <w:rsid w:val="00754DA5"/>
    <w:rsid w:val="00754E29"/>
    <w:rsid w:val="00755B21"/>
    <w:rsid w:val="00756119"/>
    <w:rsid w:val="00756B0D"/>
    <w:rsid w:val="007575CD"/>
    <w:rsid w:val="00757837"/>
    <w:rsid w:val="00757842"/>
    <w:rsid w:val="00760E20"/>
    <w:rsid w:val="00761093"/>
    <w:rsid w:val="007623D4"/>
    <w:rsid w:val="0076594F"/>
    <w:rsid w:val="0076649E"/>
    <w:rsid w:val="00767C54"/>
    <w:rsid w:val="00770794"/>
    <w:rsid w:val="007709D9"/>
    <w:rsid w:val="007723B4"/>
    <w:rsid w:val="007731B4"/>
    <w:rsid w:val="007736E3"/>
    <w:rsid w:val="00773C00"/>
    <w:rsid w:val="00773F73"/>
    <w:rsid w:val="007740F8"/>
    <w:rsid w:val="00774901"/>
    <w:rsid w:val="00774B6B"/>
    <w:rsid w:val="00775274"/>
    <w:rsid w:val="00776326"/>
    <w:rsid w:val="007765A0"/>
    <w:rsid w:val="00776644"/>
    <w:rsid w:val="00776F97"/>
    <w:rsid w:val="00777D2D"/>
    <w:rsid w:val="00777D47"/>
    <w:rsid w:val="00780375"/>
    <w:rsid w:val="0078128A"/>
    <w:rsid w:val="0078191C"/>
    <w:rsid w:val="00782B1D"/>
    <w:rsid w:val="00783E24"/>
    <w:rsid w:val="00784175"/>
    <w:rsid w:val="00784A6D"/>
    <w:rsid w:val="00785159"/>
    <w:rsid w:val="007851A6"/>
    <w:rsid w:val="00785755"/>
    <w:rsid w:val="00785C8E"/>
    <w:rsid w:val="00786991"/>
    <w:rsid w:val="00786ABF"/>
    <w:rsid w:val="0079015C"/>
    <w:rsid w:val="00790F8E"/>
    <w:rsid w:val="007918EF"/>
    <w:rsid w:val="007927AC"/>
    <w:rsid w:val="007945BD"/>
    <w:rsid w:val="0079554D"/>
    <w:rsid w:val="0079590D"/>
    <w:rsid w:val="00796936"/>
    <w:rsid w:val="0079738C"/>
    <w:rsid w:val="0079774A"/>
    <w:rsid w:val="00797849"/>
    <w:rsid w:val="007A1B0C"/>
    <w:rsid w:val="007A2AD9"/>
    <w:rsid w:val="007A3660"/>
    <w:rsid w:val="007A3F61"/>
    <w:rsid w:val="007A4994"/>
    <w:rsid w:val="007A4A02"/>
    <w:rsid w:val="007A538D"/>
    <w:rsid w:val="007A6CAD"/>
    <w:rsid w:val="007A728B"/>
    <w:rsid w:val="007B08C4"/>
    <w:rsid w:val="007B1BC6"/>
    <w:rsid w:val="007B1C91"/>
    <w:rsid w:val="007B2C83"/>
    <w:rsid w:val="007B366E"/>
    <w:rsid w:val="007B3F98"/>
    <w:rsid w:val="007B4520"/>
    <w:rsid w:val="007B496E"/>
    <w:rsid w:val="007B4A5F"/>
    <w:rsid w:val="007B4FE4"/>
    <w:rsid w:val="007B50D4"/>
    <w:rsid w:val="007B52AA"/>
    <w:rsid w:val="007B6059"/>
    <w:rsid w:val="007B612D"/>
    <w:rsid w:val="007B6600"/>
    <w:rsid w:val="007B729D"/>
    <w:rsid w:val="007B7A6E"/>
    <w:rsid w:val="007C0296"/>
    <w:rsid w:val="007C0ABD"/>
    <w:rsid w:val="007C0C42"/>
    <w:rsid w:val="007C1DFA"/>
    <w:rsid w:val="007C1E24"/>
    <w:rsid w:val="007C1F5A"/>
    <w:rsid w:val="007C3721"/>
    <w:rsid w:val="007C5537"/>
    <w:rsid w:val="007C63B1"/>
    <w:rsid w:val="007C6DEB"/>
    <w:rsid w:val="007C7173"/>
    <w:rsid w:val="007C7ECB"/>
    <w:rsid w:val="007D1CC2"/>
    <w:rsid w:val="007D1CC7"/>
    <w:rsid w:val="007D23AD"/>
    <w:rsid w:val="007D373A"/>
    <w:rsid w:val="007D389C"/>
    <w:rsid w:val="007D47E7"/>
    <w:rsid w:val="007D485E"/>
    <w:rsid w:val="007D4CA1"/>
    <w:rsid w:val="007D4F20"/>
    <w:rsid w:val="007D5C19"/>
    <w:rsid w:val="007D6205"/>
    <w:rsid w:val="007D621D"/>
    <w:rsid w:val="007D6FB5"/>
    <w:rsid w:val="007D7D7F"/>
    <w:rsid w:val="007E034D"/>
    <w:rsid w:val="007E1A81"/>
    <w:rsid w:val="007E1C2F"/>
    <w:rsid w:val="007E2C47"/>
    <w:rsid w:val="007E313E"/>
    <w:rsid w:val="007E32A3"/>
    <w:rsid w:val="007E34E1"/>
    <w:rsid w:val="007E4918"/>
    <w:rsid w:val="007E4BE3"/>
    <w:rsid w:val="007E5180"/>
    <w:rsid w:val="007E675B"/>
    <w:rsid w:val="007E67DF"/>
    <w:rsid w:val="007E7290"/>
    <w:rsid w:val="007E76AB"/>
    <w:rsid w:val="007E78CA"/>
    <w:rsid w:val="007E7BD0"/>
    <w:rsid w:val="007E7F55"/>
    <w:rsid w:val="007F0519"/>
    <w:rsid w:val="007F094C"/>
    <w:rsid w:val="007F1B27"/>
    <w:rsid w:val="007F20D5"/>
    <w:rsid w:val="007F279D"/>
    <w:rsid w:val="007F3DB8"/>
    <w:rsid w:val="007F3E00"/>
    <w:rsid w:val="007F4B15"/>
    <w:rsid w:val="007F4D8F"/>
    <w:rsid w:val="007F5801"/>
    <w:rsid w:val="007F65AC"/>
    <w:rsid w:val="007F7EAA"/>
    <w:rsid w:val="00800789"/>
    <w:rsid w:val="0080166B"/>
    <w:rsid w:val="008018E2"/>
    <w:rsid w:val="00802A42"/>
    <w:rsid w:val="0080341C"/>
    <w:rsid w:val="00803457"/>
    <w:rsid w:val="008035B9"/>
    <w:rsid w:val="00803C69"/>
    <w:rsid w:val="00803CD0"/>
    <w:rsid w:val="00804A9D"/>
    <w:rsid w:val="00804C8A"/>
    <w:rsid w:val="0080626A"/>
    <w:rsid w:val="0080741D"/>
    <w:rsid w:val="00807EAA"/>
    <w:rsid w:val="00811D10"/>
    <w:rsid w:val="00812EAC"/>
    <w:rsid w:val="008138F0"/>
    <w:rsid w:val="00814D85"/>
    <w:rsid w:val="008151F5"/>
    <w:rsid w:val="00815C2E"/>
    <w:rsid w:val="00816D2F"/>
    <w:rsid w:val="00816EDB"/>
    <w:rsid w:val="008203B3"/>
    <w:rsid w:val="0082191D"/>
    <w:rsid w:val="00822DB3"/>
    <w:rsid w:val="008230CA"/>
    <w:rsid w:val="00823B9B"/>
    <w:rsid w:val="00826013"/>
    <w:rsid w:val="0082627D"/>
    <w:rsid w:val="00826C11"/>
    <w:rsid w:val="00827962"/>
    <w:rsid w:val="00827E97"/>
    <w:rsid w:val="00830713"/>
    <w:rsid w:val="00832A3B"/>
    <w:rsid w:val="008330EF"/>
    <w:rsid w:val="0083399D"/>
    <w:rsid w:val="00833C3C"/>
    <w:rsid w:val="00834AB3"/>
    <w:rsid w:val="0083537F"/>
    <w:rsid w:val="00835B75"/>
    <w:rsid w:val="008360FD"/>
    <w:rsid w:val="0083657F"/>
    <w:rsid w:val="00837DE9"/>
    <w:rsid w:val="00840196"/>
    <w:rsid w:val="008402AF"/>
    <w:rsid w:val="0084062A"/>
    <w:rsid w:val="00840E43"/>
    <w:rsid w:val="00841401"/>
    <w:rsid w:val="00843605"/>
    <w:rsid w:val="00843CBC"/>
    <w:rsid w:val="00843DCB"/>
    <w:rsid w:val="00843F22"/>
    <w:rsid w:val="008452D6"/>
    <w:rsid w:val="00845F54"/>
    <w:rsid w:val="00847087"/>
    <w:rsid w:val="00847FA5"/>
    <w:rsid w:val="0085135A"/>
    <w:rsid w:val="00851884"/>
    <w:rsid w:val="00852701"/>
    <w:rsid w:val="00852AE4"/>
    <w:rsid w:val="00852C1A"/>
    <w:rsid w:val="00852E54"/>
    <w:rsid w:val="00852FC8"/>
    <w:rsid w:val="00854094"/>
    <w:rsid w:val="008545D5"/>
    <w:rsid w:val="00855D48"/>
    <w:rsid w:val="00855F77"/>
    <w:rsid w:val="00856FC1"/>
    <w:rsid w:val="008570DA"/>
    <w:rsid w:val="00857CC7"/>
    <w:rsid w:val="00857D4C"/>
    <w:rsid w:val="00857DD7"/>
    <w:rsid w:val="008605DF"/>
    <w:rsid w:val="00860E40"/>
    <w:rsid w:val="00862040"/>
    <w:rsid w:val="0086267F"/>
    <w:rsid w:val="00862897"/>
    <w:rsid w:val="008628EC"/>
    <w:rsid w:val="008631D7"/>
    <w:rsid w:val="008636EE"/>
    <w:rsid w:val="0086467A"/>
    <w:rsid w:val="0086479E"/>
    <w:rsid w:val="00864D1E"/>
    <w:rsid w:val="0086769C"/>
    <w:rsid w:val="008677ED"/>
    <w:rsid w:val="00867B2A"/>
    <w:rsid w:val="00867DB1"/>
    <w:rsid w:val="00870961"/>
    <w:rsid w:val="00870B32"/>
    <w:rsid w:val="008739B0"/>
    <w:rsid w:val="00874011"/>
    <w:rsid w:val="00875BF7"/>
    <w:rsid w:val="008767A1"/>
    <w:rsid w:val="00876C4E"/>
    <w:rsid w:val="008770B8"/>
    <w:rsid w:val="00877218"/>
    <w:rsid w:val="008772DD"/>
    <w:rsid w:val="00877BF4"/>
    <w:rsid w:val="0088072C"/>
    <w:rsid w:val="00880BBE"/>
    <w:rsid w:val="00880D90"/>
    <w:rsid w:val="008811A6"/>
    <w:rsid w:val="00881EA4"/>
    <w:rsid w:val="00882B35"/>
    <w:rsid w:val="00882B3B"/>
    <w:rsid w:val="00882E6C"/>
    <w:rsid w:val="00882EED"/>
    <w:rsid w:val="00883F4A"/>
    <w:rsid w:val="00884166"/>
    <w:rsid w:val="00885B27"/>
    <w:rsid w:val="00886843"/>
    <w:rsid w:val="008869DB"/>
    <w:rsid w:val="00886E5A"/>
    <w:rsid w:val="00887726"/>
    <w:rsid w:val="00887833"/>
    <w:rsid w:val="00890A63"/>
    <w:rsid w:val="00890ACD"/>
    <w:rsid w:val="00891398"/>
    <w:rsid w:val="0089234D"/>
    <w:rsid w:val="00892971"/>
    <w:rsid w:val="0089467A"/>
    <w:rsid w:val="00894C8F"/>
    <w:rsid w:val="00894D05"/>
    <w:rsid w:val="00895192"/>
    <w:rsid w:val="00895DBE"/>
    <w:rsid w:val="00895E53"/>
    <w:rsid w:val="00897288"/>
    <w:rsid w:val="008A0587"/>
    <w:rsid w:val="008A0FE7"/>
    <w:rsid w:val="008A16D5"/>
    <w:rsid w:val="008A1D25"/>
    <w:rsid w:val="008A21CE"/>
    <w:rsid w:val="008A2526"/>
    <w:rsid w:val="008A276C"/>
    <w:rsid w:val="008A2A50"/>
    <w:rsid w:val="008A3553"/>
    <w:rsid w:val="008A3A51"/>
    <w:rsid w:val="008A4055"/>
    <w:rsid w:val="008A5471"/>
    <w:rsid w:val="008A5A30"/>
    <w:rsid w:val="008A6374"/>
    <w:rsid w:val="008A692E"/>
    <w:rsid w:val="008A72C3"/>
    <w:rsid w:val="008A76F6"/>
    <w:rsid w:val="008A7B27"/>
    <w:rsid w:val="008A7DA7"/>
    <w:rsid w:val="008B0359"/>
    <w:rsid w:val="008B093E"/>
    <w:rsid w:val="008B09C2"/>
    <w:rsid w:val="008B0B30"/>
    <w:rsid w:val="008B1F4D"/>
    <w:rsid w:val="008B2461"/>
    <w:rsid w:val="008B2C23"/>
    <w:rsid w:val="008B3C31"/>
    <w:rsid w:val="008B3F06"/>
    <w:rsid w:val="008B48B0"/>
    <w:rsid w:val="008B50A6"/>
    <w:rsid w:val="008B5DD7"/>
    <w:rsid w:val="008B6969"/>
    <w:rsid w:val="008B6C1E"/>
    <w:rsid w:val="008B7C77"/>
    <w:rsid w:val="008B7DF6"/>
    <w:rsid w:val="008C0A58"/>
    <w:rsid w:val="008C1535"/>
    <w:rsid w:val="008C18C7"/>
    <w:rsid w:val="008C1B3D"/>
    <w:rsid w:val="008C4DCF"/>
    <w:rsid w:val="008C5DDB"/>
    <w:rsid w:val="008C6853"/>
    <w:rsid w:val="008C73C2"/>
    <w:rsid w:val="008C7A23"/>
    <w:rsid w:val="008D0520"/>
    <w:rsid w:val="008D0CFE"/>
    <w:rsid w:val="008D0F76"/>
    <w:rsid w:val="008D11C0"/>
    <w:rsid w:val="008D194F"/>
    <w:rsid w:val="008D2FE8"/>
    <w:rsid w:val="008D35ED"/>
    <w:rsid w:val="008D4328"/>
    <w:rsid w:val="008D4801"/>
    <w:rsid w:val="008D60D0"/>
    <w:rsid w:val="008D7C67"/>
    <w:rsid w:val="008E0F93"/>
    <w:rsid w:val="008E11A3"/>
    <w:rsid w:val="008E284F"/>
    <w:rsid w:val="008E2B11"/>
    <w:rsid w:val="008E2C35"/>
    <w:rsid w:val="008E332B"/>
    <w:rsid w:val="008E33D6"/>
    <w:rsid w:val="008E4EA6"/>
    <w:rsid w:val="008E5715"/>
    <w:rsid w:val="008E5AF2"/>
    <w:rsid w:val="008E6399"/>
    <w:rsid w:val="008E63F1"/>
    <w:rsid w:val="008E7080"/>
    <w:rsid w:val="008E77AE"/>
    <w:rsid w:val="008E7834"/>
    <w:rsid w:val="008F0723"/>
    <w:rsid w:val="008F11C5"/>
    <w:rsid w:val="008F122D"/>
    <w:rsid w:val="008F3174"/>
    <w:rsid w:val="009004AF"/>
    <w:rsid w:val="00900F43"/>
    <w:rsid w:val="009012D1"/>
    <w:rsid w:val="009041CD"/>
    <w:rsid w:val="009047C9"/>
    <w:rsid w:val="00905401"/>
    <w:rsid w:val="00905403"/>
    <w:rsid w:val="009058CF"/>
    <w:rsid w:val="009062D9"/>
    <w:rsid w:val="00906C05"/>
    <w:rsid w:val="0090776C"/>
    <w:rsid w:val="00907A0E"/>
    <w:rsid w:val="0091000F"/>
    <w:rsid w:val="00911372"/>
    <w:rsid w:val="009113F4"/>
    <w:rsid w:val="00911E31"/>
    <w:rsid w:val="00911F96"/>
    <w:rsid w:val="00912091"/>
    <w:rsid w:val="009121AE"/>
    <w:rsid w:val="009126F0"/>
    <w:rsid w:val="0091338F"/>
    <w:rsid w:val="009134C8"/>
    <w:rsid w:val="00914D4E"/>
    <w:rsid w:val="00915499"/>
    <w:rsid w:val="009171AD"/>
    <w:rsid w:val="00917213"/>
    <w:rsid w:val="009175A9"/>
    <w:rsid w:val="00920C58"/>
    <w:rsid w:val="00921525"/>
    <w:rsid w:val="0092155F"/>
    <w:rsid w:val="00921F76"/>
    <w:rsid w:val="009231F3"/>
    <w:rsid w:val="009242A4"/>
    <w:rsid w:val="00924388"/>
    <w:rsid w:val="009249B6"/>
    <w:rsid w:val="00924FAE"/>
    <w:rsid w:val="00925270"/>
    <w:rsid w:val="00926FB0"/>
    <w:rsid w:val="009323A4"/>
    <w:rsid w:val="00933A64"/>
    <w:rsid w:val="00934B11"/>
    <w:rsid w:val="00934B71"/>
    <w:rsid w:val="00934B87"/>
    <w:rsid w:val="00935015"/>
    <w:rsid w:val="0093507D"/>
    <w:rsid w:val="00935224"/>
    <w:rsid w:val="00936266"/>
    <w:rsid w:val="00936ADA"/>
    <w:rsid w:val="00936F7D"/>
    <w:rsid w:val="0093767F"/>
    <w:rsid w:val="009407FC"/>
    <w:rsid w:val="0094174C"/>
    <w:rsid w:val="00941BE7"/>
    <w:rsid w:val="009431FC"/>
    <w:rsid w:val="009449F2"/>
    <w:rsid w:val="00944B22"/>
    <w:rsid w:val="0094577D"/>
    <w:rsid w:val="00945BAA"/>
    <w:rsid w:val="009464CD"/>
    <w:rsid w:val="00947AC8"/>
    <w:rsid w:val="0095077E"/>
    <w:rsid w:val="00950BD6"/>
    <w:rsid w:val="0095103C"/>
    <w:rsid w:val="00951072"/>
    <w:rsid w:val="00951969"/>
    <w:rsid w:val="009528BA"/>
    <w:rsid w:val="00953942"/>
    <w:rsid w:val="009539E6"/>
    <w:rsid w:val="009545F5"/>
    <w:rsid w:val="009557AD"/>
    <w:rsid w:val="009557B1"/>
    <w:rsid w:val="00955FE7"/>
    <w:rsid w:val="009566AB"/>
    <w:rsid w:val="00956AB3"/>
    <w:rsid w:val="009572BA"/>
    <w:rsid w:val="0095748D"/>
    <w:rsid w:val="00957558"/>
    <w:rsid w:val="009576EA"/>
    <w:rsid w:val="009577E9"/>
    <w:rsid w:val="00957D9F"/>
    <w:rsid w:val="00960AAA"/>
    <w:rsid w:val="00960DE2"/>
    <w:rsid w:val="00961E9C"/>
    <w:rsid w:val="009624A1"/>
    <w:rsid w:val="009632C5"/>
    <w:rsid w:val="009635A6"/>
    <w:rsid w:val="009647EC"/>
    <w:rsid w:val="00967284"/>
    <w:rsid w:val="0096775C"/>
    <w:rsid w:val="009711B8"/>
    <w:rsid w:val="009719FB"/>
    <w:rsid w:val="00972192"/>
    <w:rsid w:val="00972664"/>
    <w:rsid w:val="00973C73"/>
    <w:rsid w:val="0097538D"/>
    <w:rsid w:val="00975E74"/>
    <w:rsid w:val="00976911"/>
    <w:rsid w:val="00977742"/>
    <w:rsid w:val="009806F0"/>
    <w:rsid w:val="00981181"/>
    <w:rsid w:val="009812FD"/>
    <w:rsid w:val="009813D5"/>
    <w:rsid w:val="009816C4"/>
    <w:rsid w:val="0098346B"/>
    <w:rsid w:val="00985A43"/>
    <w:rsid w:val="009860B9"/>
    <w:rsid w:val="00990B9A"/>
    <w:rsid w:val="00991165"/>
    <w:rsid w:val="00991306"/>
    <w:rsid w:val="00991FB7"/>
    <w:rsid w:val="00992060"/>
    <w:rsid w:val="009929EB"/>
    <w:rsid w:val="00992F75"/>
    <w:rsid w:val="00993080"/>
    <w:rsid w:val="00993543"/>
    <w:rsid w:val="00993B0E"/>
    <w:rsid w:val="00993B25"/>
    <w:rsid w:val="009940EE"/>
    <w:rsid w:val="0099413B"/>
    <w:rsid w:val="009941AE"/>
    <w:rsid w:val="009945AA"/>
    <w:rsid w:val="00994F4D"/>
    <w:rsid w:val="009958AC"/>
    <w:rsid w:val="00995936"/>
    <w:rsid w:val="00996BB4"/>
    <w:rsid w:val="009A0B3D"/>
    <w:rsid w:val="009A19F9"/>
    <w:rsid w:val="009A2199"/>
    <w:rsid w:val="009A26DA"/>
    <w:rsid w:val="009A2C4E"/>
    <w:rsid w:val="009A316A"/>
    <w:rsid w:val="009A3900"/>
    <w:rsid w:val="009A3AEF"/>
    <w:rsid w:val="009A410B"/>
    <w:rsid w:val="009A426B"/>
    <w:rsid w:val="009A5C27"/>
    <w:rsid w:val="009A5F5C"/>
    <w:rsid w:val="009A63AB"/>
    <w:rsid w:val="009A65CC"/>
    <w:rsid w:val="009A6776"/>
    <w:rsid w:val="009B0412"/>
    <w:rsid w:val="009B05E8"/>
    <w:rsid w:val="009B0F84"/>
    <w:rsid w:val="009B2761"/>
    <w:rsid w:val="009B3428"/>
    <w:rsid w:val="009B37BD"/>
    <w:rsid w:val="009B3D86"/>
    <w:rsid w:val="009B4360"/>
    <w:rsid w:val="009B4E51"/>
    <w:rsid w:val="009B5DF4"/>
    <w:rsid w:val="009B735C"/>
    <w:rsid w:val="009B76C6"/>
    <w:rsid w:val="009C05BE"/>
    <w:rsid w:val="009C0A4C"/>
    <w:rsid w:val="009C0D36"/>
    <w:rsid w:val="009C172B"/>
    <w:rsid w:val="009C18AE"/>
    <w:rsid w:val="009C1D95"/>
    <w:rsid w:val="009C2096"/>
    <w:rsid w:val="009C244F"/>
    <w:rsid w:val="009C276A"/>
    <w:rsid w:val="009C361A"/>
    <w:rsid w:val="009C3A47"/>
    <w:rsid w:val="009C4922"/>
    <w:rsid w:val="009C58CA"/>
    <w:rsid w:val="009C5E0F"/>
    <w:rsid w:val="009C6689"/>
    <w:rsid w:val="009C6DED"/>
    <w:rsid w:val="009C718C"/>
    <w:rsid w:val="009C73C3"/>
    <w:rsid w:val="009C7E54"/>
    <w:rsid w:val="009D21E6"/>
    <w:rsid w:val="009D2CED"/>
    <w:rsid w:val="009D38D0"/>
    <w:rsid w:val="009D396B"/>
    <w:rsid w:val="009D3BB9"/>
    <w:rsid w:val="009D3EBC"/>
    <w:rsid w:val="009D451B"/>
    <w:rsid w:val="009D4A51"/>
    <w:rsid w:val="009D54BF"/>
    <w:rsid w:val="009D6235"/>
    <w:rsid w:val="009D68C5"/>
    <w:rsid w:val="009D6B01"/>
    <w:rsid w:val="009E0547"/>
    <w:rsid w:val="009E087F"/>
    <w:rsid w:val="009E0ADF"/>
    <w:rsid w:val="009E0B56"/>
    <w:rsid w:val="009E0C9F"/>
    <w:rsid w:val="009E11AF"/>
    <w:rsid w:val="009E21FE"/>
    <w:rsid w:val="009E3BA3"/>
    <w:rsid w:val="009E55FE"/>
    <w:rsid w:val="009E6461"/>
    <w:rsid w:val="009E6669"/>
    <w:rsid w:val="009E6747"/>
    <w:rsid w:val="009F062F"/>
    <w:rsid w:val="009F2311"/>
    <w:rsid w:val="009F2575"/>
    <w:rsid w:val="009F25DB"/>
    <w:rsid w:val="009F308D"/>
    <w:rsid w:val="009F449D"/>
    <w:rsid w:val="009F5C8D"/>
    <w:rsid w:val="009F6736"/>
    <w:rsid w:val="009F73B9"/>
    <w:rsid w:val="009F78CA"/>
    <w:rsid w:val="00A005FE"/>
    <w:rsid w:val="00A0084A"/>
    <w:rsid w:val="00A008B6"/>
    <w:rsid w:val="00A012B3"/>
    <w:rsid w:val="00A01F48"/>
    <w:rsid w:val="00A0272F"/>
    <w:rsid w:val="00A03209"/>
    <w:rsid w:val="00A04B49"/>
    <w:rsid w:val="00A05A59"/>
    <w:rsid w:val="00A06161"/>
    <w:rsid w:val="00A064E7"/>
    <w:rsid w:val="00A065C7"/>
    <w:rsid w:val="00A07942"/>
    <w:rsid w:val="00A103DD"/>
    <w:rsid w:val="00A10DD1"/>
    <w:rsid w:val="00A11645"/>
    <w:rsid w:val="00A11E52"/>
    <w:rsid w:val="00A1209C"/>
    <w:rsid w:val="00A124F1"/>
    <w:rsid w:val="00A12914"/>
    <w:rsid w:val="00A13870"/>
    <w:rsid w:val="00A13C47"/>
    <w:rsid w:val="00A149EF"/>
    <w:rsid w:val="00A14A82"/>
    <w:rsid w:val="00A15392"/>
    <w:rsid w:val="00A15511"/>
    <w:rsid w:val="00A15712"/>
    <w:rsid w:val="00A16290"/>
    <w:rsid w:val="00A16484"/>
    <w:rsid w:val="00A16626"/>
    <w:rsid w:val="00A204AE"/>
    <w:rsid w:val="00A223B5"/>
    <w:rsid w:val="00A2274F"/>
    <w:rsid w:val="00A234CB"/>
    <w:rsid w:val="00A235CA"/>
    <w:rsid w:val="00A235D3"/>
    <w:rsid w:val="00A2485F"/>
    <w:rsid w:val="00A257FC"/>
    <w:rsid w:val="00A26FA0"/>
    <w:rsid w:val="00A301AA"/>
    <w:rsid w:val="00A30480"/>
    <w:rsid w:val="00A3049D"/>
    <w:rsid w:val="00A30E9C"/>
    <w:rsid w:val="00A321CD"/>
    <w:rsid w:val="00A32C7B"/>
    <w:rsid w:val="00A33128"/>
    <w:rsid w:val="00A3429B"/>
    <w:rsid w:val="00A35A71"/>
    <w:rsid w:val="00A35C38"/>
    <w:rsid w:val="00A36446"/>
    <w:rsid w:val="00A36D74"/>
    <w:rsid w:val="00A36EC6"/>
    <w:rsid w:val="00A37B99"/>
    <w:rsid w:val="00A4034A"/>
    <w:rsid w:val="00A4089B"/>
    <w:rsid w:val="00A41593"/>
    <w:rsid w:val="00A42118"/>
    <w:rsid w:val="00A44C64"/>
    <w:rsid w:val="00A45695"/>
    <w:rsid w:val="00A45B7F"/>
    <w:rsid w:val="00A466F9"/>
    <w:rsid w:val="00A478C6"/>
    <w:rsid w:val="00A479A5"/>
    <w:rsid w:val="00A501EE"/>
    <w:rsid w:val="00A5044E"/>
    <w:rsid w:val="00A50493"/>
    <w:rsid w:val="00A506AC"/>
    <w:rsid w:val="00A50BEB"/>
    <w:rsid w:val="00A50E84"/>
    <w:rsid w:val="00A518FC"/>
    <w:rsid w:val="00A52E0A"/>
    <w:rsid w:val="00A53B30"/>
    <w:rsid w:val="00A56BC6"/>
    <w:rsid w:val="00A574A8"/>
    <w:rsid w:val="00A614C8"/>
    <w:rsid w:val="00A61594"/>
    <w:rsid w:val="00A62ED0"/>
    <w:rsid w:val="00A63C89"/>
    <w:rsid w:val="00A65750"/>
    <w:rsid w:val="00A658BB"/>
    <w:rsid w:val="00A66A3A"/>
    <w:rsid w:val="00A66D94"/>
    <w:rsid w:val="00A67372"/>
    <w:rsid w:val="00A6749B"/>
    <w:rsid w:val="00A701D3"/>
    <w:rsid w:val="00A70315"/>
    <w:rsid w:val="00A70A85"/>
    <w:rsid w:val="00A71909"/>
    <w:rsid w:val="00A7200E"/>
    <w:rsid w:val="00A7203A"/>
    <w:rsid w:val="00A724DC"/>
    <w:rsid w:val="00A73C59"/>
    <w:rsid w:val="00A74C57"/>
    <w:rsid w:val="00A752E0"/>
    <w:rsid w:val="00A75312"/>
    <w:rsid w:val="00A75544"/>
    <w:rsid w:val="00A759C8"/>
    <w:rsid w:val="00A75BAC"/>
    <w:rsid w:val="00A762C2"/>
    <w:rsid w:val="00A766DB"/>
    <w:rsid w:val="00A80423"/>
    <w:rsid w:val="00A8218B"/>
    <w:rsid w:val="00A82CE5"/>
    <w:rsid w:val="00A841CF"/>
    <w:rsid w:val="00A8488C"/>
    <w:rsid w:val="00A84C55"/>
    <w:rsid w:val="00A854BA"/>
    <w:rsid w:val="00A86693"/>
    <w:rsid w:val="00A9012C"/>
    <w:rsid w:val="00A90667"/>
    <w:rsid w:val="00A90FC7"/>
    <w:rsid w:val="00A91BCD"/>
    <w:rsid w:val="00A91F90"/>
    <w:rsid w:val="00A92946"/>
    <w:rsid w:val="00A9339E"/>
    <w:rsid w:val="00A9518C"/>
    <w:rsid w:val="00A95FA1"/>
    <w:rsid w:val="00A97107"/>
    <w:rsid w:val="00A97D2D"/>
    <w:rsid w:val="00AA060D"/>
    <w:rsid w:val="00AA07E5"/>
    <w:rsid w:val="00AA15A2"/>
    <w:rsid w:val="00AA2D2A"/>
    <w:rsid w:val="00AA3115"/>
    <w:rsid w:val="00AA365B"/>
    <w:rsid w:val="00AA4DBD"/>
    <w:rsid w:val="00AA5585"/>
    <w:rsid w:val="00AA5B77"/>
    <w:rsid w:val="00AA6666"/>
    <w:rsid w:val="00AA67D9"/>
    <w:rsid w:val="00AA72F8"/>
    <w:rsid w:val="00AA783E"/>
    <w:rsid w:val="00AB0B3C"/>
    <w:rsid w:val="00AB0C40"/>
    <w:rsid w:val="00AB2783"/>
    <w:rsid w:val="00AB3CE8"/>
    <w:rsid w:val="00AB3EAA"/>
    <w:rsid w:val="00AB44AA"/>
    <w:rsid w:val="00AB44B2"/>
    <w:rsid w:val="00AB472D"/>
    <w:rsid w:val="00AB4DE8"/>
    <w:rsid w:val="00AB5C1B"/>
    <w:rsid w:val="00AB6084"/>
    <w:rsid w:val="00AB659F"/>
    <w:rsid w:val="00AB6D7B"/>
    <w:rsid w:val="00AB6DF9"/>
    <w:rsid w:val="00AB6FFE"/>
    <w:rsid w:val="00AB73C0"/>
    <w:rsid w:val="00AB7517"/>
    <w:rsid w:val="00AB7893"/>
    <w:rsid w:val="00AC042E"/>
    <w:rsid w:val="00AC0BC2"/>
    <w:rsid w:val="00AC0ECB"/>
    <w:rsid w:val="00AC1436"/>
    <w:rsid w:val="00AC193A"/>
    <w:rsid w:val="00AC1EAC"/>
    <w:rsid w:val="00AC2400"/>
    <w:rsid w:val="00AC279D"/>
    <w:rsid w:val="00AC2C0D"/>
    <w:rsid w:val="00AC2E86"/>
    <w:rsid w:val="00AC365B"/>
    <w:rsid w:val="00AC4C57"/>
    <w:rsid w:val="00AC5510"/>
    <w:rsid w:val="00AC58B5"/>
    <w:rsid w:val="00AC6261"/>
    <w:rsid w:val="00AC6BE5"/>
    <w:rsid w:val="00AC6CC1"/>
    <w:rsid w:val="00AC6D17"/>
    <w:rsid w:val="00AC6D7A"/>
    <w:rsid w:val="00AC7AB7"/>
    <w:rsid w:val="00AC7C99"/>
    <w:rsid w:val="00AD1C1F"/>
    <w:rsid w:val="00AD26F4"/>
    <w:rsid w:val="00AD3679"/>
    <w:rsid w:val="00AD37D5"/>
    <w:rsid w:val="00AD43A1"/>
    <w:rsid w:val="00AD56D2"/>
    <w:rsid w:val="00AD6721"/>
    <w:rsid w:val="00AD6D61"/>
    <w:rsid w:val="00AD6F6B"/>
    <w:rsid w:val="00AD721F"/>
    <w:rsid w:val="00AD7985"/>
    <w:rsid w:val="00AE126B"/>
    <w:rsid w:val="00AE1757"/>
    <w:rsid w:val="00AE1811"/>
    <w:rsid w:val="00AE1AEA"/>
    <w:rsid w:val="00AE2237"/>
    <w:rsid w:val="00AE289B"/>
    <w:rsid w:val="00AE2B82"/>
    <w:rsid w:val="00AE326C"/>
    <w:rsid w:val="00AE3954"/>
    <w:rsid w:val="00AE3E63"/>
    <w:rsid w:val="00AE3EE7"/>
    <w:rsid w:val="00AE4AE7"/>
    <w:rsid w:val="00AE4CB8"/>
    <w:rsid w:val="00AE5602"/>
    <w:rsid w:val="00AE58D3"/>
    <w:rsid w:val="00AE5F1F"/>
    <w:rsid w:val="00AE61B5"/>
    <w:rsid w:val="00AE6E0E"/>
    <w:rsid w:val="00AE72D1"/>
    <w:rsid w:val="00AE7332"/>
    <w:rsid w:val="00AF0B6E"/>
    <w:rsid w:val="00AF1CCD"/>
    <w:rsid w:val="00AF25EE"/>
    <w:rsid w:val="00AF2888"/>
    <w:rsid w:val="00AF2C59"/>
    <w:rsid w:val="00AF3198"/>
    <w:rsid w:val="00AF3D2C"/>
    <w:rsid w:val="00AF41A0"/>
    <w:rsid w:val="00AF576F"/>
    <w:rsid w:val="00AF66DA"/>
    <w:rsid w:val="00AF69D4"/>
    <w:rsid w:val="00AF6AA4"/>
    <w:rsid w:val="00AF6D34"/>
    <w:rsid w:val="00AF7167"/>
    <w:rsid w:val="00B00E46"/>
    <w:rsid w:val="00B01AF8"/>
    <w:rsid w:val="00B02C39"/>
    <w:rsid w:val="00B04015"/>
    <w:rsid w:val="00B0467C"/>
    <w:rsid w:val="00B04DF0"/>
    <w:rsid w:val="00B06028"/>
    <w:rsid w:val="00B064D2"/>
    <w:rsid w:val="00B06536"/>
    <w:rsid w:val="00B06AC6"/>
    <w:rsid w:val="00B06B37"/>
    <w:rsid w:val="00B06B82"/>
    <w:rsid w:val="00B06D9E"/>
    <w:rsid w:val="00B078A4"/>
    <w:rsid w:val="00B106BB"/>
    <w:rsid w:val="00B10FC3"/>
    <w:rsid w:val="00B118BE"/>
    <w:rsid w:val="00B11EDC"/>
    <w:rsid w:val="00B125E7"/>
    <w:rsid w:val="00B13A31"/>
    <w:rsid w:val="00B13B53"/>
    <w:rsid w:val="00B15424"/>
    <w:rsid w:val="00B16070"/>
    <w:rsid w:val="00B1625B"/>
    <w:rsid w:val="00B16594"/>
    <w:rsid w:val="00B16A2E"/>
    <w:rsid w:val="00B1726E"/>
    <w:rsid w:val="00B20183"/>
    <w:rsid w:val="00B20918"/>
    <w:rsid w:val="00B20DE0"/>
    <w:rsid w:val="00B2175E"/>
    <w:rsid w:val="00B22299"/>
    <w:rsid w:val="00B23455"/>
    <w:rsid w:val="00B235CB"/>
    <w:rsid w:val="00B23EF7"/>
    <w:rsid w:val="00B243AB"/>
    <w:rsid w:val="00B2559E"/>
    <w:rsid w:val="00B25AA3"/>
    <w:rsid w:val="00B25C68"/>
    <w:rsid w:val="00B25D02"/>
    <w:rsid w:val="00B26346"/>
    <w:rsid w:val="00B27C9D"/>
    <w:rsid w:val="00B30714"/>
    <w:rsid w:val="00B3102D"/>
    <w:rsid w:val="00B326F3"/>
    <w:rsid w:val="00B33524"/>
    <w:rsid w:val="00B33791"/>
    <w:rsid w:val="00B3439F"/>
    <w:rsid w:val="00B348E7"/>
    <w:rsid w:val="00B3584E"/>
    <w:rsid w:val="00B35DDB"/>
    <w:rsid w:val="00B35FDD"/>
    <w:rsid w:val="00B36B6F"/>
    <w:rsid w:val="00B371AA"/>
    <w:rsid w:val="00B373B3"/>
    <w:rsid w:val="00B37BB7"/>
    <w:rsid w:val="00B37BCD"/>
    <w:rsid w:val="00B40445"/>
    <w:rsid w:val="00B424AB"/>
    <w:rsid w:val="00B42853"/>
    <w:rsid w:val="00B44B37"/>
    <w:rsid w:val="00B44F9F"/>
    <w:rsid w:val="00B45524"/>
    <w:rsid w:val="00B46999"/>
    <w:rsid w:val="00B4709F"/>
    <w:rsid w:val="00B47157"/>
    <w:rsid w:val="00B47200"/>
    <w:rsid w:val="00B475F1"/>
    <w:rsid w:val="00B502AD"/>
    <w:rsid w:val="00B5037A"/>
    <w:rsid w:val="00B5037E"/>
    <w:rsid w:val="00B50DDE"/>
    <w:rsid w:val="00B52941"/>
    <w:rsid w:val="00B5304E"/>
    <w:rsid w:val="00B539FA"/>
    <w:rsid w:val="00B543F6"/>
    <w:rsid w:val="00B54525"/>
    <w:rsid w:val="00B54B78"/>
    <w:rsid w:val="00B550D2"/>
    <w:rsid w:val="00B5579D"/>
    <w:rsid w:val="00B56100"/>
    <w:rsid w:val="00B6063F"/>
    <w:rsid w:val="00B60BDF"/>
    <w:rsid w:val="00B60E75"/>
    <w:rsid w:val="00B60EED"/>
    <w:rsid w:val="00B61236"/>
    <w:rsid w:val="00B6237B"/>
    <w:rsid w:val="00B6403A"/>
    <w:rsid w:val="00B645CD"/>
    <w:rsid w:val="00B647D9"/>
    <w:rsid w:val="00B65605"/>
    <w:rsid w:val="00B658FE"/>
    <w:rsid w:val="00B66539"/>
    <w:rsid w:val="00B66632"/>
    <w:rsid w:val="00B673D8"/>
    <w:rsid w:val="00B67436"/>
    <w:rsid w:val="00B708AF"/>
    <w:rsid w:val="00B71262"/>
    <w:rsid w:val="00B73014"/>
    <w:rsid w:val="00B740D5"/>
    <w:rsid w:val="00B746CD"/>
    <w:rsid w:val="00B747DF"/>
    <w:rsid w:val="00B753EC"/>
    <w:rsid w:val="00B75BFD"/>
    <w:rsid w:val="00B7661F"/>
    <w:rsid w:val="00B76C21"/>
    <w:rsid w:val="00B76FE0"/>
    <w:rsid w:val="00B77108"/>
    <w:rsid w:val="00B80690"/>
    <w:rsid w:val="00B8175A"/>
    <w:rsid w:val="00B818E9"/>
    <w:rsid w:val="00B81A86"/>
    <w:rsid w:val="00B82350"/>
    <w:rsid w:val="00B83ACB"/>
    <w:rsid w:val="00B84377"/>
    <w:rsid w:val="00B84518"/>
    <w:rsid w:val="00B85627"/>
    <w:rsid w:val="00B85CC9"/>
    <w:rsid w:val="00B8617A"/>
    <w:rsid w:val="00B87554"/>
    <w:rsid w:val="00B87643"/>
    <w:rsid w:val="00B90BAF"/>
    <w:rsid w:val="00B90D14"/>
    <w:rsid w:val="00B92585"/>
    <w:rsid w:val="00B926DC"/>
    <w:rsid w:val="00B93032"/>
    <w:rsid w:val="00B9322F"/>
    <w:rsid w:val="00B935B9"/>
    <w:rsid w:val="00B93718"/>
    <w:rsid w:val="00B959EE"/>
    <w:rsid w:val="00B95F41"/>
    <w:rsid w:val="00B960DF"/>
    <w:rsid w:val="00B961B9"/>
    <w:rsid w:val="00B9691A"/>
    <w:rsid w:val="00B96BE1"/>
    <w:rsid w:val="00B96CC9"/>
    <w:rsid w:val="00B97DE2"/>
    <w:rsid w:val="00BA0058"/>
    <w:rsid w:val="00BA010C"/>
    <w:rsid w:val="00BA095C"/>
    <w:rsid w:val="00BA0D26"/>
    <w:rsid w:val="00BA23A1"/>
    <w:rsid w:val="00BA23BE"/>
    <w:rsid w:val="00BA266D"/>
    <w:rsid w:val="00BA3917"/>
    <w:rsid w:val="00BA4674"/>
    <w:rsid w:val="00BA4DF9"/>
    <w:rsid w:val="00BA576A"/>
    <w:rsid w:val="00BA62C5"/>
    <w:rsid w:val="00BA6E6A"/>
    <w:rsid w:val="00BA7A8B"/>
    <w:rsid w:val="00BA7E8A"/>
    <w:rsid w:val="00BB0826"/>
    <w:rsid w:val="00BB0FDB"/>
    <w:rsid w:val="00BB1700"/>
    <w:rsid w:val="00BB2A6D"/>
    <w:rsid w:val="00BB3376"/>
    <w:rsid w:val="00BB34F9"/>
    <w:rsid w:val="00BB38D1"/>
    <w:rsid w:val="00BB3EB4"/>
    <w:rsid w:val="00BB4C13"/>
    <w:rsid w:val="00BB4FFF"/>
    <w:rsid w:val="00BB5820"/>
    <w:rsid w:val="00BB5CCE"/>
    <w:rsid w:val="00BB5D61"/>
    <w:rsid w:val="00BB6215"/>
    <w:rsid w:val="00BB6638"/>
    <w:rsid w:val="00BB6CAB"/>
    <w:rsid w:val="00BB7934"/>
    <w:rsid w:val="00BC1538"/>
    <w:rsid w:val="00BC1912"/>
    <w:rsid w:val="00BC1EAC"/>
    <w:rsid w:val="00BC254D"/>
    <w:rsid w:val="00BC3175"/>
    <w:rsid w:val="00BC3523"/>
    <w:rsid w:val="00BC52CB"/>
    <w:rsid w:val="00BC654B"/>
    <w:rsid w:val="00BC6B43"/>
    <w:rsid w:val="00BC7CB8"/>
    <w:rsid w:val="00BC7DAF"/>
    <w:rsid w:val="00BD0BB9"/>
    <w:rsid w:val="00BD0D0A"/>
    <w:rsid w:val="00BD1890"/>
    <w:rsid w:val="00BD2D25"/>
    <w:rsid w:val="00BD3FC7"/>
    <w:rsid w:val="00BD513C"/>
    <w:rsid w:val="00BD5DC5"/>
    <w:rsid w:val="00BD5F31"/>
    <w:rsid w:val="00BD6F41"/>
    <w:rsid w:val="00BD70AC"/>
    <w:rsid w:val="00BE0105"/>
    <w:rsid w:val="00BE01E9"/>
    <w:rsid w:val="00BE02B8"/>
    <w:rsid w:val="00BE0AAC"/>
    <w:rsid w:val="00BE373C"/>
    <w:rsid w:val="00BE39DB"/>
    <w:rsid w:val="00BE41B7"/>
    <w:rsid w:val="00BE5441"/>
    <w:rsid w:val="00BE5D8D"/>
    <w:rsid w:val="00BE6138"/>
    <w:rsid w:val="00BE753F"/>
    <w:rsid w:val="00BF00FB"/>
    <w:rsid w:val="00BF02F6"/>
    <w:rsid w:val="00BF084F"/>
    <w:rsid w:val="00BF0EA0"/>
    <w:rsid w:val="00BF11C9"/>
    <w:rsid w:val="00BF1472"/>
    <w:rsid w:val="00BF1B75"/>
    <w:rsid w:val="00BF1C5C"/>
    <w:rsid w:val="00BF2FF9"/>
    <w:rsid w:val="00BF3937"/>
    <w:rsid w:val="00BF3968"/>
    <w:rsid w:val="00BF42CE"/>
    <w:rsid w:val="00BF56D5"/>
    <w:rsid w:val="00BF5865"/>
    <w:rsid w:val="00BF67C4"/>
    <w:rsid w:val="00BF68A0"/>
    <w:rsid w:val="00BF74BC"/>
    <w:rsid w:val="00BF77A7"/>
    <w:rsid w:val="00BF79B8"/>
    <w:rsid w:val="00BF7F9E"/>
    <w:rsid w:val="00C001F1"/>
    <w:rsid w:val="00C004C1"/>
    <w:rsid w:val="00C00B5D"/>
    <w:rsid w:val="00C00C20"/>
    <w:rsid w:val="00C00DFC"/>
    <w:rsid w:val="00C01736"/>
    <w:rsid w:val="00C01911"/>
    <w:rsid w:val="00C01E27"/>
    <w:rsid w:val="00C02228"/>
    <w:rsid w:val="00C02307"/>
    <w:rsid w:val="00C02DAD"/>
    <w:rsid w:val="00C042DF"/>
    <w:rsid w:val="00C04FFC"/>
    <w:rsid w:val="00C05414"/>
    <w:rsid w:val="00C079FE"/>
    <w:rsid w:val="00C10778"/>
    <w:rsid w:val="00C10AD5"/>
    <w:rsid w:val="00C1304F"/>
    <w:rsid w:val="00C13B82"/>
    <w:rsid w:val="00C14B1A"/>
    <w:rsid w:val="00C15A38"/>
    <w:rsid w:val="00C15C63"/>
    <w:rsid w:val="00C15CCC"/>
    <w:rsid w:val="00C1675A"/>
    <w:rsid w:val="00C1732A"/>
    <w:rsid w:val="00C20029"/>
    <w:rsid w:val="00C205FA"/>
    <w:rsid w:val="00C2196F"/>
    <w:rsid w:val="00C21EE0"/>
    <w:rsid w:val="00C22F82"/>
    <w:rsid w:val="00C2428B"/>
    <w:rsid w:val="00C25866"/>
    <w:rsid w:val="00C258B1"/>
    <w:rsid w:val="00C26B69"/>
    <w:rsid w:val="00C27046"/>
    <w:rsid w:val="00C277A8"/>
    <w:rsid w:val="00C27A54"/>
    <w:rsid w:val="00C32822"/>
    <w:rsid w:val="00C337A0"/>
    <w:rsid w:val="00C341A0"/>
    <w:rsid w:val="00C35900"/>
    <w:rsid w:val="00C3722B"/>
    <w:rsid w:val="00C4065D"/>
    <w:rsid w:val="00C4143B"/>
    <w:rsid w:val="00C43DFF"/>
    <w:rsid w:val="00C46297"/>
    <w:rsid w:val="00C46A93"/>
    <w:rsid w:val="00C470F0"/>
    <w:rsid w:val="00C473EA"/>
    <w:rsid w:val="00C47F11"/>
    <w:rsid w:val="00C50260"/>
    <w:rsid w:val="00C509D1"/>
    <w:rsid w:val="00C514A1"/>
    <w:rsid w:val="00C516F8"/>
    <w:rsid w:val="00C528D1"/>
    <w:rsid w:val="00C52A57"/>
    <w:rsid w:val="00C52AE8"/>
    <w:rsid w:val="00C52EF6"/>
    <w:rsid w:val="00C531DF"/>
    <w:rsid w:val="00C5387D"/>
    <w:rsid w:val="00C53C85"/>
    <w:rsid w:val="00C54BDB"/>
    <w:rsid w:val="00C55F17"/>
    <w:rsid w:val="00C56532"/>
    <w:rsid w:val="00C56ACF"/>
    <w:rsid w:val="00C571BC"/>
    <w:rsid w:val="00C57B8D"/>
    <w:rsid w:val="00C60807"/>
    <w:rsid w:val="00C60A1C"/>
    <w:rsid w:val="00C615DA"/>
    <w:rsid w:val="00C621A0"/>
    <w:rsid w:val="00C62AB8"/>
    <w:rsid w:val="00C62CF3"/>
    <w:rsid w:val="00C64576"/>
    <w:rsid w:val="00C6491C"/>
    <w:rsid w:val="00C64D1E"/>
    <w:rsid w:val="00C650F0"/>
    <w:rsid w:val="00C65542"/>
    <w:rsid w:val="00C65FF2"/>
    <w:rsid w:val="00C667F6"/>
    <w:rsid w:val="00C670F1"/>
    <w:rsid w:val="00C67FAC"/>
    <w:rsid w:val="00C70A22"/>
    <w:rsid w:val="00C70E62"/>
    <w:rsid w:val="00C71581"/>
    <w:rsid w:val="00C717C1"/>
    <w:rsid w:val="00C722BD"/>
    <w:rsid w:val="00C72511"/>
    <w:rsid w:val="00C725EA"/>
    <w:rsid w:val="00C7326D"/>
    <w:rsid w:val="00C738AF"/>
    <w:rsid w:val="00C73B6E"/>
    <w:rsid w:val="00C73D0C"/>
    <w:rsid w:val="00C7425A"/>
    <w:rsid w:val="00C7458A"/>
    <w:rsid w:val="00C74E02"/>
    <w:rsid w:val="00C74F12"/>
    <w:rsid w:val="00C74FE3"/>
    <w:rsid w:val="00C7506F"/>
    <w:rsid w:val="00C750AB"/>
    <w:rsid w:val="00C75486"/>
    <w:rsid w:val="00C75642"/>
    <w:rsid w:val="00C75737"/>
    <w:rsid w:val="00C75EF7"/>
    <w:rsid w:val="00C76181"/>
    <w:rsid w:val="00C764F3"/>
    <w:rsid w:val="00C767F0"/>
    <w:rsid w:val="00C76DAB"/>
    <w:rsid w:val="00C803CF"/>
    <w:rsid w:val="00C808F9"/>
    <w:rsid w:val="00C818F2"/>
    <w:rsid w:val="00C81C56"/>
    <w:rsid w:val="00C828E4"/>
    <w:rsid w:val="00C82C1A"/>
    <w:rsid w:val="00C840E3"/>
    <w:rsid w:val="00C8480F"/>
    <w:rsid w:val="00C852D6"/>
    <w:rsid w:val="00C8634A"/>
    <w:rsid w:val="00C86886"/>
    <w:rsid w:val="00C874B9"/>
    <w:rsid w:val="00C879B5"/>
    <w:rsid w:val="00C879F5"/>
    <w:rsid w:val="00C87D15"/>
    <w:rsid w:val="00C87F69"/>
    <w:rsid w:val="00C904CA"/>
    <w:rsid w:val="00C90EA0"/>
    <w:rsid w:val="00C91A02"/>
    <w:rsid w:val="00C91A32"/>
    <w:rsid w:val="00C92140"/>
    <w:rsid w:val="00C93A24"/>
    <w:rsid w:val="00C94685"/>
    <w:rsid w:val="00C94737"/>
    <w:rsid w:val="00C95582"/>
    <w:rsid w:val="00C9563C"/>
    <w:rsid w:val="00C957B9"/>
    <w:rsid w:val="00C9648D"/>
    <w:rsid w:val="00C96680"/>
    <w:rsid w:val="00C9723C"/>
    <w:rsid w:val="00CA26EF"/>
    <w:rsid w:val="00CA2B48"/>
    <w:rsid w:val="00CA3E70"/>
    <w:rsid w:val="00CA3FBA"/>
    <w:rsid w:val="00CA42F9"/>
    <w:rsid w:val="00CA55FE"/>
    <w:rsid w:val="00CA647C"/>
    <w:rsid w:val="00CA6F0A"/>
    <w:rsid w:val="00CA720B"/>
    <w:rsid w:val="00CA7485"/>
    <w:rsid w:val="00CA7890"/>
    <w:rsid w:val="00CA7984"/>
    <w:rsid w:val="00CA7C71"/>
    <w:rsid w:val="00CB0A01"/>
    <w:rsid w:val="00CB0AA3"/>
    <w:rsid w:val="00CB1430"/>
    <w:rsid w:val="00CB22B1"/>
    <w:rsid w:val="00CB2D52"/>
    <w:rsid w:val="00CB3159"/>
    <w:rsid w:val="00CB357E"/>
    <w:rsid w:val="00CB3642"/>
    <w:rsid w:val="00CB41A7"/>
    <w:rsid w:val="00CB4B35"/>
    <w:rsid w:val="00CB50BF"/>
    <w:rsid w:val="00CB52C8"/>
    <w:rsid w:val="00CB54A3"/>
    <w:rsid w:val="00CB5AD4"/>
    <w:rsid w:val="00CB70C8"/>
    <w:rsid w:val="00CC058C"/>
    <w:rsid w:val="00CC0BC7"/>
    <w:rsid w:val="00CC1169"/>
    <w:rsid w:val="00CC13AB"/>
    <w:rsid w:val="00CC1E7B"/>
    <w:rsid w:val="00CC211A"/>
    <w:rsid w:val="00CC30C9"/>
    <w:rsid w:val="00CC3800"/>
    <w:rsid w:val="00CC3E5A"/>
    <w:rsid w:val="00CC51CE"/>
    <w:rsid w:val="00CC54AC"/>
    <w:rsid w:val="00CC696D"/>
    <w:rsid w:val="00CC76BF"/>
    <w:rsid w:val="00CC78FD"/>
    <w:rsid w:val="00CD0750"/>
    <w:rsid w:val="00CD1B64"/>
    <w:rsid w:val="00CD2DA7"/>
    <w:rsid w:val="00CD43AB"/>
    <w:rsid w:val="00CD4AD6"/>
    <w:rsid w:val="00CD4B93"/>
    <w:rsid w:val="00CD50E8"/>
    <w:rsid w:val="00CD5180"/>
    <w:rsid w:val="00CD5E33"/>
    <w:rsid w:val="00CE009B"/>
    <w:rsid w:val="00CE04EA"/>
    <w:rsid w:val="00CE09AD"/>
    <w:rsid w:val="00CE146B"/>
    <w:rsid w:val="00CE2068"/>
    <w:rsid w:val="00CE36A3"/>
    <w:rsid w:val="00CE49AF"/>
    <w:rsid w:val="00CE5265"/>
    <w:rsid w:val="00CE52C4"/>
    <w:rsid w:val="00CE5377"/>
    <w:rsid w:val="00CE57B3"/>
    <w:rsid w:val="00CE5A7A"/>
    <w:rsid w:val="00CE6DFA"/>
    <w:rsid w:val="00CE6F97"/>
    <w:rsid w:val="00CE7C5E"/>
    <w:rsid w:val="00CF0878"/>
    <w:rsid w:val="00CF1FA3"/>
    <w:rsid w:val="00CF30C0"/>
    <w:rsid w:val="00CF33DC"/>
    <w:rsid w:val="00CF4145"/>
    <w:rsid w:val="00CF5255"/>
    <w:rsid w:val="00CF5447"/>
    <w:rsid w:val="00CF5619"/>
    <w:rsid w:val="00CF57AE"/>
    <w:rsid w:val="00CF58E7"/>
    <w:rsid w:val="00CF5FB4"/>
    <w:rsid w:val="00CF69DE"/>
    <w:rsid w:val="00CF6BE4"/>
    <w:rsid w:val="00D0077C"/>
    <w:rsid w:val="00D01DB2"/>
    <w:rsid w:val="00D01E01"/>
    <w:rsid w:val="00D02ED7"/>
    <w:rsid w:val="00D044AE"/>
    <w:rsid w:val="00D07613"/>
    <w:rsid w:val="00D10510"/>
    <w:rsid w:val="00D10853"/>
    <w:rsid w:val="00D1136B"/>
    <w:rsid w:val="00D11AD5"/>
    <w:rsid w:val="00D11CA6"/>
    <w:rsid w:val="00D12097"/>
    <w:rsid w:val="00D126D2"/>
    <w:rsid w:val="00D12A5D"/>
    <w:rsid w:val="00D12AC8"/>
    <w:rsid w:val="00D13AFE"/>
    <w:rsid w:val="00D143C4"/>
    <w:rsid w:val="00D149DA"/>
    <w:rsid w:val="00D14F94"/>
    <w:rsid w:val="00D15017"/>
    <w:rsid w:val="00D150D6"/>
    <w:rsid w:val="00D152C5"/>
    <w:rsid w:val="00D15B7E"/>
    <w:rsid w:val="00D15E86"/>
    <w:rsid w:val="00D16326"/>
    <w:rsid w:val="00D2068B"/>
    <w:rsid w:val="00D209F3"/>
    <w:rsid w:val="00D20F45"/>
    <w:rsid w:val="00D21257"/>
    <w:rsid w:val="00D2129C"/>
    <w:rsid w:val="00D21BE6"/>
    <w:rsid w:val="00D21CBC"/>
    <w:rsid w:val="00D21FBD"/>
    <w:rsid w:val="00D220C7"/>
    <w:rsid w:val="00D22538"/>
    <w:rsid w:val="00D22A2E"/>
    <w:rsid w:val="00D24048"/>
    <w:rsid w:val="00D24312"/>
    <w:rsid w:val="00D24882"/>
    <w:rsid w:val="00D24FEC"/>
    <w:rsid w:val="00D2603A"/>
    <w:rsid w:val="00D26331"/>
    <w:rsid w:val="00D26EDD"/>
    <w:rsid w:val="00D26FCA"/>
    <w:rsid w:val="00D27C24"/>
    <w:rsid w:val="00D30566"/>
    <w:rsid w:val="00D30B59"/>
    <w:rsid w:val="00D30D38"/>
    <w:rsid w:val="00D327F0"/>
    <w:rsid w:val="00D33046"/>
    <w:rsid w:val="00D337BE"/>
    <w:rsid w:val="00D3390C"/>
    <w:rsid w:val="00D33AA5"/>
    <w:rsid w:val="00D34410"/>
    <w:rsid w:val="00D34ABB"/>
    <w:rsid w:val="00D34EEF"/>
    <w:rsid w:val="00D3558F"/>
    <w:rsid w:val="00D3720C"/>
    <w:rsid w:val="00D3756D"/>
    <w:rsid w:val="00D40020"/>
    <w:rsid w:val="00D4020E"/>
    <w:rsid w:val="00D408CF"/>
    <w:rsid w:val="00D41961"/>
    <w:rsid w:val="00D43E72"/>
    <w:rsid w:val="00D45B32"/>
    <w:rsid w:val="00D47116"/>
    <w:rsid w:val="00D47FF3"/>
    <w:rsid w:val="00D508CA"/>
    <w:rsid w:val="00D5097C"/>
    <w:rsid w:val="00D51338"/>
    <w:rsid w:val="00D51A75"/>
    <w:rsid w:val="00D52E56"/>
    <w:rsid w:val="00D52EFB"/>
    <w:rsid w:val="00D55CF0"/>
    <w:rsid w:val="00D56B2C"/>
    <w:rsid w:val="00D56FBA"/>
    <w:rsid w:val="00D57408"/>
    <w:rsid w:val="00D57607"/>
    <w:rsid w:val="00D57EA5"/>
    <w:rsid w:val="00D6095A"/>
    <w:rsid w:val="00D60A68"/>
    <w:rsid w:val="00D60C00"/>
    <w:rsid w:val="00D62726"/>
    <w:rsid w:val="00D62BA5"/>
    <w:rsid w:val="00D65754"/>
    <w:rsid w:val="00D666CF"/>
    <w:rsid w:val="00D66749"/>
    <w:rsid w:val="00D6692B"/>
    <w:rsid w:val="00D6693A"/>
    <w:rsid w:val="00D66ED7"/>
    <w:rsid w:val="00D70FCE"/>
    <w:rsid w:val="00D7131B"/>
    <w:rsid w:val="00D722BD"/>
    <w:rsid w:val="00D7377B"/>
    <w:rsid w:val="00D73AFE"/>
    <w:rsid w:val="00D74F1B"/>
    <w:rsid w:val="00D74F83"/>
    <w:rsid w:val="00D75BA0"/>
    <w:rsid w:val="00D7611D"/>
    <w:rsid w:val="00D7762F"/>
    <w:rsid w:val="00D80DA5"/>
    <w:rsid w:val="00D81003"/>
    <w:rsid w:val="00D81447"/>
    <w:rsid w:val="00D8181D"/>
    <w:rsid w:val="00D82813"/>
    <w:rsid w:val="00D82AC6"/>
    <w:rsid w:val="00D840CB"/>
    <w:rsid w:val="00D84F08"/>
    <w:rsid w:val="00D84F38"/>
    <w:rsid w:val="00D85699"/>
    <w:rsid w:val="00D85B2F"/>
    <w:rsid w:val="00D861A2"/>
    <w:rsid w:val="00D86B7C"/>
    <w:rsid w:val="00D86C94"/>
    <w:rsid w:val="00D90FDA"/>
    <w:rsid w:val="00D917F9"/>
    <w:rsid w:val="00D92564"/>
    <w:rsid w:val="00D926FA"/>
    <w:rsid w:val="00D93556"/>
    <w:rsid w:val="00D94457"/>
    <w:rsid w:val="00D95608"/>
    <w:rsid w:val="00D958C0"/>
    <w:rsid w:val="00D9614A"/>
    <w:rsid w:val="00DA0133"/>
    <w:rsid w:val="00DA113B"/>
    <w:rsid w:val="00DA1220"/>
    <w:rsid w:val="00DA16F4"/>
    <w:rsid w:val="00DA223E"/>
    <w:rsid w:val="00DA2278"/>
    <w:rsid w:val="00DA271E"/>
    <w:rsid w:val="00DA2DBF"/>
    <w:rsid w:val="00DA313C"/>
    <w:rsid w:val="00DA46CB"/>
    <w:rsid w:val="00DA5140"/>
    <w:rsid w:val="00DA51FD"/>
    <w:rsid w:val="00DA539E"/>
    <w:rsid w:val="00DA5684"/>
    <w:rsid w:val="00DA5A72"/>
    <w:rsid w:val="00DA5F64"/>
    <w:rsid w:val="00DA6152"/>
    <w:rsid w:val="00DA629C"/>
    <w:rsid w:val="00DA63D1"/>
    <w:rsid w:val="00DA69B9"/>
    <w:rsid w:val="00DA728C"/>
    <w:rsid w:val="00DB0018"/>
    <w:rsid w:val="00DB02CD"/>
    <w:rsid w:val="00DB0428"/>
    <w:rsid w:val="00DB1B00"/>
    <w:rsid w:val="00DB1D68"/>
    <w:rsid w:val="00DB1EB5"/>
    <w:rsid w:val="00DB2967"/>
    <w:rsid w:val="00DB32C0"/>
    <w:rsid w:val="00DB3352"/>
    <w:rsid w:val="00DB3D02"/>
    <w:rsid w:val="00DB5DB2"/>
    <w:rsid w:val="00DB662A"/>
    <w:rsid w:val="00DB67CE"/>
    <w:rsid w:val="00DB69AF"/>
    <w:rsid w:val="00DB71B9"/>
    <w:rsid w:val="00DB7ED2"/>
    <w:rsid w:val="00DC09BB"/>
    <w:rsid w:val="00DC11C3"/>
    <w:rsid w:val="00DC17A2"/>
    <w:rsid w:val="00DC1D48"/>
    <w:rsid w:val="00DC1FA8"/>
    <w:rsid w:val="00DC2125"/>
    <w:rsid w:val="00DC2DC3"/>
    <w:rsid w:val="00DC3BC1"/>
    <w:rsid w:val="00DC5C40"/>
    <w:rsid w:val="00DC6164"/>
    <w:rsid w:val="00DC63C0"/>
    <w:rsid w:val="00DC66E8"/>
    <w:rsid w:val="00DC6A7A"/>
    <w:rsid w:val="00DC6CF6"/>
    <w:rsid w:val="00DC7034"/>
    <w:rsid w:val="00DC75B2"/>
    <w:rsid w:val="00DC76F9"/>
    <w:rsid w:val="00DC7890"/>
    <w:rsid w:val="00DC7A68"/>
    <w:rsid w:val="00DD03CF"/>
    <w:rsid w:val="00DD2495"/>
    <w:rsid w:val="00DD35EA"/>
    <w:rsid w:val="00DD3686"/>
    <w:rsid w:val="00DD378C"/>
    <w:rsid w:val="00DD3E88"/>
    <w:rsid w:val="00DD5114"/>
    <w:rsid w:val="00DD5248"/>
    <w:rsid w:val="00DD5479"/>
    <w:rsid w:val="00DD5F43"/>
    <w:rsid w:val="00DD707F"/>
    <w:rsid w:val="00DD7271"/>
    <w:rsid w:val="00DD78B2"/>
    <w:rsid w:val="00DD792D"/>
    <w:rsid w:val="00DE015B"/>
    <w:rsid w:val="00DE0C57"/>
    <w:rsid w:val="00DE1410"/>
    <w:rsid w:val="00DE26B7"/>
    <w:rsid w:val="00DE2E7A"/>
    <w:rsid w:val="00DE3186"/>
    <w:rsid w:val="00DE3492"/>
    <w:rsid w:val="00DE3946"/>
    <w:rsid w:val="00DE3CD1"/>
    <w:rsid w:val="00DE41EA"/>
    <w:rsid w:val="00DE47E0"/>
    <w:rsid w:val="00DE6026"/>
    <w:rsid w:val="00DE6116"/>
    <w:rsid w:val="00DE6821"/>
    <w:rsid w:val="00DE6AF9"/>
    <w:rsid w:val="00DE6E27"/>
    <w:rsid w:val="00DE7739"/>
    <w:rsid w:val="00DF0396"/>
    <w:rsid w:val="00DF0888"/>
    <w:rsid w:val="00DF21D9"/>
    <w:rsid w:val="00DF23EF"/>
    <w:rsid w:val="00DF2C18"/>
    <w:rsid w:val="00DF3D79"/>
    <w:rsid w:val="00DF47EE"/>
    <w:rsid w:val="00DF502B"/>
    <w:rsid w:val="00DF54BB"/>
    <w:rsid w:val="00DF62E0"/>
    <w:rsid w:val="00DF7435"/>
    <w:rsid w:val="00DF7D77"/>
    <w:rsid w:val="00E00060"/>
    <w:rsid w:val="00E000A7"/>
    <w:rsid w:val="00E00431"/>
    <w:rsid w:val="00E00507"/>
    <w:rsid w:val="00E006F4"/>
    <w:rsid w:val="00E00CC8"/>
    <w:rsid w:val="00E00E12"/>
    <w:rsid w:val="00E00FD3"/>
    <w:rsid w:val="00E0376B"/>
    <w:rsid w:val="00E04254"/>
    <w:rsid w:val="00E0594F"/>
    <w:rsid w:val="00E06166"/>
    <w:rsid w:val="00E06BE5"/>
    <w:rsid w:val="00E06C22"/>
    <w:rsid w:val="00E07795"/>
    <w:rsid w:val="00E07A3B"/>
    <w:rsid w:val="00E07FF6"/>
    <w:rsid w:val="00E10DF0"/>
    <w:rsid w:val="00E11F2A"/>
    <w:rsid w:val="00E125FC"/>
    <w:rsid w:val="00E1304B"/>
    <w:rsid w:val="00E147A0"/>
    <w:rsid w:val="00E163CE"/>
    <w:rsid w:val="00E21BC0"/>
    <w:rsid w:val="00E21C53"/>
    <w:rsid w:val="00E21CFC"/>
    <w:rsid w:val="00E21D16"/>
    <w:rsid w:val="00E227A8"/>
    <w:rsid w:val="00E23508"/>
    <w:rsid w:val="00E23E26"/>
    <w:rsid w:val="00E250D5"/>
    <w:rsid w:val="00E25958"/>
    <w:rsid w:val="00E25EB4"/>
    <w:rsid w:val="00E3048B"/>
    <w:rsid w:val="00E30FFE"/>
    <w:rsid w:val="00E3120A"/>
    <w:rsid w:val="00E319F1"/>
    <w:rsid w:val="00E31B70"/>
    <w:rsid w:val="00E31F5F"/>
    <w:rsid w:val="00E3284A"/>
    <w:rsid w:val="00E32B86"/>
    <w:rsid w:val="00E32F8A"/>
    <w:rsid w:val="00E3450F"/>
    <w:rsid w:val="00E35150"/>
    <w:rsid w:val="00E35603"/>
    <w:rsid w:val="00E36441"/>
    <w:rsid w:val="00E40A55"/>
    <w:rsid w:val="00E40BD9"/>
    <w:rsid w:val="00E41A3C"/>
    <w:rsid w:val="00E427EA"/>
    <w:rsid w:val="00E42915"/>
    <w:rsid w:val="00E43501"/>
    <w:rsid w:val="00E436CF"/>
    <w:rsid w:val="00E445F3"/>
    <w:rsid w:val="00E45076"/>
    <w:rsid w:val="00E45EC6"/>
    <w:rsid w:val="00E47096"/>
    <w:rsid w:val="00E47297"/>
    <w:rsid w:val="00E47572"/>
    <w:rsid w:val="00E47746"/>
    <w:rsid w:val="00E47C0C"/>
    <w:rsid w:val="00E51017"/>
    <w:rsid w:val="00E512E5"/>
    <w:rsid w:val="00E51C05"/>
    <w:rsid w:val="00E51E7C"/>
    <w:rsid w:val="00E51FF3"/>
    <w:rsid w:val="00E520D4"/>
    <w:rsid w:val="00E52503"/>
    <w:rsid w:val="00E52EDE"/>
    <w:rsid w:val="00E5416C"/>
    <w:rsid w:val="00E54809"/>
    <w:rsid w:val="00E54EAC"/>
    <w:rsid w:val="00E551D1"/>
    <w:rsid w:val="00E56D72"/>
    <w:rsid w:val="00E60486"/>
    <w:rsid w:val="00E60783"/>
    <w:rsid w:val="00E607B4"/>
    <w:rsid w:val="00E619D0"/>
    <w:rsid w:val="00E635C3"/>
    <w:rsid w:val="00E63F62"/>
    <w:rsid w:val="00E64AD6"/>
    <w:rsid w:val="00E6584B"/>
    <w:rsid w:val="00E65BC7"/>
    <w:rsid w:val="00E6626C"/>
    <w:rsid w:val="00E663DA"/>
    <w:rsid w:val="00E663EC"/>
    <w:rsid w:val="00E66BAA"/>
    <w:rsid w:val="00E66E32"/>
    <w:rsid w:val="00E671D9"/>
    <w:rsid w:val="00E6777C"/>
    <w:rsid w:val="00E677BA"/>
    <w:rsid w:val="00E67A03"/>
    <w:rsid w:val="00E7061C"/>
    <w:rsid w:val="00E723C5"/>
    <w:rsid w:val="00E72584"/>
    <w:rsid w:val="00E72A21"/>
    <w:rsid w:val="00E73116"/>
    <w:rsid w:val="00E73369"/>
    <w:rsid w:val="00E741A2"/>
    <w:rsid w:val="00E7481D"/>
    <w:rsid w:val="00E76096"/>
    <w:rsid w:val="00E77ABA"/>
    <w:rsid w:val="00E77E24"/>
    <w:rsid w:val="00E81029"/>
    <w:rsid w:val="00E814A1"/>
    <w:rsid w:val="00E814F0"/>
    <w:rsid w:val="00E827B2"/>
    <w:rsid w:val="00E83678"/>
    <w:rsid w:val="00E84A19"/>
    <w:rsid w:val="00E84B9A"/>
    <w:rsid w:val="00E8694E"/>
    <w:rsid w:val="00E907C5"/>
    <w:rsid w:val="00E907EE"/>
    <w:rsid w:val="00E909E3"/>
    <w:rsid w:val="00E90EFD"/>
    <w:rsid w:val="00E911DB"/>
    <w:rsid w:val="00E91206"/>
    <w:rsid w:val="00E91283"/>
    <w:rsid w:val="00E91363"/>
    <w:rsid w:val="00E91FAD"/>
    <w:rsid w:val="00E93425"/>
    <w:rsid w:val="00E934D3"/>
    <w:rsid w:val="00E93A9C"/>
    <w:rsid w:val="00E93D79"/>
    <w:rsid w:val="00E93F6E"/>
    <w:rsid w:val="00E93FFC"/>
    <w:rsid w:val="00E948A2"/>
    <w:rsid w:val="00E95908"/>
    <w:rsid w:val="00E95C23"/>
    <w:rsid w:val="00E96EF4"/>
    <w:rsid w:val="00E970B9"/>
    <w:rsid w:val="00E97543"/>
    <w:rsid w:val="00EA0380"/>
    <w:rsid w:val="00EA0910"/>
    <w:rsid w:val="00EA0B82"/>
    <w:rsid w:val="00EA0C58"/>
    <w:rsid w:val="00EA0CD7"/>
    <w:rsid w:val="00EA1B99"/>
    <w:rsid w:val="00EA1D7E"/>
    <w:rsid w:val="00EA1F5C"/>
    <w:rsid w:val="00EA1FD4"/>
    <w:rsid w:val="00EA2232"/>
    <w:rsid w:val="00EA2B23"/>
    <w:rsid w:val="00EA3514"/>
    <w:rsid w:val="00EA40C7"/>
    <w:rsid w:val="00EA436F"/>
    <w:rsid w:val="00EA51D0"/>
    <w:rsid w:val="00EA521D"/>
    <w:rsid w:val="00EA5559"/>
    <w:rsid w:val="00EA63B2"/>
    <w:rsid w:val="00EB0493"/>
    <w:rsid w:val="00EB17AB"/>
    <w:rsid w:val="00EB1F0B"/>
    <w:rsid w:val="00EB2E69"/>
    <w:rsid w:val="00EB36BE"/>
    <w:rsid w:val="00EB4726"/>
    <w:rsid w:val="00EB536D"/>
    <w:rsid w:val="00EB72A8"/>
    <w:rsid w:val="00EC13FD"/>
    <w:rsid w:val="00EC16DC"/>
    <w:rsid w:val="00EC2624"/>
    <w:rsid w:val="00EC28CB"/>
    <w:rsid w:val="00EC34FE"/>
    <w:rsid w:val="00EC3D97"/>
    <w:rsid w:val="00EC3F1F"/>
    <w:rsid w:val="00EC4022"/>
    <w:rsid w:val="00EC4718"/>
    <w:rsid w:val="00EC5262"/>
    <w:rsid w:val="00EC5974"/>
    <w:rsid w:val="00EC636E"/>
    <w:rsid w:val="00EC6448"/>
    <w:rsid w:val="00EC7751"/>
    <w:rsid w:val="00EC7F4E"/>
    <w:rsid w:val="00ED0231"/>
    <w:rsid w:val="00ED02EF"/>
    <w:rsid w:val="00ED0831"/>
    <w:rsid w:val="00ED1C4A"/>
    <w:rsid w:val="00ED2254"/>
    <w:rsid w:val="00ED2B11"/>
    <w:rsid w:val="00ED2C8D"/>
    <w:rsid w:val="00ED314B"/>
    <w:rsid w:val="00ED37D0"/>
    <w:rsid w:val="00ED3F9D"/>
    <w:rsid w:val="00ED439F"/>
    <w:rsid w:val="00ED526A"/>
    <w:rsid w:val="00ED543B"/>
    <w:rsid w:val="00ED55C0"/>
    <w:rsid w:val="00ED5ECD"/>
    <w:rsid w:val="00ED71D5"/>
    <w:rsid w:val="00ED74F5"/>
    <w:rsid w:val="00EE042C"/>
    <w:rsid w:val="00EE0913"/>
    <w:rsid w:val="00EE0A0B"/>
    <w:rsid w:val="00EE25D9"/>
    <w:rsid w:val="00EE2C59"/>
    <w:rsid w:val="00EE2E0D"/>
    <w:rsid w:val="00EE3C92"/>
    <w:rsid w:val="00EE3D95"/>
    <w:rsid w:val="00EE7E4F"/>
    <w:rsid w:val="00EF006C"/>
    <w:rsid w:val="00EF009D"/>
    <w:rsid w:val="00EF083D"/>
    <w:rsid w:val="00EF0962"/>
    <w:rsid w:val="00EF0F18"/>
    <w:rsid w:val="00EF209D"/>
    <w:rsid w:val="00EF233D"/>
    <w:rsid w:val="00EF26EA"/>
    <w:rsid w:val="00EF3590"/>
    <w:rsid w:val="00EF3D32"/>
    <w:rsid w:val="00EF57BF"/>
    <w:rsid w:val="00EF6277"/>
    <w:rsid w:val="00EF6FDB"/>
    <w:rsid w:val="00F00420"/>
    <w:rsid w:val="00F00E39"/>
    <w:rsid w:val="00F0127B"/>
    <w:rsid w:val="00F014C9"/>
    <w:rsid w:val="00F01B9E"/>
    <w:rsid w:val="00F0229E"/>
    <w:rsid w:val="00F0302D"/>
    <w:rsid w:val="00F03244"/>
    <w:rsid w:val="00F034BC"/>
    <w:rsid w:val="00F03FCD"/>
    <w:rsid w:val="00F05134"/>
    <w:rsid w:val="00F05BD3"/>
    <w:rsid w:val="00F0627D"/>
    <w:rsid w:val="00F06AF5"/>
    <w:rsid w:val="00F07C7C"/>
    <w:rsid w:val="00F07FE2"/>
    <w:rsid w:val="00F10903"/>
    <w:rsid w:val="00F117BC"/>
    <w:rsid w:val="00F11DCF"/>
    <w:rsid w:val="00F1226F"/>
    <w:rsid w:val="00F122B5"/>
    <w:rsid w:val="00F1248E"/>
    <w:rsid w:val="00F12BCB"/>
    <w:rsid w:val="00F14E40"/>
    <w:rsid w:val="00F1515F"/>
    <w:rsid w:val="00F15DDB"/>
    <w:rsid w:val="00F16098"/>
    <w:rsid w:val="00F16779"/>
    <w:rsid w:val="00F17131"/>
    <w:rsid w:val="00F17206"/>
    <w:rsid w:val="00F20D61"/>
    <w:rsid w:val="00F21854"/>
    <w:rsid w:val="00F21EAD"/>
    <w:rsid w:val="00F24C39"/>
    <w:rsid w:val="00F24CA5"/>
    <w:rsid w:val="00F259B3"/>
    <w:rsid w:val="00F279A6"/>
    <w:rsid w:val="00F27B39"/>
    <w:rsid w:val="00F303DF"/>
    <w:rsid w:val="00F30812"/>
    <w:rsid w:val="00F30FB2"/>
    <w:rsid w:val="00F313CA"/>
    <w:rsid w:val="00F31A9A"/>
    <w:rsid w:val="00F32236"/>
    <w:rsid w:val="00F325C1"/>
    <w:rsid w:val="00F332C3"/>
    <w:rsid w:val="00F34A42"/>
    <w:rsid w:val="00F34D2B"/>
    <w:rsid w:val="00F35074"/>
    <w:rsid w:val="00F35505"/>
    <w:rsid w:val="00F358AF"/>
    <w:rsid w:val="00F35AF8"/>
    <w:rsid w:val="00F35E29"/>
    <w:rsid w:val="00F36479"/>
    <w:rsid w:val="00F36BC3"/>
    <w:rsid w:val="00F36FB1"/>
    <w:rsid w:val="00F3715D"/>
    <w:rsid w:val="00F3729E"/>
    <w:rsid w:val="00F37A57"/>
    <w:rsid w:val="00F40263"/>
    <w:rsid w:val="00F40CAB"/>
    <w:rsid w:val="00F41740"/>
    <w:rsid w:val="00F417D4"/>
    <w:rsid w:val="00F41895"/>
    <w:rsid w:val="00F41AFC"/>
    <w:rsid w:val="00F41CFE"/>
    <w:rsid w:val="00F42D37"/>
    <w:rsid w:val="00F432FB"/>
    <w:rsid w:val="00F44B84"/>
    <w:rsid w:val="00F45144"/>
    <w:rsid w:val="00F45F42"/>
    <w:rsid w:val="00F46233"/>
    <w:rsid w:val="00F47FF8"/>
    <w:rsid w:val="00F50A31"/>
    <w:rsid w:val="00F516B9"/>
    <w:rsid w:val="00F516E8"/>
    <w:rsid w:val="00F51C04"/>
    <w:rsid w:val="00F53111"/>
    <w:rsid w:val="00F53406"/>
    <w:rsid w:val="00F5395D"/>
    <w:rsid w:val="00F53A99"/>
    <w:rsid w:val="00F5402D"/>
    <w:rsid w:val="00F55983"/>
    <w:rsid w:val="00F55991"/>
    <w:rsid w:val="00F55E2C"/>
    <w:rsid w:val="00F56579"/>
    <w:rsid w:val="00F56887"/>
    <w:rsid w:val="00F61F49"/>
    <w:rsid w:val="00F620DD"/>
    <w:rsid w:val="00F6277C"/>
    <w:rsid w:val="00F63440"/>
    <w:rsid w:val="00F647F9"/>
    <w:rsid w:val="00F64B62"/>
    <w:rsid w:val="00F64F4B"/>
    <w:rsid w:val="00F661C7"/>
    <w:rsid w:val="00F66588"/>
    <w:rsid w:val="00F67F56"/>
    <w:rsid w:val="00F67F8C"/>
    <w:rsid w:val="00F67FD8"/>
    <w:rsid w:val="00F70838"/>
    <w:rsid w:val="00F71D5C"/>
    <w:rsid w:val="00F71E7A"/>
    <w:rsid w:val="00F720C1"/>
    <w:rsid w:val="00F727AF"/>
    <w:rsid w:val="00F72B0B"/>
    <w:rsid w:val="00F72C8D"/>
    <w:rsid w:val="00F737F2"/>
    <w:rsid w:val="00F73D97"/>
    <w:rsid w:val="00F74D56"/>
    <w:rsid w:val="00F74FF4"/>
    <w:rsid w:val="00F7593E"/>
    <w:rsid w:val="00F76078"/>
    <w:rsid w:val="00F760EB"/>
    <w:rsid w:val="00F76F9D"/>
    <w:rsid w:val="00F800B9"/>
    <w:rsid w:val="00F8076E"/>
    <w:rsid w:val="00F80B77"/>
    <w:rsid w:val="00F80FBC"/>
    <w:rsid w:val="00F8153F"/>
    <w:rsid w:val="00F8163A"/>
    <w:rsid w:val="00F8208F"/>
    <w:rsid w:val="00F8218E"/>
    <w:rsid w:val="00F82F71"/>
    <w:rsid w:val="00F833DC"/>
    <w:rsid w:val="00F83F8F"/>
    <w:rsid w:val="00F840FB"/>
    <w:rsid w:val="00F862D0"/>
    <w:rsid w:val="00F86B60"/>
    <w:rsid w:val="00F87092"/>
    <w:rsid w:val="00F87A56"/>
    <w:rsid w:val="00F87CD7"/>
    <w:rsid w:val="00F87D5F"/>
    <w:rsid w:val="00F90760"/>
    <w:rsid w:val="00F90DEB"/>
    <w:rsid w:val="00F91869"/>
    <w:rsid w:val="00F91CFE"/>
    <w:rsid w:val="00F923DC"/>
    <w:rsid w:val="00F9374F"/>
    <w:rsid w:val="00F93D8D"/>
    <w:rsid w:val="00F93E96"/>
    <w:rsid w:val="00F9525F"/>
    <w:rsid w:val="00F96269"/>
    <w:rsid w:val="00F96621"/>
    <w:rsid w:val="00F968A3"/>
    <w:rsid w:val="00F96A2B"/>
    <w:rsid w:val="00FA0219"/>
    <w:rsid w:val="00FA1A82"/>
    <w:rsid w:val="00FA30A2"/>
    <w:rsid w:val="00FA337C"/>
    <w:rsid w:val="00FA389D"/>
    <w:rsid w:val="00FA3CCE"/>
    <w:rsid w:val="00FA460E"/>
    <w:rsid w:val="00FA5273"/>
    <w:rsid w:val="00FA5BFD"/>
    <w:rsid w:val="00FA5E36"/>
    <w:rsid w:val="00FA6030"/>
    <w:rsid w:val="00FA641D"/>
    <w:rsid w:val="00FA6F79"/>
    <w:rsid w:val="00FA71F0"/>
    <w:rsid w:val="00FB02FF"/>
    <w:rsid w:val="00FB0AF5"/>
    <w:rsid w:val="00FB25C5"/>
    <w:rsid w:val="00FB2C5B"/>
    <w:rsid w:val="00FB2FBC"/>
    <w:rsid w:val="00FB4813"/>
    <w:rsid w:val="00FB4AF7"/>
    <w:rsid w:val="00FB5965"/>
    <w:rsid w:val="00FB71AA"/>
    <w:rsid w:val="00FC01F5"/>
    <w:rsid w:val="00FC0E9A"/>
    <w:rsid w:val="00FC2426"/>
    <w:rsid w:val="00FC2D25"/>
    <w:rsid w:val="00FC30B1"/>
    <w:rsid w:val="00FC3259"/>
    <w:rsid w:val="00FC3DF3"/>
    <w:rsid w:val="00FC4084"/>
    <w:rsid w:val="00FC4453"/>
    <w:rsid w:val="00FC556D"/>
    <w:rsid w:val="00FC6D76"/>
    <w:rsid w:val="00FC7687"/>
    <w:rsid w:val="00FC76D9"/>
    <w:rsid w:val="00FC7EC6"/>
    <w:rsid w:val="00FD023A"/>
    <w:rsid w:val="00FD0814"/>
    <w:rsid w:val="00FD248D"/>
    <w:rsid w:val="00FD285D"/>
    <w:rsid w:val="00FD2C13"/>
    <w:rsid w:val="00FD332A"/>
    <w:rsid w:val="00FD33E5"/>
    <w:rsid w:val="00FD3840"/>
    <w:rsid w:val="00FD49DA"/>
    <w:rsid w:val="00FD4B20"/>
    <w:rsid w:val="00FD5589"/>
    <w:rsid w:val="00FD570A"/>
    <w:rsid w:val="00FD5847"/>
    <w:rsid w:val="00FD5E12"/>
    <w:rsid w:val="00FD656E"/>
    <w:rsid w:val="00FD7143"/>
    <w:rsid w:val="00FD7C4B"/>
    <w:rsid w:val="00FE0AF7"/>
    <w:rsid w:val="00FE0ECD"/>
    <w:rsid w:val="00FE1323"/>
    <w:rsid w:val="00FE1DB5"/>
    <w:rsid w:val="00FE1F5E"/>
    <w:rsid w:val="00FE26AD"/>
    <w:rsid w:val="00FE271F"/>
    <w:rsid w:val="00FE28BE"/>
    <w:rsid w:val="00FE2EF9"/>
    <w:rsid w:val="00FE3142"/>
    <w:rsid w:val="00FE3CB1"/>
    <w:rsid w:val="00FE4342"/>
    <w:rsid w:val="00FE52E2"/>
    <w:rsid w:val="00FE5F99"/>
    <w:rsid w:val="00FE63F3"/>
    <w:rsid w:val="00FE6A9A"/>
    <w:rsid w:val="00FE79C1"/>
    <w:rsid w:val="00FE7B87"/>
    <w:rsid w:val="00FF00E1"/>
    <w:rsid w:val="00FF0587"/>
    <w:rsid w:val="00FF1F49"/>
    <w:rsid w:val="00FF3301"/>
    <w:rsid w:val="00FF3335"/>
    <w:rsid w:val="00FF3C71"/>
    <w:rsid w:val="00FF3DEC"/>
    <w:rsid w:val="00FF4469"/>
    <w:rsid w:val="00FF47F6"/>
    <w:rsid w:val="00FF4A83"/>
    <w:rsid w:val="00FF4D31"/>
    <w:rsid w:val="00FF52CF"/>
    <w:rsid w:val="00FF5CC9"/>
    <w:rsid w:val="00FF6D43"/>
    <w:rsid w:val="00FF73E8"/>
    <w:rsid w:val="00FF796E"/>
    <w:rsid w:val="0136028B"/>
    <w:rsid w:val="041F2D9E"/>
    <w:rsid w:val="08F90549"/>
    <w:rsid w:val="09D05DEC"/>
    <w:rsid w:val="09F63639"/>
    <w:rsid w:val="19F71C34"/>
    <w:rsid w:val="1BFA1A53"/>
    <w:rsid w:val="1C2B0EAC"/>
    <w:rsid w:val="1FE91A8A"/>
    <w:rsid w:val="2277389B"/>
    <w:rsid w:val="259439FC"/>
    <w:rsid w:val="26A356EF"/>
    <w:rsid w:val="270D6402"/>
    <w:rsid w:val="30075F2D"/>
    <w:rsid w:val="349E3B22"/>
    <w:rsid w:val="353C4DCD"/>
    <w:rsid w:val="3CCA65A0"/>
    <w:rsid w:val="3D9E769D"/>
    <w:rsid w:val="3FA61DD6"/>
    <w:rsid w:val="43025857"/>
    <w:rsid w:val="476D6BB3"/>
    <w:rsid w:val="53CE29C2"/>
    <w:rsid w:val="5C2C297C"/>
    <w:rsid w:val="5CFE08AF"/>
    <w:rsid w:val="5FE572A1"/>
    <w:rsid w:val="60723523"/>
    <w:rsid w:val="633A50B8"/>
    <w:rsid w:val="64662CCF"/>
    <w:rsid w:val="650A7614"/>
    <w:rsid w:val="6D341690"/>
    <w:rsid w:val="6DC87FAF"/>
    <w:rsid w:val="70323498"/>
    <w:rsid w:val="724C158B"/>
    <w:rsid w:val="72D4487B"/>
    <w:rsid w:val="74B7525B"/>
    <w:rsid w:val="750E6C6B"/>
    <w:rsid w:val="79814931"/>
    <w:rsid w:val="7B70048C"/>
    <w:rsid w:val="7C4B484E"/>
    <w:rsid w:val="7E38645A"/>
    <w:rsid w:val="7F3217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iPriority="99" w:semiHidden="0" w:name="header"/>
    <w:lsdException w:qFormat="1"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qFormat="1"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9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35"/>
    <w:qFormat/>
    <w:uiPriority w:val="9"/>
    <w:pPr>
      <w:keepNext/>
      <w:keepLines/>
      <w:spacing w:before="340" w:after="330" w:line="578" w:lineRule="auto"/>
      <w:outlineLvl w:val="0"/>
    </w:pPr>
    <w:rPr>
      <w:rFonts w:asciiTheme="minorHAnsi" w:hAnsiTheme="minorHAnsi" w:eastAsiaTheme="minorEastAsia" w:cstheme="minorBidi"/>
      <w:b/>
      <w:bCs/>
      <w:kern w:val="44"/>
      <w:sz w:val="44"/>
      <w:szCs w:val="44"/>
    </w:rPr>
  </w:style>
  <w:style w:type="paragraph" w:styleId="3">
    <w:name w:val="heading 2"/>
    <w:basedOn w:val="1"/>
    <w:next w:val="1"/>
    <w:link w:val="23"/>
    <w:qFormat/>
    <w:uiPriority w:val="9"/>
    <w:pPr>
      <w:widowControl/>
      <w:spacing w:before="100" w:beforeAutospacing="1" w:after="100" w:afterAutospacing="1"/>
      <w:jc w:val="left"/>
      <w:outlineLvl w:val="1"/>
    </w:pPr>
    <w:rPr>
      <w:rFonts w:ascii="宋体" w:hAnsi="宋体" w:cs="宋体"/>
      <w:kern w:val="0"/>
      <w:sz w:val="36"/>
      <w:szCs w:val="36"/>
    </w:rPr>
  </w:style>
  <w:style w:type="paragraph" w:styleId="4">
    <w:name w:val="heading 4"/>
    <w:basedOn w:val="1"/>
    <w:next w:val="1"/>
    <w:link w:val="24"/>
    <w:qFormat/>
    <w:uiPriority w:val="9"/>
    <w:pPr>
      <w:widowControl/>
      <w:spacing w:before="100" w:beforeAutospacing="1" w:after="100" w:afterAutospacing="1"/>
      <w:jc w:val="left"/>
      <w:outlineLvl w:val="3"/>
    </w:pPr>
    <w:rPr>
      <w:rFonts w:ascii="宋体" w:hAnsi="宋体" w:cs="宋体"/>
      <w:kern w:val="0"/>
      <w:sz w:val="24"/>
      <w:szCs w:val="24"/>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5">
    <w:name w:val="Date"/>
    <w:basedOn w:val="1"/>
    <w:next w:val="1"/>
    <w:link w:val="34"/>
    <w:semiHidden/>
    <w:unhideWhenUsed/>
    <w:qFormat/>
    <w:uiPriority w:val="0"/>
    <w:pPr>
      <w:ind w:left="100" w:leftChars="2500"/>
    </w:pPr>
  </w:style>
  <w:style w:type="paragraph" w:styleId="6">
    <w:name w:val="Balloon Text"/>
    <w:basedOn w:val="1"/>
    <w:link w:val="16"/>
    <w:unhideWhenUsed/>
    <w:qFormat/>
    <w:uiPriority w:val="99"/>
    <w:rPr>
      <w:sz w:val="18"/>
      <w:szCs w:val="18"/>
    </w:rPr>
  </w:style>
  <w:style w:type="paragraph" w:styleId="7">
    <w:name w:val="footer"/>
    <w:basedOn w:val="1"/>
    <w:link w:val="18"/>
    <w:unhideWhenUsed/>
    <w:qFormat/>
    <w:uiPriority w:val="99"/>
    <w:pPr>
      <w:tabs>
        <w:tab w:val="center" w:pos="4153"/>
        <w:tab w:val="right" w:pos="8306"/>
      </w:tabs>
      <w:snapToGrid w:val="0"/>
      <w:jc w:val="left"/>
    </w:pPr>
    <w:rPr>
      <w:sz w:val="18"/>
      <w:szCs w:val="18"/>
    </w:rPr>
  </w:style>
  <w:style w:type="paragraph" w:styleId="8">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table" w:styleId="11">
    <w:name w:val="Table Grid"/>
    <w:basedOn w:val="10"/>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3">
    <w:name w:val="Strong"/>
    <w:basedOn w:val="12"/>
    <w:qFormat/>
    <w:uiPriority w:val="22"/>
    <w:rPr>
      <w:b/>
      <w:bCs/>
    </w:rPr>
  </w:style>
  <w:style w:type="character" w:styleId="14">
    <w:name w:val="Emphasis"/>
    <w:basedOn w:val="12"/>
    <w:qFormat/>
    <w:uiPriority w:val="20"/>
    <w:rPr>
      <w:i/>
      <w:iCs/>
    </w:rPr>
  </w:style>
  <w:style w:type="character" w:styleId="15">
    <w:name w:val="Hyperlink"/>
    <w:basedOn w:val="12"/>
    <w:unhideWhenUsed/>
    <w:qFormat/>
    <w:uiPriority w:val="99"/>
    <w:rPr>
      <w:color w:val="0000FF"/>
      <w:u w:val="single"/>
    </w:rPr>
  </w:style>
  <w:style w:type="character" w:customStyle="1" w:styleId="16">
    <w:name w:val="批注框文本 Char"/>
    <w:basedOn w:val="12"/>
    <w:link w:val="6"/>
    <w:semiHidden/>
    <w:qFormat/>
    <w:uiPriority w:val="99"/>
    <w:rPr>
      <w:sz w:val="18"/>
      <w:szCs w:val="18"/>
    </w:rPr>
  </w:style>
  <w:style w:type="character" w:customStyle="1" w:styleId="17">
    <w:name w:val="页眉 Char"/>
    <w:basedOn w:val="12"/>
    <w:link w:val="8"/>
    <w:semiHidden/>
    <w:qFormat/>
    <w:uiPriority w:val="99"/>
    <w:rPr>
      <w:sz w:val="18"/>
      <w:szCs w:val="18"/>
    </w:rPr>
  </w:style>
  <w:style w:type="character" w:customStyle="1" w:styleId="18">
    <w:name w:val="页脚 Char"/>
    <w:basedOn w:val="12"/>
    <w:link w:val="7"/>
    <w:qFormat/>
    <w:uiPriority w:val="99"/>
    <w:rPr>
      <w:sz w:val="18"/>
      <w:szCs w:val="18"/>
    </w:rPr>
  </w:style>
  <w:style w:type="paragraph" w:styleId="19">
    <w:name w:val="No Spacing"/>
    <w:link w:val="20"/>
    <w:qFormat/>
    <w:uiPriority w:val="1"/>
    <w:rPr>
      <w:rFonts w:asciiTheme="minorHAnsi" w:hAnsiTheme="minorHAnsi" w:eastAsiaTheme="minorEastAsia" w:cstheme="minorBidi"/>
      <w:sz w:val="22"/>
      <w:szCs w:val="22"/>
      <w:lang w:val="en-US" w:eastAsia="zh-CN" w:bidi="ar-SA"/>
    </w:rPr>
  </w:style>
  <w:style w:type="character" w:customStyle="1" w:styleId="20">
    <w:name w:val="无间隔 Char"/>
    <w:basedOn w:val="12"/>
    <w:link w:val="19"/>
    <w:qFormat/>
    <w:uiPriority w:val="1"/>
    <w:rPr>
      <w:rFonts w:asciiTheme="minorHAnsi" w:hAnsiTheme="minorHAnsi" w:eastAsiaTheme="minorEastAsia" w:cstheme="minorBidi"/>
      <w:sz w:val="22"/>
      <w:szCs w:val="22"/>
    </w:rPr>
  </w:style>
  <w:style w:type="paragraph" w:styleId="21">
    <w:name w:val="List Paragraph"/>
    <w:basedOn w:val="1"/>
    <w:unhideWhenUsed/>
    <w:qFormat/>
    <w:uiPriority w:val="34"/>
    <w:pPr>
      <w:ind w:firstLine="420" w:firstLineChars="200"/>
    </w:pPr>
  </w:style>
  <w:style w:type="paragraph" w:customStyle="1" w:styleId="22">
    <w:name w:val="cont-summary"/>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23">
    <w:name w:val="标题 2 Char"/>
    <w:basedOn w:val="12"/>
    <w:link w:val="3"/>
    <w:qFormat/>
    <w:uiPriority w:val="9"/>
    <w:rPr>
      <w:rFonts w:ascii="宋体" w:hAnsi="宋体" w:cs="宋体"/>
      <w:sz w:val="36"/>
      <w:szCs w:val="36"/>
    </w:rPr>
  </w:style>
  <w:style w:type="character" w:customStyle="1" w:styleId="24">
    <w:name w:val="标题 4 Char"/>
    <w:basedOn w:val="12"/>
    <w:link w:val="4"/>
    <w:qFormat/>
    <w:uiPriority w:val="9"/>
    <w:rPr>
      <w:rFonts w:ascii="宋体" w:hAnsi="宋体" w:cs="宋体"/>
      <w:sz w:val="24"/>
      <w:szCs w:val="24"/>
    </w:rPr>
  </w:style>
  <w:style w:type="paragraph" w:customStyle="1" w:styleId="25">
    <w:name w:val="summary"/>
    <w:basedOn w:val="1"/>
    <w:qFormat/>
    <w:uiPriority w:val="0"/>
    <w:pPr>
      <w:widowControl/>
      <w:spacing w:before="100" w:beforeAutospacing="1" w:after="480" w:line="375" w:lineRule="atLeast"/>
      <w:jc w:val="left"/>
    </w:pPr>
    <w:rPr>
      <w:rFonts w:ascii="宋体" w:hAnsi="宋体" w:cs="宋体"/>
      <w:kern w:val="0"/>
      <w:sz w:val="24"/>
      <w:szCs w:val="24"/>
    </w:rPr>
  </w:style>
  <w:style w:type="character" w:customStyle="1" w:styleId="26">
    <w:name w:val="articlel"/>
    <w:basedOn w:val="12"/>
    <w:qFormat/>
    <w:uiPriority w:val="0"/>
  </w:style>
  <w:style w:type="character" w:customStyle="1" w:styleId="27">
    <w:name w:val="articler"/>
    <w:basedOn w:val="12"/>
    <w:qFormat/>
    <w:uiPriority w:val="0"/>
  </w:style>
  <w:style w:type="paragraph" w:customStyle="1" w:styleId="28">
    <w:name w:val="profile_meta"/>
    <w:basedOn w:val="1"/>
    <w:qFormat/>
    <w:uiPriority w:val="0"/>
    <w:pPr>
      <w:widowControl/>
      <w:spacing w:before="75" w:after="100" w:afterAutospacing="1"/>
      <w:jc w:val="left"/>
    </w:pPr>
    <w:rPr>
      <w:rFonts w:ascii="宋体" w:hAnsi="宋体" w:cs="宋体"/>
      <w:kern w:val="0"/>
      <w:sz w:val="24"/>
      <w:szCs w:val="24"/>
    </w:rPr>
  </w:style>
  <w:style w:type="character" w:customStyle="1" w:styleId="29">
    <w:name w:val="rich_media_meta1"/>
    <w:basedOn w:val="12"/>
    <w:qFormat/>
    <w:uiPriority w:val="0"/>
    <w:rPr>
      <w:sz w:val="24"/>
      <w:szCs w:val="24"/>
    </w:rPr>
  </w:style>
  <w:style w:type="character" w:customStyle="1" w:styleId="30">
    <w:name w:val="profile_meta_value1"/>
    <w:basedOn w:val="12"/>
    <w:qFormat/>
    <w:uiPriority w:val="0"/>
    <w:rPr>
      <w:color w:val="ADADAD"/>
    </w:rPr>
  </w:style>
  <w:style w:type="character" w:customStyle="1" w:styleId="31">
    <w:name w:val="apple-converted-space"/>
    <w:basedOn w:val="12"/>
    <w:qFormat/>
    <w:uiPriority w:val="0"/>
  </w:style>
  <w:style w:type="character" w:customStyle="1" w:styleId="32">
    <w:name w:val="rich_media_meta"/>
    <w:basedOn w:val="12"/>
    <w:qFormat/>
    <w:uiPriority w:val="0"/>
  </w:style>
  <w:style w:type="character" w:customStyle="1" w:styleId="33">
    <w:name w:val="blue"/>
    <w:basedOn w:val="12"/>
    <w:qFormat/>
    <w:uiPriority w:val="0"/>
  </w:style>
  <w:style w:type="character" w:customStyle="1" w:styleId="34">
    <w:name w:val="日期 Char"/>
    <w:basedOn w:val="12"/>
    <w:link w:val="5"/>
    <w:semiHidden/>
    <w:qFormat/>
    <w:uiPriority w:val="0"/>
    <w:rPr>
      <w:rFonts w:ascii="Calibri" w:hAnsi="Calibri"/>
      <w:kern w:val="2"/>
      <w:sz w:val="21"/>
      <w:szCs w:val="22"/>
    </w:rPr>
  </w:style>
  <w:style w:type="character" w:customStyle="1" w:styleId="35">
    <w:name w:val="标题 1 Char"/>
    <w:basedOn w:val="12"/>
    <w:link w:val="2"/>
    <w:qFormat/>
    <w:uiPriority w:val="9"/>
    <w:rPr>
      <w:rFonts w:asciiTheme="minorHAnsi" w:hAnsiTheme="minorHAnsi" w:eastAsiaTheme="minorEastAsia" w:cstheme="minorBidi"/>
      <w:b/>
      <w:bCs/>
      <w:kern w:val="44"/>
      <w:sz w:val="44"/>
      <w:szCs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9D5ABDC-7E45-43EE-AD17-1351732055D4}">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52</Pages>
  <Words>8199</Words>
  <Characters>8883</Characters>
  <Lines>68</Lines>
  <Paragraphs>19</Paragraphs>
  <TotalTime>1</TotalTime>
  <ScaleCrop>false</ScaleCrop>
  <LinksUpToDate>false</LinksUpToDate>
  <CharactersWithSpaces>9008</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2020-05-26T01:03:00Z</dcterms:created>
  <dc:creator>FtpDown</dc:creator>
  <cp:lastModifiedBy>王麒懿</cp:lastModifiedBy>
  <cp:lastPrinted>2018-09-29T05:55:00Z</cp:lastPrinted>
  <dcterms:modified xsi:type="dcterms:W3CDTF">2023-03-07T00:44:33Z</dcterms:modified>
  <dc:subject>2015年7月29日</dc:subject>
  <dc:title>2015年第一期</dc:title>
  <cp:revision>310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DF5037EDC2C7415DBA1FF4609A99298F</vt:lpwstr>
  </property>
</Properties>
</file>