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docPartObj>
          <w:docPartGallery w:val="autotext"/>
        </w:docPartObj>
      </w:sdtPr>
      <w:sdtContent>
        <w:p>
          <w:r>
            <w:drawing>
              <wp:anchor distT="0" distB="0" distL="114300" distR="114300" simplePos="0" relativeHeight="251663360"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11"/>
            <w:tblpPr w:leftFromText="187" w:rightFromText="187" w:horzAnchor="margin" w:tblpXSpec="center" w:tblpYSpec="bottom"/>
            <w:tblW w:w="6834" w:type="dxa"/>
            <w:tblInd w:w="0" w:type="dxa"/>
            <w:tblLayout w:type="fixed"/>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6834" w:type="dxa"/>
                <w:tcMar>
                  <w:top w:w="216" w:type="dxa"/>
                  <w:left w:w="115" w:type="dxa"/>
                  <w:bottom w:w="216" w:type="dxa"/>
                  <w:right w:w="115" w:type="dxa"/>
                </w:tcMar>
              </w:tcPr>
              <w:p>
                <w:pPr>
                  <w:pStyle w:val="20"/>
                  <w:rPr>
                    <w:color w:val="4F81BD" w:themeColor="accent1"/>
                  </w:rPr>
                </w:pPr>
              </w:p>
              <w:p>
                <w:pPr>
                  <w:pStyle w:val="20"/>
                  <w:rPr>
                    <w:color w:val="4F81BD" w:themeColor="accent1"/>
                  </w:rPr>
                </w:pPr>
              </w:p>
              <w:p>
                <w:pPr>
                  <w:pStyle w:val="20"/>
                  <w:rPr>
                    <w:color w:val="4F81BD" w:themeColor="accent1"/>
                  </w:rPr>
                </w:pPr>
              </w:p>
              <w:p>
                <w:pPr>
                  <w:pStyle w:val="20"/>
                  <w:rPr>
                    <w:color w:val="4F81BD" w:themeColor="accent1"/>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w:t>
          </w:r>
          <w:r>
            <w:rPr>
              <w:rFonts w:hint="eastAsia" w:ascii="Heiti SC Light" w:eastAsia="Heiti SC Light"/>
              <w:color w:val="FFFFFF"/>
              <w:sz w:val="32"/>
              <w:szCs w:val="32"/>
              <w:lang w:val="en-US" w:eastAsia="zh-CN"/>
            </w:rPr>
            <w:t>3</w:t>
          </w:r>
          <w:r>
            <w:rPr>
              <w:rFonts w:hint="eastAsia" w:ascii="Heiti SC Light" w:eastAsia="Heiti SC Light"/>
              <w:color w:val="FFFFFF"/>
              <w:sz w:val="32"/>
              <w:szCs w:val="32"/>
            </w:rPr>
            <w:t>年第</w:t>
          </w:r>
          <w:r>
            <w:rPr>
              <w:rFonts w:hint="eastAsia" w:ascii="Heiti SC Light" w:eastAsia="Heiti SC Light"/>
              <w:color w:val="FFFFFF"/>
              <w:sz w:val="32"/>
              <w:szCs w:val="32"/>
              <w:lang w:val="en-US" w:eastAsia="zh-CN"/>
            </w:rPr>
            <w:t>3</w:t>
          </w:r>
          <w:r>
            <w:rPr>
              <w:rFonts w:hint="eastAsia" w:ascii="Heiti SC Light" w:eastAsia="Heiti SC Light"/>
              <w:color w:val="FFFFFF"/>
              <w:sz w:val="32"/>
              <w:szCs w:val="32"/>
            </w:rPr>
            <w:t>期） 202</w:t>
          </w:r>
          <w:r>
            <w:rPr>
              <w:rFonts w:hint="eastAsia" w:ascii="Heiti SC Light" w:eastAsia="Heiti SC Light"/>
              <w:color w:val="FFFFFF"/>
              <w:sz w:val="32"/>
              <w:szCs w:val="32"/>
              <w:lang w:val="en-US" w:eastAsia="zh-CN"/>
            </w:rPr>
            <w:t>3</w:t>
          </w:r>
          <w:r>
            <w:rPr>
              <w:rFonts w:hint="eastAsia" w:ascii="Heiti SC Light" w:eastAsia="Heiti SC Light"/>
              <w:color w:val="FFFFFF"/>
              <w:sz w:val="32"/>
              <w:szCs w:val="32"/>
            </w:rPr>
            <w:t>年</w:t>
          </w:r>
          <w:r>
            <w:rPr>
              <w:rFonts w:hint="eastAsia" w:ascii="Heiti SC Light" w:eastAsia="Heiti SC Light"/>
              <w:color w:val="FFFFFF"/>
              <w:sz w:val="32"/>
              <w:szCs w:val="32"/>
              <w:lang w:val="en-US" w:eastAsia="zh-CN"/>
            </w:rPr>
            <w:t>3</w:t>
          </w:r>
          <w:r>
            <w:rPr>
              <w:rFonts w:hint="eastAsia" w:ascii="Heiti SC Light" w:eastAsia="Heiti SC Light"/>
              <w:color w:val="FFFFFF"/>
              <w:sz w:val="32"/>
              <w:szCs w:val="32"/>
            </w:rPr>
            <w:t>月2</w:t>
          </w:r>
          <w:r>
            <w:rPr>
              <w:rFonts w:hint="eastAsia" w:ascii="Heiti SC Light" w:eastAsia="Heiti SC Light"/>
              <w:color w:val="FFFFFF"/>
              <w:sz w:val="32"/>
              <w:szCs w:val="32"/>
              <w:lang w:val="en-US" w:eastAsia="zh-CN"/>
            </w:rPr>
            <w:t>7</w:t>
          </w:r>
          <w:r>
            <w:rPr>
              <w:rFonts w:hint="eastAsia" w:ascii="Heiti SC Light" w:eastAsia="Heiti SC Light"/>
              <w:color w:val="FFFFFF"/>
              <w:sz w:val="32"/>
              <w:szCs w:val="32"/>
            </w:rPr>
            <w:t>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mc:AlternateContent>
          <mc:Choice Requires="wps">
            <w:drawing>
              <wp:anchor distT="0" distB="0" distL="114300" distR="114300" simplePos="0" relativeHeight="251660288" behindDoc="0" locked="0" layoutInCell="1" allowOverlap="1">
                <wp:simplePos x="0" y="0"/>
                <wp:positionH relativeFrom="column">
                  <wp:posOffset>1295400</wp:posOffset>
                </wp:positionH>
                <wp:positionV relativeFrom="paragraph">
                  <wp:posOffset>10160</wp:posOffset>
                </wp:positionV>
                <wp:extent cx="22225" cy="7996555"/>
                <wp:effectExtent l="15875" t="0" r="19050" b="4445"/>
                <wp:wrapNone/>
                <wp:docPr id="17" name="Straight Connector 3"/>
                <wp:cNvGraphicFramePr/>
                <a:graphic xmlns:a="http://schemas.openxmlformats.org/drawingml/2006/main">
                  <a:graphicData uri="http://schemas.microsoft.com/office/word/2010/wordprocessingShape">
                    <wps:wsp>
                      <wps:cNvCnPr/>
                      <wps:spPr>
                        <a:xfrm>
                          <a:off x="0" y="0"/>
                          <a:ext cx="22225" cy="799655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id="Straight Connector 3" o:spid="_x0000_s1026" o:spt="32" type="#_x0000_t32" style="position:absolute;left:0pt;margin-left:102pt;margin-top:0.8pt;height:629.65pt;width:1.75pt;z-index:251660288;mso-width-relative:page;mso-height-relative:page;" filled="f" stroked="t" coordsize="21600,21600" o:gfxdata="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jA/&#10;JtoAAAAKAQAADwAAAAAAAAABACAAAAAiAAAAZHJzL2Rvd25yZXYueG1sUEsBAhQAFAAAAAgAh07i&#10;QOfnKernAQAA7wMAAA4AAAAAAAAAAQAgAAAAKQEAAGRycy9lMm9Eb2MueG1sUEsFBgAAAAAGAAYA&#10;WQEAAIIFAAAAAA==&#10;">
                <v:fill on="f" focussize="0,0"/>
                <v:stroke weight="2.5pt" color="#548DD4"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-857250</wp:posOffset>
                </wp:positionH>
                <wp:positionV relativeFrom="paragraph">
                  <wp:posOffset>9525</wp:posOffset>
                </wp:positionV>
                <wp:extent cx="6848475" cy="635"/>
                <wp:effectExtent l="0" t="19050" r="9525" b="37465"/>
                <wp:wrapNone/>
                <wp:docPr id="3"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a:effectLst/>
                      </wps:spPr>
                      <wps:bodyPr/>
                    </wps:wsp>
                  </a:graphicData>
                </a:graphic>
              </wp:anchor>
            </w:drawing>
          </mc:Choice>
          <mc:Fallback>
            <w:pict>
              <v:shape id="Straight Connector 2" o:spid="_x0000_s1026" o:spt="32" type="#_x0000_t32" style="position:absolute;left:0pt;margin-left:-67.5pt;margin-top:0.75pt;height:0.05pt;width:539.25pt;z-index:251659264;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vGPpbW&#10;AAAACAEAAA8AAAAAAAAAAQAgAAAAIgAAAGRycy9kb3ducmV2LnhtbFBLAQIUABQAAAAIAIdO4kAo&#10;rjqc6QEAAPoDAAAOAAAAAAAAAAEAIAAAACUBAABkcnMvZTJvRG9jLnhtbFBLBQYAAAAABgAGAFkB&#10;AACABQAAAAA=&#10;">
                <v:fill on="f" focussize="0,0"/>
                <v:stroke weight="3pt" color="#548DD4" joinstyle="round"/>
                <v:imagedata o:title=""/>
                <o:lock v:ext="edit" aspectratio="f"/>
              </v:shape>
            </w:pict>
          </mc:Fallback>
        </mc:AlternateContent>
      </w:r>
      <w:r>
        <w:rPr>
          <w:rFonts w:hint="eastAsia"/>
        </w:rPr>
        <w:t xml:space="preserve"> </w:t>
      </w:r>
    </w:p>
    <w:p>
      <w:pPr>
        <w:tabs>
          <w:tab w:val="center" w:pos="4156"/>
        </w:tabs>
      </w:pPr>
      <w:r>
        <mc:AlternateContent>
          <mc:Choice Requires="wps">
            <w:drawing>
              <wp:anchor distT="0" distB="0" distL="114300" distR="114300" simplePos="0" relativeHeight="251667456" behindDoc="0" locked="0" layoutInCell="1" allowOverlap="1">
                <wp:simplePos x="0" y="0"/>
                <wp:positionH relativeFrom="column">
                  <wp:posOffset>1554480</wp:posOffset>
                </wp:positionH>
                <wp:positionV relativeFrom="paragraph">
                  <wp:posOffset>106680</wp:posOffset>
                </wp:positionV>
                <wp:extent cx="4210050" cy="7874000"/>
                <wp:effectExtent l="0" t="0" r="0" b="0"/>
                <wp:wrapNone/>
                <wp:docPr id="16"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a:effectLst/>
                      </wps:spPr>
                      <wps:txbx>
                        <w:txbxContent>
                          <w:p>
                            <w:pPr>
                              <w:widowControl w:val="0"/>
                              <w:numPr>
                                <w:ilvl w:val="0"/>
                                <w:numId w:val="0"/>
                              </w:numPr>
                              <w:jc w:val="both"/>
                              <w:rPr>
                                <w:rFonts w:hint="eastAsia" w:ascii="宋体" w:hAnsi="宋体" w:cs="宋体"/>
                                <w:b/>
                                <w:bCs/>
                                <w:kern w:val="0"/>
                                <w:sz w:val="33"/>
                                <w:szCs w:val="33"/>
                                <w:lang w:val="en-US" w:eastAsia="zh-CN" w:bidi="ar-SA"/>
                              </w:rPr>
                            </w:pPr>
                          </w:p>
                          <w:p>
                            <w:pPr>
                              <w:widowControl w:val="0"/>
                              <w:numPr>
                                <w:ilvl w:val="0"/>
                                <w:numId w:val="0"/>
                              </w:numPr>
                              <w:jc w:val="both"/>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1.2023年两会政府工作报告中的医药相关内容</w:t>
                            </w:r>
                          </w:p>
                          <w:p>
                            <w:pPr>
                              <w:widowControl w:val="0"/>
                              <w:numPr>
                                <w:ilvl w:val="0"/>
                                <w:numId w:val="0"/>
                              </w:numPr>
                              <w:jc w:val="both"/>
                              <w:rPr>
                                <w:rFonts w:hint="eastAsia" w:ascii="宋体" w:hAnsi="宋体" w:eastAsia="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2.国家医保局发布《2022年医疗保障事业发展统计快报》</w:t>
                            </w:r>
                          </w:p>
                          <w:p>
                            <w:pPr>
                              <w:numPr>
                                <w:ilvl w:val="0"/>
                                <w:numId w:val="0"/>
                              </w:numPr>
                              <w:rPr>
                                <w:rFonts w:hint="eastAsia" w:ascii="宋体" w:hAnsi="宋体" w:eastAsia="宋体" w:cs="宋体"/>
                                <w:b/>
                                <w:bCs/>
                                <w:kern w:val="0"/>
                                <w:sz w:val="33"/>
                                <w:szCs w:val="33"/>
                                <w:lang w:val="en-US" w:eastAsia="zh-CN" w:bidi="ar-SA"/>
                              </w:rPr>
                            </w:pPr>
                          </w:p>
                          <w:p>
                            <w:pPr>
                              <w:numPr>
                                <w:ilvl w:val="0"/>
                                <w:numId w:val="0"/>
                              </w:numPr>
                              <w:rPr>
                                <w:rFonts w:hint="eastAsia" w:ascii="宋体" w:hAnsi="宋体" w:eastAsia="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3.医药商业公司，正面临第4次「危机」</w:t>
                            </w:r>
                          </w:p>
                          <w:p>
                            <w:pPr>
                              <w:numPr>
                                <w:ilvl w:val="0"/>
                                <w:numId w:val="0"/>
                              </w:numPr>
                              <w:rPr>
                                <w:rFonts w:hint="eastAsia" w:ascii="宋体" w:hAnsi="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宋体" w:hAnsi="宋体" w:eastAsia="宋体" w:cs="宋体"/>
                                <w:b/>
                                <w:bCs/>
                                <w:kern w:val="0"/>
                                <w:sz w:val="33"/>
                                <w:szCs w:val="33"/>
                                <w:lang w:val="en-US" w:eastAsia="zh-CN" w:bidi="ar-SA"/>
                              </w:rPr>
                            </w:pPr>
                            <w:r>
                              <w:rPr>
                                <w:rFonts w:hint="eastAsia" w:cs="宋体"/>
                                <w:b/>
                                <w:bCs/>
                                <w:kern w:val="0"/>
                                <w:sz w:val="33"/>
                                <w:szCs w:val="33"/>
                                <w:lang w:val="en-US" w:eastAsia="zh-CN" w:bidi="ar-SA"/>
                              </w:rPr>
                              <w:t>4.</w:t>
                            </w:r>
                            <w:r>
                              <w:rPr>
                                <w:rFonts w:hint="eastAsia" w:ascii="宋体" w:hAnsi="宋体" w:eastAsia="宋体" w:cs="宋体"/>
                                <w:b/>
                                <w:bCs/>
                                <w:kern w:val="0"/>
                                <w:sz w:val="33"/>
                                <w:szCs w:val="33"/>
                                <w:lang w:val="en-US" w:eastAsia="zh-CN" w:bidi="ar-SA"/>
                              </w:rPr>
                              <w:t>大连锁直播加盟招商持续“高温”</w:t>
                            </w:r>
                          </w:p>
                          <w:p/>
                          <w:p/>
                          <w:p/>
                          <w:p>
                            <w:pPr>
                              <w:numPr>
                                <w:ilvl w:val="0"/>
                                <w:numId w:val="0"/>
                              </w:numPr>
                              <w:ind w:leftChars="0"/>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5.新规实施！多地药店门诊统筹支付标准及额度</w:t>
                            </w:r>
                          </w:p>
                          <w:p>
                            <w:pPr>
                              <w:numPr>
                                <w:ilvl w:val="0"/>
                                <w:numId w:val="0"/>
                              </w:numPr>
                              <w:ind w:leftChars="0"/>
                              <w:rPr>
                                <w:rFonts w:hint="eastAsia" w:ascii="宋体" w:hAnsi="宋体" w:cs="宋体"/>
                                <w:b/>
                                <w:bCs/>
                                <w:kern w:val="0"/>
                                <w:sz w:val="33"/>
                                <w:szCs w:val="33"/>
                                <w:lang w:val="en-US" w:eastAsia="zh-CN" w:bidi="ar-SA"/>
                              </w:rPr>
                            </w:pPr>
                          </w:p>
                          <w:p>
                            <w:pPr>
                              <w:numPr>
                                <w:ilvl w:val="0"/>
                                <w:numId w:val="0"/>
                              </w:numPr>
                              <w:ind w:leftChars="0"/>
                              <w:rPr>
                                <w:rFonts w:hint="eastAsia" w:ascii="宋体" w:hAnsi="宋体" w:cs="宋体"/>
                                <w:b/>
                                <w:bCs/>
                                <w:kern w:val="0"/>
                                <w:sz w:val="33"/>
                                <w:szCs w:val="33"/>
                                <w:lang w:val="en-US" w:eastAsia="zh-CN" w:bidi="ar-SA"/>
                              </w:rPr>
                            </w:pPr>
                          </w:p>
                          <w:p>
                            <w:pPr>
                              <w:numPr>
                                <w:ilvl w:val="0"/>
                                <w:numId w:val="0"/>
                              </w:numPr>
                              <w:rPr>
                                <w:rFonts w:hint="default" w:ascii="宋体" w:hAnsi="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p>
                          <w:p>
                            <w:pPr>
                              <w:rPr>
                                <w:b/>
                                <w:sz w:val="36"/>
                                <w:szCs w:val="36"/>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txbxContent>
                      </wps:txbx>
                      <wps:bodyPr upright="1"/>
                    </wps:wsp>
                  </a:graphicData>
                </a:graphic>
              </wp:anchor>
            </w:drawing>
          </mc:Choice>
          <mc:Fallback>
            <w:pict>
              <v:shape id="文本框 14" o:spid="_x0000_s1026" o:spt="202" type="#_x0000_t202" style="position:absolute;left:0pt;margin-left:122.4pt;margin-top:8.4pt;height:620pt;width:331.5pt;z-index:251667456;mso-width-relative:page;mso-height-relative:page;" filled="f" stroked="f" coordsize="21600,21600" o:gfxdata="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3V9LjbAAAACwEAAA8AAAAAAAAAAQAgAAAAIgAAAGRycy9kb3ducmV2LnhtbFBL&#10;AQIUABQAAAAIAIdO4kDeKUPvugEAAGkDAAAOAAAAAAAAAAEAIAAAACoBAABkcnMvZTJvRG9jLnht&#10;bFBLBQYAAAAABgAGAFkBAABWBQAAAAA=&#10;">
                <v:fill on="f" focussize="0,0"/>
                <v:stroke on="f" weight="1.25pt"/>
                <v:imagedata o:title=""/>
                <o:lock v:ext="edit" aspectratio="f"/>
                <v:textbox>
                  <w:txbxContent>
                    <w:p>
                      <w:pPr>
                        <w:widowControl w:val="0"/>
                        <w:numPr>
                          <w:ilvl w:val="0"/>
                          <w:numId w:val="0"/>
                        </w:numPr>
                        <w:jc w:val="both"/>
                        <w:rPr>
                          <w:rFonts w:hint="eastAsia" w:ascii="宋体" w:hAnsi="宋体" w:cs="宋体"/>
                          <w:b/>
                          <w:bCs/>
                          <w:kern w:val="0"/>
                          <w:sz w:val="33"/>
                          <w:szCs w:val="33"/>
                          <w:lang w:val="en-US" w:eastAsia="zh-CN" w:bidi="ar-SA"/>
                        </w:rPr>
                      </w:pPr>
                    </w:p>
                    <w:p>
                      <w:pPr>
                        <w:widowControl w:val="0"/>
                        <w:numPr>
                          <w:ilvl w:val="0"/>
                          <w:numId w:val="0"/>
                        </w:numPr>
                        <w:jc w:val="both"/>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1.2023年两会政府工作报告中的医药相关内容</w:t>
                      </w:r>
                    </w:p>
                    <w:p>
                      <w:pPr>
                        <w:widowControl w:val="0"/>
                        <w:numPr>
                          <w:ilvl w:val="0"/>
                          <w:numId w:val="0"/>
                        </w:numPr>
                        <w:jc w:val="both"/>
                        <w:rPr>
                          <w:rFonts w:hint="eastAsia" w:ascii="宋体" w:hAnsi="宋体" w:eastAsia="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2.国家医保局发布《2022年医疗保障事业发展统计快报》</w:t>
                      </w:r>
                    </w:p>
                    <w:p>
                      <w:pPr>
                        <w:numPr>
                          <w:ilvl w:val="0"/>
                          <w:numId w:val="0"/>
                        </w:numPr>
                        <w:rPr>
                          <w:rFonts w:hint="eastAsia" w:ascii="宋体" w:hAnsi="宋体" w:eastAsia="宋体" w:cs="宋体"/>
                          <w:b/>
                          <w:bCs/>
                          <w:kern w:val="0"/>
                          <w:sz w:val="33"/>
                          <w:szCs w:val="33"/>
                          <w:lang w:val="en-US" w:eastAsia="zh-CN" w:bidi="ar-SA"/>
                        </w:rPr>
                      </w:pPr>
                    </w:p>
                    <w:p>
                      <w:pPr>
                        <w:numPr>
                          <w:ilvl w:val="0"/>
                          <w:numId w:val="0"/>
                        </w:numPr>
                        <w:rPr>
                          <w:rFonts w:hint="eastAsia" w:ascii="宋体" w:hAnsi="宋体" w:eastAsia="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3.医药商业公司，正面临第4次「危机」</w:t>
                      </w:r>
                    </w:p>
                    <w:p>
                      <w:pPr>
                        <w:numPr>
                          <w:ilvl w:val="0"/>
                          <w:numId w:val="0"/>
                        </w:numPr>
                        <w:rPr>
                          <w:rFonts w:hint="eastAsia" w:ascii="宋体" w:hAnsi="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宋体" w:hAnsi="宋体" w:eastAsia="宋体" w:cs="宋体"/>
                          <w:b/>
                          <w:bCs/>
                          <w:kern w:val="0"/>
                          <w:sz w:val="33"/>
                          <w:szCs w:val="33"/>
                          <w:lang w:val="en-US" w:eastAsia="zh-CN" w:bidi="ar-SA"/>
                        </w:rPr>
                      </w:pPr>
                      <w:r>
                        <w:rPr>
                          <w:rFonts w:hint="eastAsia" w:cs="宋体"/>
                          <w:b/>
                          <w:bCs/>
                          <w:kern w:val="0"/>
                          <w:sz w:val="33"/>
                          <w:szCs w:val="33"/>
                          <w:lang w:val="en-US" w:eastAsia="zh-CN" w:bidi="ar-SA"/>
                        </w:rPr>
                        <w:t>4.</w:t>
                      </w:r>
                      <w:r>
                        <w:rPr>
                          <w:rFonts w:hint="eastAsia" w:ascii="宋体" w:hAnsi="宋体" w:eastAsia="宋体" w:cs="宋体"/>
                          <w:b/>
                          <w:bCs/>
                          <w:kern w:val="0"/>
                          <w:sz w:val="33"/>
                          <w:szCs w:val="33"/>
                          <w:lang w:val="en-US" w:eastAsia="zh-CN" w:bidi="ar-SA"/>
                        </w:rPr>
                        <w:t>大连锁直播加盟招商持续“高温”</w:t>
                      </w:r>
                    </w:p>
                    <w:p/>
                    <w:p/>
                    <w:p/>
                    <w:p>
                      <w:pPr>
                        <w:numPr>
                          <w:ilvl w:val="0"/>
                          <w:numId w:val="0"/>
                        </w:numPr>
                        <w:ind w:leftChars="0"/>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5.新规实施！多地药店门诊统筹支付标准及额度</w:t>
                      </w:r>
                    </w:p>
                    <w:p>
                      <w:pPr>
                        <w:numPr>
                          <w:ilvl w:val="0"/>
                          <w:numId w:val="0"/>
                        </w:numPr>
                        <w:ind w:leftChars="0"/>
                        <w:rPr>
                          <w:rFonts w:hint="eastAsia" w:ascii="宋体" w:hAnsi="宋体" w:cs="宋体"/>
                          <w:b/>
                          <w:bCs/>
                          <w:kern w:val="0"/>
                          <w:sz w:val="33"/>
                          <w:szCs w:val="33"/>
                          <w:lang w:val="en-US" w:eastAsia="zh-CN" w:bidi="ar-SA"/>
                        </w:rPr>
                      </w:pPr>
                    </w:p>
                    <w:p>
                      <w:pPr>
                        <w:numPr>
                          <w:ilvl w:val="0"/>
                          <w:numId w:val="0"/>
                        </w:numPr>
                        <w:ind w:leftChars="0"/>
                        <w:rPr>
                          <w:rFonts w:hint="eastAsia" w:ascii="宋体" w:hAnsi="宋体" w:cs="宋体"/>
                          <w:b/>
                          <w:bCs/>
                          <w:kern w:val="0"/>
                          <w:sz w:val="33"/>
                          <w:szCs w:val="33"/>
                          <w:lang w:val="en-US" w:eastAsia="zh-CN" w:bidi="ar-SA"/>
                        </w:rPr>
                      </w:pPr>
                    </w:p>
                    <w:p>
                      <w:pPr>
                        <w:numPr>
                          <w:ilvl w:val="0"/>
                          <w:numId w:val="0"/>
                        </w:numPr>
                        <w:rPr>
                          <w:rFonts w:hint="default" w:ascii="宋体" w:hAnsi="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p>
                    <w:p>
                      <w:pPr>
                        <w:rPr>
                          <w:b/>
                          <w:sz w:val="36"/>
                          <w:szCs w:val="36"/>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-788670</wp:posOffset>
                </wp:positionH>
                <wp:positionV relativeFrom="paragraph">
                  <wp:posOffset>40005</wp:posOffset>
                </wp:positionV>
                <wp:extent cx="1982470" cy="319087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a:effectLst/>
                      </wps:spPr>
                      <wps:txb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3</w:t>
                            </w:r>
                            <w:r>
                              <w:rPr>
                                <w:rFonts w:hint="eastAsia"/>
                                <w:b/>
                                <w:sz w:val="36"/>
                                <w:szCs w:val="36"/>
                              </w:rPr>
                              <w:t>月第</w:t>
                            </w:r>
                            <w:r>
                              <w:rPr>
                                <w:rFonts w:hint="eastAsia"/>
                                <w:b/>
                                <w:sz w:val="36"/>
                                <w:szCs w:val="36"/>
                                <w:lang w:val="en-US" w:eastAsia="zh-CN"/>
                              </w:rPr>
                              <w:t>3</w:t>
                            </w:r>
                            <w:r>
                              <w:rPr>
                                <w:rFonts w:hint="eastAsia"/>
                                <w:b/>
                                <w:sz w:val="36"/>
                                <w:szCs w:val="36"/>
                              </w:rPr>
                              <w:t>期）</w:t>
                            </w:r>
                          </w:p>
                        </w:txbxContent>
                      </wps:txbx>
                      <wps:bodyPr upright="1"/>
                    </wps:wsp>
                  </a:graphicData>
                </a:graphic>
              </wp:anchor>
            </w:drawing>
          </mc:Choice>
          <mc:Fallback>
            <w:pict>
              <v:shape id="文本框 11" o:spid="_x0000_s1026" o:spt="202" type="#_x0000_t202" style="position:absolute;left:0pt;margin-left:-62.1pt;margin-top:3.15pt;height:251.25pt;width:156.1pt;z-index:251664384;mso-width-relative:page;mso-height-relative:page;" filled="f" stroked="f" coordsize="21600,21600" o:gfxdata="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9i6d63AAAAAoBAAAPAAAAAAAAAAEAIAAAACIAAABkcnMvZG93bnJldi54bWxQ&#10;SwECFAAUAAAACACHTuJAdfhuTroBAABoAwAADgAAAAAAAAABACAAAAArAQAAZHJzL2Uyb0RvYy54&#10;bWxQSwUGAAAAAAYABgBZAQAAVwUAAAAA&#10;">
                <v:fill on="f" focussize="0,0"/>
                <v:stroke on="f" weight="1.25pt"/>
                <v:imagedata o:title=""/>
                <o:lock v:ext="edit" aspectratio="f"/>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3</w:t>
                      </w:r>
                      <w:r>
                        <w:rPr>
                          <w:rFonts w:hint="eastAsia"/>
                          <w:b/>
                          <w:sz w:val="36"/>
                          <w:szCs w:val="36"/>
                        </w:rPr>
                        <w:t>月第</w:t>
                      </w:r>
                      <w:r>
                        <w:rPr>
                          <w:rFonts w:hint="eastAsia"/>
                          <w:b/>
                          <w:sz w:val="36"/>
                          <w:szCs w:val="36"/>
                          <w:lang w:val="en-US" w:eastAsia="zh-CN"/>
                        </w:rPr>
                        <w:t>3</w:t>
                      </w:r>
                      <w:r>
                        <w:rPr>
                          <w:rFonts w:hint="eastAsia"/>
                          <w:b/>
                          <w:sz w:val="36"/>
                          <w:szCs w:val="36"/>
                        </w:rPr>
                        <w:t>期）</w:t>
                      </w:r>
                    </w:p>
                  </w:txbxContent>
                </v:textbox>
              </v:shape>
            </w:pict>
          </mc:Fallback>
        </mc:AlternateConten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2336" behindDoc="0" locked="0" layoutInCell="1" allowOverlap="1">
                <wp:simplePos x="0" y="0"/>
                <wp:positionH relativeFrom="column">
                  <wp:posOffset>-857250</wp:posOffset>
                </wp:positionH>
                <wp:positionV relativeFrom="paragraph">
                  <wp:posOffset>120015</wp:posOffset>
                </wp:positionV>
                <wp:extent cx="2143125" cy="635"/>
                <wp:effectExtent l="0" t="17145" r="9525" b="20320"/>
                <wp:wrapNone/>
                <wp:docPr id="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a:effectLst/>
                      </wps:spPr>
                      <wps:bodyPr/>
                    </wps:wsp>
                  </a:graphicData>
                </a:graphic>
              </wp:anchor>
            </w:drawing>
          </mc:Choice>
          <mc:Fallback>
            <w:pict>
              <v:shape id="Straight Connector 5" o:spid="_x0000_s1026" o:spt="32" type="#_x0000_t32" style="position:absolute;left:0pt;margin-left:-67.5pt;margin-top:9.45pt;height:0.05pt;width:168.75pt;z-index:251662336;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iHt&#10;0tgAAAAKAQAADwAAAAAAAAABACAAAAAiAAAAZHJzL2Rvd25yZXYueG1sUEsBAhQAFAAAAAgAh07i&#10;QCu8JFXpAQAA+gMAAA4AAAAAAAAAAQAgAAAAJwEAAGRycy9lMm9Eb2MueG1sUEsFBgAAAAAGAAYA&#10;WQEAAIIFAAAAAA==&#10;">
                <v:fill on="f" focussize="0,0"/>
                <v:stroke weight="2.75pt" color="#548DD4" joinstyle="round"/>
                <v:imagedata o:title=""/>
                <o:lock v:ext="edit" aspectratio="f"/>
              </v:shape>
            </w:pict>
          </mc:Fallback>
        </mc:AlternateContent>
      </w: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5408" behindDoc="0" locked="0" layoutInCell="1" allowOverlap="1">
                <wp:simplePos x="0" y="0"/>
                <wp:positionH relativeFrom="column">
                  <wp:posOffset>-674370</wp:posOffset>
                </wp:positionH>
                <wp:positionV relativeFrom="paragraph">
                  <wp:posOffset>135255</wp:posOffset>
                </wp:positionV>
                <wp:extent cx="1781175" cy="762000"/>
                <wp:effectExtent l="0" t="0" r="0" b="0"/>
                <wp:wrapNone/>
                <wp:docPr id="18"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a:effectLst/>
                      </wps:spPr>
                      <wps:txbx>
                        <w:txbxContent>
                          <w:p>
                            <w:pPr>
                              <w:jc w:val="center"/>
                              <w:rPr>
                                <w:rFonts w:hint="eastAsia" w:eastAsia="宋体"/>
                                <w:sz w:val="44"/>
                                <w:szCs w:val="44"/>
                                <w:lang w:eastAsia="zh-CN"/>
                              </w:rPr>
                            </w:pPr>
                            <w:r>
                              <w:rPr>
                                <w:rFonts w:hint="eastAsia"/>
                                <w:sz w:val="44"/>
                                <w:szCs w:val="44"/>
                              </w:rPr>
                              <w:t>202</w:t>
                            </w:r>
                            <w:r>
                              <w:rPr>
                                <w:rFonts w:hint="eastAsia"/>
                                <w:sz w:val="44"/>
                                <w:szCs w:val="44"/>
                                <w:lang w:val="en-US" w:eastAsia="zh-CN"/>
                              </w:rPr>
                              <w:t>3</w:t>
                            </w:r>
                            <w:r>
                              <w:rPr>
                                <w:rFonts w:hint="eastAsia"/>
                                <w:sz w:val="44"/>
                                <w:szCs w:val="44"/>
                              </w:rPr>
                              <w:t>.</w:t>
                            </w:r>
                            <w:r>
                              <w:rPr>
                                <w:rFonts w:hint="eastAsia"/>
                                <w:sz w:val="44"/>
                                <w:szCs w:val="44"/>
                                <w:lang w:val="en-US" w:eastAsia="zh-CN"/>
                              </w:rPr>
                              <w:t xml:space="preserve">3                                                                                                                                                                                                                                                                                                                                                                                                                                                                                                                                                                                                                                                                                                                                                                                                                                                                                                                                                                                                                                                                                                                                   </w:t>
                            </w:r>
                            <w:r>
                              <w:rPr>
                                <w:rFonts w:hint="eastAsia"/>
                                <w:sz w:val="44"/>
                                <w:szCs w:val="44"/>
                              </w:rPr>
                              <w:t>.2</w:t>
                            </w:r>
                            <w:r>
                              <w:rPr>
                                <w:rFonts w:hint="eastAsia"/>
                                <w:sz w:val="44"/>
                                <w:szCs w:val="44"/>
                                <w:lang w:val="en-US" w:eastAsia="zh-CN"/>
                              </w:rPr>
                              <w:t>5</w:t>
                            </w:r>
                          </w:p>
                        </w:txbxContent>
                      </wps:txbx>
                      <wps:bodyPr upright="1"/>
                    </wps:wsp>
                  </a:graphicData>
                </a:graphic>
              </wp:anchor>
            </w:drawing>
          </mc:Choice>
          <mc:Fallback>
            <w:pict>
              <v:shape id="文本框 12" o:spid="_x0000_s1026" o:spt="202" type="#_x0000_t202" style="position:absolute;left:0pt;margin-left:-53.1pt;margin-top:10.65pt;height:60pt;width:140.25pt;z-index:251665408;mso-width-relative:page;mso-height-relative:page;" filled="f" stroked="f" coordsize="21600,21600" o:gfxdata="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jKqV3AAAAAsBAAAPAAAAAAAAAAEAIAAAACIAAABkcnMvZG93bnJldi54bWxQ&#10;SwECFAAUAAAACACHTuJAX3/DXboBAABoAwAADgAAAAAAAAABACAAAAArAQAAZHJzL2Uyb0RvYy54&#10;bWxQSwUGAAAAAAYABgBZAQAAVwUAAAAA&#10;">
                <v:fill on="f" focussize="0,0"/>
                <v:stroke on="f" weight="1.25pt"/>
                <v:imagedata o:title=""/>
                <o:lock v:ext="edit" aspectratio="f"/>
                <v:textbox>
                  <w:txbxContent>
                    <w:p>
                      <w:pPr>
                        <w:jc w:val="center"/>
                        <w:rPr>
                          <w:rFonts w:hint="eastAsia" w:eastAsia="宋体"/>
                          <w:sz w:val="44"/>
                          <w:szCs w:val="44"/>
                          <w:lang w:eastAsia="zh-CN"/>
                        </w:rPr>
                      </w:pPr>
                      <w:r>
                        <w:rPr>
                          <w:rFonts w:hint="eastAsia"/>
                          <w:sz w:val="44"/>
                          <w:szCs w:val="44"/>
                        </w:rPr>
                        <w:t>202</w:t>
                      </w:r>
                      <w:r>
                        <w:rPr>
                          <w:rFonts w:hint="eastAsia"/>
                          <w:sz w:val="44"/>
                          <w:szCs w:val="44"/>
                          <w:lang w:val="en-US" w:eastAsia="zh-CN"/>
                        </w:rPr>
                        <w:t>3</w:t>
                      </w:r>
                      <w:r>
                        <w:rPr>
                          <w:rFonts w:hint="eastAsia"/>
                          <w:sz w:val="44"/>
                          <w:szCs w:val="44"/>
                        </w:rPr>
                        <w:t>.</w:t>
                      </w:r>
                      <w:r>
                        <w:rPr>
                          <w:rFonts w:hint="eastAsia"/>
                          <w:sz w:val="44"/>
                          <w:szCs w:val="44"/>
                          <w:lang w:val="en-US" w:eastAsia="zh-CN"/>
                        </w:rPr>
                        <w:t xml:space="preserve">3                                                                                                                                                                                                                                                                                                                                                                                                                                                                                                                                                                                                                                                                                                                                                                                                                                                                                                                                                                                                                                                                                                                                   </w:t>
                      </w:r>
                      <w:r>
                        <w:rPr>
                          <w:rFonts w:hint="eastAsia"/>
                          <w:sz w:val="44"/>
                          <w:szCs w:val="44"/>
                        </w:rPr>
                        <w:t>.2</w:t>
                      </w:r>
                      <w:r>
                        <w:rPr>
                          <w:rFonts w:hint="eastAsia"/>
                          <w:sz w:val="44"/>
                          <w:szCs w:val="44"/>
                          <w:lang w:val="en-US" w:eastAsia="zh-CN"/>
                        </w:rPr>
                        <w:t>5</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6432" behindDoc="0" locked="0" layoutInCell="1" allowOverlap="1">
                <wp:simplePos x="0" y="0"/>
                <wp:positionH relativeFrom="column">
                  <wp:posOffset>-554990</wp:posOffset>
                </wp:positionH>
                <wp:positionV relativeFrom="paragraph">
                  <wp:posOffset>48895</wp:posOffset>
                </wp:positionV>
                <wp:extent cx="1695450" cy="2562225"/>
                <wp:effectExtent l="0" t="0" r="0" b="0"/>
                <wp:wrapNone/>
                <wp:docPr id="19"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a:effectLst/>
                      </wps:spPr>
                      <wps:txbx>
                        <w:txbxContent>
                          <w:p/>
                          <w:p/>
                          <w:p/>
                          <w:p>
                            <w:pPr>
                              <w:rPr>
                                <w:b/>
                                <w:sz w:val="32"/>
                                <w:szCs w:val="32"/>
                              </w:rPr>
                            </w:pPr>
                            <w:r>
                              <w:rPr>
                                <w:rFonts w:hint="eastAsia"/>
                                <w:b/>
                                <w:sz w:val="32"/>
                                <w:szCs w:val="32"/>
                              </w:rPr>
                              <w:t xml:space="preserve">总  编  朱卫东副总编  </w:t>
                            </w:r>
                            <w:r>
                              <w:rPr>
                                <w:rFonts w:hint="eastAsia"/>
                                <w:b/>
                                <w:sz w:val="32"/>
                                <w:szCs w:val="32"/>
                                <w:lang w:eastAsia="zh-CN"/>
                              </w:rPr>
                              <w:t>杨亚南</w:t>
                            </w:r>
                            <w:r>
                              <w:rPr>
                                <w:rFonts w:hint="eastAsia"/>
                                <w:b/>
                                <w:sz w:val="32"/>
                                <w:szCs w:val="32"/>
                              </w:rPr>
                              <w:t xml:space="preserve">  责任编辑车成刚</w:t>
                            </w:r>
                          </w:p>
                        </w:txbxContent>
                      </wps:txbx>
                      <wps:bodyPr upright="1"/>
                    </wps:wsp>
                  </a:graphicData>
                </a:graphic>
              </wp:anchor>
            </w:drawing>
          </mc:Choice>
          <mc:Fallback>
            <w:pict>
              <v:shape id="文本框 13" o:spid="_x0000_s1026" o:spt="202" type="#_x0000_t202" style="position:absolute;left:0pt;margin-left:-43.7pt;margin-top:3.85pt;height:201.75pt;width:133.5pt;z-index:251666432;mso-width-relative:page;mso-height-relative:page;" filled="f" stroked="f" coordsize="21600,21600" o:gfxdata="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a10ztsAAAAJAQAADwAAAAAAAAABACAAAAAiAAAAZHJzL2Rvd25yZXYueG1s&#10;UEsBAhQAFAAAAAgAh07iQEncUQe8AQAAaQMAAA4AAAAAAAAAAQAgAAAAKgEAAGRycy9lMm9Eb2Mu&#10;eG1sUEsFBgAAAAAGAAYAWQEAAFgFAAAAAA==&#10;">
                <v:fill on="f" focussize="0,0"/>
                <v:stroke on="f" weight="1.25pt"/>
                <v:imagedata o:title=""/>
                <o:lock v:ext="edit" aspectratio="f"/>
                <v:textbox>
                  <w:txbxContent>
                    <w:p/>
                    <w:p/>
                    <w:p/>
                    <w:p>
                      <w:pPr>
                        <w:rPr>
                          <w:b/>
                          <w:sz w:val="32"/>
                          <w:szCs w:val="32"/>
                        </w:rPr>
                      </w:pPr>
                      <w:r>
                        <w:rPr>
                          <w:rFonts w:hint="eastAsia"/>
                          <w:b/>
                          <w:sz w:val="32"/>
                          <w:szCs w:val="32"/>
                        </w:rPr>
                        <w:t xml:space="preserve">总  编  朱卫东副总编  </w:t>
                      </w:r>
                      <w:r>
                        <w:rPr>
                          <w:rFonts w:hint="eastAsia"/>
                          <w:b/>
                          <w:sz w:val="32"/>
                          <w:szCs w:val="32"/>
                          <w:lang w:eastAsia="zh-CN"/>
                        </w:rPr>
                        <w:t>杨亚南</w:t>
                      </w:r>
                      <w:r>
                        <w:rPr>
                          <w:rFonts w:hint="eastAsia"/>
                          <w:b/>
                          <w:sz w:val="32"/>
                          <w:szCs w:val="32"/>
                        </w:rPr>
                        <w:t xml:space="preserve">  责任编辑车成刚</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1312" behindDoc="0" locked="0" layoutInCell="1" allowOverlap="1">
                <wp:simplePos x="0" y="0"/>
                <wp:positionH relativeFrom="column">
                  <wp:posOffset>-1008380</wp:posOffset>
                </wp:positionH>
                <wp:positionV relativeFrom="paragraph">
                  <wp:posOffset>864235</wp:posOffset>
                </wp:positionV>
                <wp:extent cx="6781800" cy="635"/>
                <wp:effectExtent l="0" t="19050" r="0" b="37465"/>
                <wp:wrapNone/>
                <wp:docPr id="7" name="Straight Connector 4"/>
                <wp:cNvGraphicFramePr/>
                <a:graphic xmlns:a="http://schemas.openxmlformats.org/drawingml/2006/main">
                  <a:graphicData uri="http://schemas.microsoft.com/office/word/2010/wordprocessingShape">
                    <wps:wsp>
                      <wps:cNvCnPr/>
                      <wps:spPr>
                        <a:xfrm>
                          <a:off x="0" y="0"/>
                          <a:ext cx="6781800" cy="635"/>
                        </a:xfrm>
                        <a:prstGeom prst="straightConnector1">
                          <a:avLst/>
                        </a:prstGeom>
                        <a:ln w="38100" cap="flat" cmpd="sng">
                          <a:solidFill>
                            <a:srgbClr val="548DD4"/>
                          </a:solidFill>
                          <a:prstDash val="solid"/>
                          <a:headEnd type="none" w="med" len="med"/>
                          <a:tailEnd type="none" w="med" len="med"/>
                        </a:ln>
                        <a:effectLst/>
                      </wps:spPr>
                      <wps:bodyPr/>
                    </wps:wsp>
                  </a:graphicData>
                </a:graphic>
              </wp:anchor>
            </w:drawing>
          </mc:Choice>
          <mc:Fallback>
            <w:pict>
              <v:shape id="Straight Connector 4" o:spid="_x0000_s1026" o:spt="32" type="#_x0000_t32" style="position:absolute;left:0pt;margin-left:-79.4pt;margin-top:68.05pt;height:0.05pt;width:534pt;z-index:251661312;mso-width-relative:page;mso-height-relative:page;" filled="f" stroked="t" coordsize="21600,21600" o:gfxdata="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JV&#10;+5XZAAAADAEAAA8AAAAAAAAAAQAgAAAAIgAAAGRycy9kb3ducmV2LnhtbFBLAQIUABQAAAAIAIdO&#10;4kDls6Yh6QEAAPoDAAAOAAAAAAAAAAEAIAAAACgBAABkcnMvZTJvRG9jLnhtbFBLBQYAAAAABgAG&#10;AFkBAACDBQAAAAA=&#10;">
                <v:fill on="f" focussize="0,0"/>
                <v:stroke weight="3pt" color="#548DD4" joinstyle="round"/>
                <v:imagedata o:title=""/>
                <o:lock v:ext="edit" aspectratio="f"/>
              </v:shape>
            </w:pict>
          </mc:Fallback>
        </mc:AlternateContent>
      </w:r>
    </w:p>
    <w:p>
      <w:pPr>
        <w:tabs>
          <w:tab w:val="left" w:pos="5245"/>
        </w:tabs>
      </w:pPr>
    </w:p>
    <w:p>
      <w:pPr>
        <w:tabs>
          <w:tab w:val="left" w:pos="5245"/>
        </w:tabs>
        <w:rPr>
          <w:rFonts w:hint="default" w:eastAsia="宋体"/>
          <w:lang w:val="en-US" w:eastAsia="zh-CN"/>
        </w:rPr>
      </w:pPr>
      <w:r>
        <w:rPr>
          <w:rFonts w:hint="eastAsia"/>
        </w:rPr>
        <w:t xml:space="preserve">           </w:t>
      </w:r>
      <w:r>
        <w:rPr>
          <w:rFonts w:hint="eastAsia"/>
          <w:lang w:val="en-US" w:eastAsia="zh-CN"/>
        </w:rPr>
        <w:t xml:space="preserve">                                                                               </w:t>
      </w: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7" w:hRule="atLeast"/>
        </w:trPr>
        <w:tc>
          <w:tcPr>
            <w:tcW w:w="2196" w:type="dxa"/>
            <w:vAlign w:val="center"/>
          </w:tcPr>
          <w:p>
            <w:pPr>
              <w:tabs>
                <w:tab w:val="left" w:pos="7088"/>
              </w:tabs>
              <w:jc w:val="center"/>
              <w:rPr>
                <w:b/>
                <w:sz w:val="30"/>
                <w:szCs w:val="30"/>
              </w:rPr>
            </w:pPr>
            <w:r>
              <w:rPr>
                <w:rFonts w:hint="eastAsia"/>
                <w:b/>
                <w:sz w:val="30"/>
                <w:szCs w:val="30"/>
              </w:rPr>
              <w:t>信息01</w:t>
            </w:r>
          </w:p>
        </w:tc>
        <w:tc>
          <w:tcPr>
            <w:tcW w:w="6877" w:type="dxa"/>
            <w:gridSpan w:val="3"/>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cs="宋体" w:asciiTheme="minorEastAsia" w:hAnsiTheme="minorEastAsia" w:eastAsiaTheme="minorEastAsia"/>
                <w:b/>
                <w:color w:val="000000"/>
                <w:kern w:val="0"/>
                <w:sz w:val="32"/>
                <w:szCs w:val="32"/>
              </w:rPr>
            </w:pPr>
            <w:r>
              <w:rPr>
                <w:rFonts w:cs="宋体" w:asciiTheme="minorEastAsia" w:hAnsiTheme="minorEastAsia" w:eastAsiaTheme="minorEastAsia"/>
                <w:b/>
                <w:color w:val="000000"/>
                <w:kern w:val="0"/>
                <w:sz w:val="32"/>
                <w:szCs w:val="32"/>
              </w:rPr>
              <w:t>2023</w:t>
            </w:r>
            <w:r>
              <w:rPr>
                <w:rFonts w:hint="eastAsia" w:cs="宋体" w:asciiTheme="minorEastAsia" w:hAnsiTheme="minorEastAsia" w:eastAsiaTheme="minorEastAsia"/>
                <w:b/>
                <w:color w:val="000000"/>
                <w:kern w:val="0"/>
                <w:sz w:val="32"/>
                <w:szCs w:val="32"/>
                <w:lang w:eastAsia="zh-CN"/>
              </w:rPr>
              <w:t>年</w:t>
            </w:r>
            <w:r>
              <w:rPr>
                <w:rFonts w:cs="宋体" w:asciiTheme="minorEastAsia" w:hAnsiTheme="minorEastAsia" w:eastAsiaTheme="minorEastAsia"/>
                <w:b/>
                <w:color w:val="000000"/>
                <w:kern w:val="0"/>
                <w:sz w:val="32"/>
                <w:szCs w:val="32"/>
              </w:rPr>
              <w:t>两会政府工作报告</w:t>
            </w:r>
            <w:r>
              <w:rPr>
                <w:rFonts w:hint="eastAsia" w:cs="宋体" w:asciiTheme="minorEastAsia" w:hAnsiTheme="minorEastAsia" w:eastAsiaTheme="minorEastAsia"/>
                <w:b/>
                <w:color w:val="000000"/>
                <w:kern w:val="0"/>
                <w:sz w:val="32"/>
                <w:szCs w:val="32"/>
                <w:lang w:eastAsia="zh-CN"/>
              </w:rPr>
              <w:t>中的医药相关内容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ind w:firstLine="280" w:firstLineChars="100"/>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5</w:t>
            </w:r>
          </w:p>
        </w:tc>
        <w:tc>
          <w:tcPr>
            <w:tcW w:w="2049" w:type="dxa"/>
            <w:vAlign w:val="center"/>
          </w:tcPr>
          <w:p>
            <w:pPr>
              <w:tabs>
                <w:tab w:val="left" w:pos="7088"/>
              </w:tabs>
              <w:jc w:val="center"/>
              <w:rPr>
                <w:b/>
                <w:sz w:val="28"/>
                <w:szCs w:val="28"/>
              </w:rPr>
            </w:pPr>
            <w:r>
              <w:rPr>
                <w:rFonts w:hint="eastAsia"/>
                <w:b/>
                <w:sz w:val="30"/>
                <w:szCs w:val="30"/>
              </w:rPr>
              <w:t>信息来源</w:t>
            </w:r>
          </w:p>
        </w:tc>
        <w:tc>
          <w:tcPr>
            <w:tcW w:w="2487" w:type="dxa"/>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96" w:type="dxa"/>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28"/>
                <w:szCs w:val="28"/>
              </w:rPr>
            </w:pPr>
            <w:r>
              <w:rPr>
                <w:rFonts w:hint="eastAsia"/>
                <w:sz w:val="28"/>
                <w:szCs w:val="28"/>
              </w:rPr>
              <w:t>运营管理部</w:t>
            </w:r>
          </w:p>
        </w:tc>
        <w:tc>
          <w:tcPr>
            <w:tcW w:w="2049" w:type="dxa"/>
          </w:tcPr>
          <w:p>
            <w:pPr>
              <w:tabs>
                <w:tab w:val="left" w:pos="7088"/>
              </w:tabs>
              <w:jc w:val="center"/>
              <w:rPr>
                <w:b/>
                <w:sz w:val="28"/>
                <w:szCs w:val="28"/>
              </w:rPr>
            </w:pPr>
            <w:r>
              <w:rPr>
                <w:rFonts w:hint="eastAsia"/>
                <w:b/>
                <w:sz w:val="30"/>
                <w:szCs w:val="30"/>
              </w:rPr>
              <w:t>信息确认</w:t>
            </w:r>
          </w:p>
        </w:tc>
        <w:tc>
          <w:tcPr>
            <w:tcW w:w="2487" w:type="dxa"/>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96"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rFonts w:hint="default"/>
                <w:sz w:val="28"/>
                <w:szCs w:val="28"/>
                <w:lang w:val="en-US"/>
              </w:rPr>
            </w:pPr>
            <w:r>
              <w:rPr>
                <w:rFonts w:hint="eastAsia" w:asciiTheme="minorEastAsia" w:hAnsiTheme="minorEastAsia" w:eastAsiaTheme="minorEastAsia"/>
                <w:sz w:val="28"/>
                <w:szCs w:val="28"/>
              </w:rPr>
              <w:t>来源：</w:t>
            </w: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asciiTheme="minorEastAsia" w:hAnsiTheme="minorEastAsia" w:eastAsiaTheme="minorEastAsia"/>
                <w:sz w:val="28"/>
                <w:szCs w:val="28"/>
                <w:lang w:val="en-US" w:eastAsia="zh-CN"/>
              </w:rPr>
              <w:t>政府工作报告，医药，回顾</w:t>
            </w:r>
            <w:r>
              <w:rPr>
                <w:rFonts w:hint="eastAsia" w:asciiTheme="minorEastAsia" w:hAnsiTheme="minorEastAsia" w:eastAsiaTheme="minorEastAsia"/>
                <w:sz w:val="28"/>
                <w:szCs w:val="28"/>
                <w:lang w:eastAsia="zh-CN"/>
              </w:rPr>
              <w:t>，预期目标</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numPr>
                <w:ilvl w:val="0"/>
                <w:numId w:val="0"/>
              </w:numPr>
              <w:ind w:left="420" w:leftChars="0" w:firstLine="560" w:firstLineChars="20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3月5日上午，十四届全国人大一次会议在北京开幕，政府工作报告中指出，2022年及过去五年，国家持续推行药品和医用耗材集采，降低费用负担超过4000亿元；将更多急需药品纳入医保；完善疾病预防控制体系；促进中医药传承创新发展。</w:t>
            </w:r>
          </w:p>
          <w:p>
            <w:pPr>
              <w:numPr>
                <w:ilvl w:val="0"/>
                <w:numId w:val="0"/>
              </w:numPr>
              <w:ind w:left="420" w:leftChars="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今年，进一步加快疫苗迭代升级和新药研制，推动优质医疗资源扩容下沉和区域均衡布局，加强养老服务保障，完善生育支持政策体系…</w:t>
            </w:r>
          </w:p>
          <w:p>
            <w:pPr>
              <w:numPr>
                <w:ilvl w:val="0"/>
                <w:numId w:val="1"/>
              </w:numPr>
              <w:ind w:left="420" w:leftChars="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医保</w:t>
            </w:r>
            <w:r>
              <w:rPr>
                <w:rFonts w:hint="eastAsia" w:ascii="宋体" w:hAnsi="宋体" w:eastAsia="宋体" w:cs="宋体"/>
                <w:kern w:val="2"/>
                <w:sz w:val="28"/>
                <w:szCs w:val="28"/>
                <w:lang w:val="en-US" w:eastAsia="zh-CN" w:bidi="ar-SA"/>
              </w:rPr>
              <w:t>；</w:t>
            </w:r>
          </w:p>
          <w:p>
            <w:pPr>
              <w:numPr>
                <w:ilvl w:val="0"/>
                <w:numId w:val="1"/>
              </w:numPr>
              <w:ind w:left="420" w:leftChars="0" w:firstLine="0" w:firstLineChars="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医药；</w:t>
            </w:r>
          </w:p>
          <w:p>
            <w:pPr>
              <w:numPr>
                <w:ilvl w:val="0"/>
                <w:numId w:val="1"/>
              </w:numPr>
              <w:ind w:left="420" w:leftChars="0" w:firstLine="0" w:firstLine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医疗；</w:t>
            </w:r>
          </w:p>
          <w:p>
            <w:pPr>
              <w:numPr>
                <w:ilvl w:val="0"/>
                <w:numId w:val="1"/>
              </w:numPr>
              <w:ind w:left="420" w:leftChars="0" w:firstLine="0" w:firstLineChars="0"/>
              <w:rPr>
                <w:rFonts w:hint="eastAsia" w:cs="Times New Roman" w:asciiTheme="minorEastAsia" w:hAnsiTheme="minorEastAsia"/>
                <w:kern w:val="2"/>
                <w:sz w:val="28"/>
                <w:szCs w:val="28"/>
                <w:lang w:val="en-US" w:eastAsia="zh-CN" w:bidi="ar-SA"/>
              </w:rPr>
            </w:pPr>
            <w:r>
              <w:rPr>
                <w:rFonts w:hint="eastAsia" w:ascii="宋体" w:hAnsi="宋体" w:cs="宋体"/>
                <w:kern w:val="2"/>
                <w:sz w:val="28"/>
                <w:szCs w:val="28"/>
                <w:lang w:val="en-US" w:eastAsia="zh-CN" w:bidi="ar-SA"/>
              </w:rPr>
              <w:t>医教。</w:t>
            </w:r>
            <w:r>
              <w:rPr>
                <w:rFonts w:hint="eastAsia" w:ascii="宋体" w:hAnsi="宋体" w:eastAsia="宋体" w:cs="宋体"/>
                <w:kern w:val="2"/>
                <w:sz w:val="28"/>
                <w:szCs w:val="28"/>
                <w:lang w:val="en-US" w:eastAsia="zh-CN" w:bidi="ar-SA"/>
              </w:rPr>
              <w:br w:type="textWrapp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sz w:val="28"/>
                <w:szCs w:val="28"/>
              </w:rPr>
            </w:pPr>
            <w:r>
              <w:rPr>
                <w:rFonts w:hint="eastAsia" w:ascii="Calibri" w:hAnsi="Calibri" w:eastAsia="宋体" w:cs="Times New Roman"/>
                <w:kern w:val="2"/>
                <w:sz w:val="21"/>
                <w:szCs w:val="22"/>
                <w:lang w:val="en-US" w:eastAsia="zh-CN" w:bidi="ar-SA"/>
              </w:rPr>
              <w:t>附件1: 2023年两会政府工作报告中的医药相关内容</w:t>
            </w:r>
          </w:p>
        </w:tc>
      </w:tr>
    </w:tbl>
    <w:p>
      <w:pPr>
        <w:tabs>
          <w:tab w:val="left" w:pos="5245"/>
        </w:tabs>
      </w:pP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b/>
                <w:sz w:val="32"/>
                <w:szCs w:val="32"/>
              </w:rPr>
            </w:pPr>
            <w:r>
              <w:rPr>
                <w:rFonts w:hint="eastAsia" w:asciiTheme="minorEastAsia" w:hAnsiTheme="minorEastAsia" w:eastAsiaTheme="minorEastAsia"/>
                <w:b/>
                <w:sz w:val="32"/>
                <w:szCs w:val="32"/>
              </w:rPr>
              <w:t>国家医保局发布《2022年医疗保障事业发展统计快报》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ind w:firstLine="280" w:firstLineChars="100"/>
              <w:jc w:val="left"/>
              <w:rPr>
                <w:rFonts w:hint="default" w:asciiTheme="minorEastAsia" w:hAnsiTheme="minorEastAsia" w:eastAsiaTheme="minorEastAsia"/>
                <w:sz w:val="28"/>
                <w:szCs w:val="28"/>
                <w:lang w:val="en-US"/>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3</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3</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13</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rFonts w:hint="eastAsia" w:eastAsia="宋体"/>
                <w:sz w:val="28"/>
                <w:szCs w:val="28"/>
                <w:lang w:eastAsia="zh-CN"/>
              </w:rPr>
            </w:pPr>
            <w:r>
              <w:rPr>
                <w:rFonts w:hint="eastAsia" w:eastAsiaTheme="minorEastAsia"/>
                <w:sz w:val="28"/>
                <w:szCs w:val="28"/>
                <w:lang w:val="en-US" w:eastAsia="zh-CN"/>
              </w:rPr>
              <w:t>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left"/>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eastAsiaTheme="minorEastAsia"/>
                <w:sz w:val="28"/>
                <w:szCs w:val="28"/>
                <w:lang w:val="en-US" w:eastAsia="zh-CN"/>
              </w:rPr>
              <w:t>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asciiTheme="minorEastAsia" w:hAnsiTheme="minorEastAsia" w:eastAsiaTheme="minorEastAsia"/>
                <w:sz w:val="28"/>
                <w:szCs w:val="28"/>
                <w:lang w:val="en-US" w:eastAsia="zh-CN"/>
              </w:rPr>
              <w:t>医保，统计快报</w:t>
            </w:r>
            <w:r>
              <w:rPr>
                <w:rFonts w:hint="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vAlign w:val="center"/>
          </w:tcPr>
          <w:p>
            <w:pPr>
              <w:numPr>
                <w:ilvl w:val="0"/>
                <w:numId w:val="0"/>
              </w:numPr>
              <w:ind w:firstLine="560" w:firstLineChars="20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日前，国家医保局发布《2022年医疗保障事业发展统计快报》，从我国基本医疗保险基金（含生育保险）总收入、总支出、参保人员、医保基金收支情况、疫情防控、跨省异地就医直接结算等多个方面介绍2022年医保基金相关情况。</w:t>
            </w:r>
          </w:p>
          <w:p>
            <w:pPr>
              <w:numPr>
                <w:ilvl w:val="0"/>
                <w:numId w:val="0"/>
              </w:numPr>
              <w:ind w:firstLine="560" w:firstLineChars="200"/>
              <w:rPr>
                <w:rFonts w:hint="eastAsia" w:ascii="宋体" w:hAnsi="宋体" w:cs="宋体"/>
                <w:kern w:val="2"/>
                <w:sz w:val="28"/>
                <w:szCs w:val="28"/>
                <w:lang w:val="en-US" w:eastAsia="zh-CN" w:bidi="ar-SA"/>
              </w:rPr>
            </w:pPr>
          </w:p>
          <w:p>
            <w:pPr>
              <w:numPr>
                <w:ilvl w:val="0"/>
                <w:numId w:val="0"/>
              </w:numPr>
              <w:ind w:left="420" w:left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附《2022年医疗保障事业发展统计快报》</w:t>
            </w:r>
          </w:p>
          <w:p>
            <w:pPr>
              <w:widowControl/>
              <w:spacing w:line="420" w:lineRule="atLeast"/>
              <w:ind w:firstLine="420" w:firstLineChars="200"/>
              <w:jc w:val="left"/>
              <w:rPr>
                <w:rFonts w:hint="eastAsia" w:asciiTheme="minorEastAsia" w:hAnsiTheme="minorEastAsia" w:eastAsiaTheme="minorEastAsia"/>
                <w:lang w:val="en-US" w:eastAsia="zh-CN"/>
              </w:rPr>
            </w:pPr>
          </w:p>
          <w:p>
            <w:pPr>
              <w:widowControl/>
              <w:spacing w:line="420" w:lineRule="atLeast"/>
              <w:jc w:val="left"/>
              <w:rPr>
                <w:rFonts w:asciiTheme="minorEastAsia" w:hAnsiTheme="minorEastAsia" w:eastAsiaTheme="minorEastAsia"/>
              </w:rPr>
            </w:pPr>
          </w:p>
          <w:p>
            <w:pPr>
              <w:widowControl/>
              <w:spacing w:line="420" w:lineRule="atLeast"/>
              <w:jc w:val="left"/>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 xml:space="preserve">  </w:t>
            </w:r>
          </w:p>
          <w:p>
            <w:pPr>
              <w:widowControl/>
              <w:spacing w:line="420" w:lineRule="atLeast"/>
              <w:jc w:val="left"/>
              <w:rPr>
                <w:rFonts w:hint="eastAsia" w:asciiTheme="minorEastAsia" w:hAnsiTheme="minorEastAsia" w:eastAsiaTheme="minorEastAsia"/>
                <w:lang w:val="en-US" w:eastAsia="zh-CN"/>
              </w:rPr>
            </w:pPr>
          </w:p>
          <w:p>
            <w:pPr>
              <w:widowControl/>
              <w:spacing w:line="420" w:lineRule="atLeast"/>
              <w:jc w:val="left"/>
              <w:rPr>
                <w:rFonts w:hint="eastAsia" w:asciiTheme="minorEastAsia" w:hAnsiTheme="minorEastAsia" w:eastAsiaTheme="minorEastAsia"/>
                <w:lang w:val="en-US" w:eastAsia="zh-CN"/>
              </w:rPr>
            </w:pPr>
          </w:p>
          <w:p>
            <w:pPr>
              <w:widowControl/>
              <w:spacing w:line="420" w:lineRule="atLeast"/>
              <w:jc w:val="left"/>
              <w:rPr>
                <w:rFonts w:hint="eastAsia" w:asciiTheme="minorEastAsia" w:hAnsiTheme="minorEastAsia" w:eastAsiaTheme="minorEastAsia"/>
                <w:lang w:val="en-US" w:eastAsia="zh-CN"/>
              </w:rPr>
            </w:pPr>
          </w:p>
          <w:p>
            <w:pPr>
              <w:widowControl/>
              <w:spacing w:line="420" w:lineRule="atLeast"/>
              <w:jc w:val="left"/>
              <w:rPr>
                <w:rFonts w:hint="default" w:asciiTheme="minorEastAsia" w:hAnsiTheme="minorEastAsia" w:eastAsiaTheme="minorEastAsia"/>
                <w:lang w:val="en-US" w:eastAsia="zh-CN"/>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rPr>
                <w:rFonts w:hint="eastAsia"/>
                <w:lang w:val="en-US" w:eastAsia="zh-CN"/>
              </w:rPr>
            </w:pPr>
            <w:r>
              <w:rPr>
                <w:rFonts w:hint="eastAsia"/>
                <w:lang w:eastAsia="zh-CN"/>
              </w:rPr>
              <w:t>附件</w:t>
            </w:r>
            <w:r>
              <w:rPr>
                <w:rFonts w:hint="eastAsia"/>
                <w:lang w:val="en-US" w:eastAsia="zh-CN"/>
              </w:rPr>
              <w:t>2：国家医保局发布《2022年医疗保障事业发展统计快报》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cs="Helvetica" w:asciiTheme="minorEastAsia" w:hAnsiTheme="minorEastAsia" w:eastAsiaTheme="minorEastAsia"/>
                <w:b/>
                <w:color w:val="000000"/>
                <w:kern w:val="0"/>
                <w:sz w:val="32"/>
                <w:szCs w:val="32"/>
              </w:rPr>
            </w:pPr>
            <w:r>
              <w:rPr>
                <w:rFonts w:hint="eastAsia" w:cs="Helvetica" w:asciiTheme="minorEastAsia" w:hAnsiTheme="minorEastAsia" w:eastAsiaTheme="minorEastAsia"/>
                <w:b/>
                <w:color w:val="000000"/>
                <w:kern w:val="0"/>
                <w:sz w:val="32"/>
                <w:szCs w:val="32"/>
              </w:rPr>
              <w:t>医药商业公司，正面临第4次「危机」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hint="default" w:asciiTheme="minorEastAsia" w:hAnsiTheme="minorEastAsia" w:eastAsiaTheme="minorEastAsia"/>
                <w:sz w:val="28"/>
                <w:szCs w:val="28"/>
                <w:lang w:val="en-US" w:eastAsia="zh-CN"/>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3</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3</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8</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rFonts w:hint="default" w:eastAsia="宋体"/>
                <w:sz w:val="28"/>
                <w:szCs w:val="28"/>
                <w:lang w:val="en-US" w:eastAsia="zh-CN"/>
              </w:rPr>
            </w:pP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hint="eastAsia" w:ascii="Helvetica" w:hAnsi="Helvetica" w:cs="Helvetica" w:eastAsiaTheme="minorEastAsia"/>
                <w:color w:val="000000" w:themeColor="text1"/>
                <w:kern w:val="0"/>
                <w:sz w:val="28"/>
                <w:szCs w:val="28"/>
                <w:lang w:eastAsia="zh-CN"/>
              </w:rPr>
            </w:pPr>
            <w:r>
              <w:rPr>
                <w:rFonts w:hint="eastAsia" w:cs="Helvetica" w:asciiTheme="minorEastAsia" w:hAnsiTheme="minorEastAsia" w:eastAsiaTheme="minorEastAsia"/>
                <w:color w:val="000000" w:themeColor="text1"/>
                <w:kern w:val="0"/>
                <w:sz w:val="28"/>
                <w:szCs w:val="28"/>
              </w:rPr>
              <w:t>来源：</w:t>
            </w: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sz w:val="28"/>
                <w:szCs w:val="28"/>
                <w:lang w:val="en-US" w:eastAsia="zh-CN"/>
              </w:rPr>
              <w:t>医药商业，整合</w:t>
            </w:r>
            <w:r>
              <w:rPr>
                <w:rFonts w:hint="eastAsia" w:asciiTheme="minorEastAsia" w:hAnsiTheme="minorEastAsia" w:eastAsiaTheme="minorEastAsia"/>
                <w:sz w:val="28"/>
                <w:szCs w:val="28"/>
                <w:lang w:eastAsia="zh-CN"/>
              </w:rPr>
              <w:t>，承压，危机</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numPr>
                <w:ilvl w:val="0"/>
                <w:numId w:val="0"/>
              </w:numPr>
              <w:ind w:firstLine="560" w:firstLineChars="200"/>
              <w:jc w:val="left"/>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2022年，在疫情和医药行业深度调整的背景下，大批药企承压。后疫情时代，医药行业在快速向好。但医药商业企业当前的情况也不容乐观。</w:t>
            </w:r>
          </w:p>
          <w:p>
            <w:pPr>
              <w:numPr>
                <w:ilvl w:val="0"/>
                <w:numId w:val="0"/>
              </w:numPr>
              <w:ind w:left="420" w:leftChars="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1、从计划经济到市场经济，商业公司经历了第一次并购潮；</w:t>
            </w:r>
          </w:p>
          <w:p>
            <w:pPr>
              <w:numPr>
                <w:ilvl w:val="0"/>
                <w:numId w:val="0"/>
              </w:numPr>
              <w:ind w:left="420" w:leftChars="0"/>
              <w:jc w:val="left"/>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2、“两票制”成规模以下商业公司的生死诀；</w:t>
            </w:r>
          </w:p>
          <w:p>
            <w:pPr>
              <w:numPr>
                <w:ilvl w:val="0"/>
                <w:numId w:val="0"/>
              </w:numPr>
              <w:ind w:left="420" w:leftChars="0"/>
              <w:jc w:val="left"/>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3、集采使得商业公司盈利普遍承压；</w:t>
            </w:r>
          </w:p>
          <w:p>
            <w:pPr>
              <w:numPr>
                <w:ilvl w:val="0"/>
                <w:numId w:val="0"/>
              </w:numPr>
              <w:ind w:left="420" w:leftChars="0"/>
              <w:jc w:val="left"/>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4、新的医药商业物流冲击传统医药商业配送体系。</w:t>
            </w:r>
          </w:p>
          <w:p>
            <w:pPr>
              <w:numPr>
                <w:ilvl w:val="0"/>
                <w:numId w:val="0"/>
              </w:numPr>
              <w:ind w:left="420" w:leftChars="0"/>
              <w:jc w:val="left"/>
              <w:rPr>
                <w:rFonts w:hint="default" w:ascii="宋体" w:hAnsi="宋体" w:cs="宋体"/>
                <w:kern w:val="2"/>
                <w:sz w:val="28"/>
                <w:szCs w:val="28"/>
                <w:lang w:val="en-US" w:eastAsia="zh-CN" w:bidi="ar-SA"/>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cs="Helvetica"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szCs w:val="21"/>
              </w:rPr>
              <w:t>附件3：医药商业公司，正面临第4次「危机」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rFonts w:cs="Helvetica" w:asciiTheme="minorEastAsia" w:hAnsiTheme="minorEastAsia" w:eastAsiaTheme="minorEastAsia"/>
                <w:b/>
                <w:color w:val="000000"/>
                <w:kern w:val="0"/>
                <w:sz w:val="32"/>
                <w:szCs w:val="32"/>
              </w:rPr>
            </w:pPr>
            <w:r>
              <w:rPr>
                <w:rFonts w:hint="eastAsia" w:cs="Helvetica" w:asciiTheme="minorEastAsia" w:hAnsiTheme="minorEastAsia" w:eastAsiaTheme="minorEastAsia"/>
                <w:b/>
                <w:color w:val="000000"/>
                <w:kern w:val="0"/>
                <w:sz w:val="32"/>
                <w:szCs w:val="32"/>
              </w:rPr>
              <w:t xml:space="preserve"> 大连锁直播加盟招商持续“高温”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24</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eastAsiaTheme="minorEastAsia"/>
                <w:sz w:val="28"/>
                <w:szCs w:val="28"/>
                <w:lang w:val="en-US" w:eastAsia="zh-CN"/>
              </w:rPr>
              <w:t>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来源：</w:t>
            </w:r>
            <w:r>
              <w:rPr>
                <w:rFonts w:hint="eastAsia" w:asciiTheme="minorEastAsia" w:hAnsiTheme="minorEastAsia" w:eastAsiaTheme="minorEastAsia"/>
                <w:sz w:val="28"/>
                <w:szCs w:val="28"/>
                <w:lang w:val="en-US" w:eastAsia="zh-CN"/>
              </w:rPr>
              <w:t>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r>
              <w:rPr>
                <w:rFonts w:hint="eastAsia"/>
                <w:b/>
                <w:sz w:val="30"/>
                <w:szCs w:val="30"/>
              </w:rPr>
              <w:tab/>
            </w:r>
            <w:r>
              <w:rPr>
                <w:rFonts w:hint="eastAsia"/>
                <w:b/>
                <w:sz w:val="30"/>
                <w:szCs w:val="30"/>
              </w:rPr>
              <w:t>药政重点 二票制</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大连锁，加盟，趋势，整合</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pPr>
              <w:numPr>
                <w:ilvl w:val="0"/>
                <w:numId w:val="0"/>
              </w:numPr>
              <w:ind w:left="420" w:leftChars="0" w:firstLine="560" w:firstLineChars="20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大连锁直播加盟招商持续升温，网上直播加盟招商比拼越来越激烈。从大连锁的拓展趋势来看，扩大加盟店的规模成为其重中之重。</w:t>
            </w:r>
          </w:p>
          <w:p>
            <w:pPr>
              <w:numPr>
                <w:ilvl w:val="0"/>
                <w:numId w:val="0"/>
              </w:numPr>
              <w:ind w:left="420" w:left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1、直播加盟招商“热浪”不断；</w:t>
            </w:r>
          </w:p>
          <w:p>
            <w:pPr>
              <w:numPr>
                <w:ilvl w:val="0"/>
                <w:numId w:val="0"/>
              </w:numPr>
              <w:ind w:left="420" w:left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2、从比“硬件”到拼“软件”；</w:t>
            </w:r>
          </w:p>
          <w:p>
            <w:pPr>
              <w:numPr>
                <w:ilvl w:val="0"/>
                <w:numId w:val="0"/>
              </w:numPr>
              <w:ind w:left="420" w:leftChars="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3、药店整合以“收编”落幕？</w:t>
            </w:r>
          </w:p>
          <w:p>
            <w:pPr>
              <w:numPr>
                <w:ilvl w:val="0"/>
                <w:numId w:val="0"/>
              </w:numPr>
              <w:ind w:left="420" w:leftChars="0"/>
              <w:rPr>
                <w:rFonts w:hint="eastAsia" w:ascii="宋体" w:hAnsi="宋体" w:cs="宋体"/>
                <w:kern w:val="2"/>
                <w:sz w:val="28"/>
                <w:szCs w:val="28"/>
                <w:lang w:val="en-US" w:eastAsia="zh-CN" w:bidi="ar-SA"/>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szCs w:val="21"/>
              </w:rPr>
            </w:pPr>
            <w:r>
              <w:rPr>
                <w:rFonts w:hint="eastAsia" w:ascii="宋体" w:hAnsi="宋体" w:cs="宋体"/>
                <w:kern w:val="0"/>
                <w:szCs w:val="21"/>
              </w:rPr>
              <w:t>附件4： 大连锁直播加盟招商持续“高温”</w:t>
            </w:r>
          </w:p>
        </w:tc>
      </w:tr>
    </w:tbl>
    <w:tbl>
      <w:tblPr>
        <w:tblStyle w:val="12"/>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2"/>
        <w:gridCol w:w="2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b/>
                <w:sz w:val="32"/>
                <w:szCs w:val="32"/>
              </w:rPr>
            </w:pPr>
            <w:r>
              <w:rPr>
                <w:rFonts w:hint="eastAsia" w:asciiTheme="minorEastAsia" w:hAnsiTheme="minorEastAsia" w:eastAsiaTheme="minorEastAsia"/>
                <w:b/>
                <w:sz w:val="32"/>
                <w:szCs w:val="32"/>
              </w:rPr>
              <w:t>新规实施！</w:t>
            </w:r>
            <w:r>
              <w:rPr>
                <w:rFonts w:hint="eastAsia" w:asciiTheme="minorEastAsia" w:hAnsiTheme="minorEastAsia" w:eastAsiaTheme="minorEastAsia"/>
                <w:b/>
                <w:sz w:val="32"/>
                <w:szCs w:val="32"/>
                <w:lang w:eastAsia="zh-CN"/>
              </w:rPr>
              <w:t>多地</w:t>
            </w:r>
            <w:r>
              <w:rPr>
                <w:rFonts w:hint="eastAsia" w:asciiTheme="minorEastAsia" w:hAnsiTheme="minorEastAsia" w:eastAsiaTheme="minorEastAsia"/>
                <w:b/>
                <w:sz w:val="32"/>
                <w:szCs w:val="32"/>
              </w:rPr>
              <w:t>药店门诊统筹支付标准及额度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hint="default" w:asciiTheme="minorEastAsia" w:hAnsiTheme="minorEastAsia" w:eastAsiaTheme="minorEastAsia"/>
                <w:sz w:val="30"/>
                <w:szCs w:val="30"/>
                <w:lang w:val="en-US" w:eastAsia="zh-CN"/>
              </w:rPr>
            </w:pPr>
            <w:r>
              <w:rPr>
                <w:rFonts w:hint="eastAsia" w:asciiTheme="minorEastAsia" w:hAnsiTheme="minorEastAsia" w:eastAsiaTheme="minorEastAsia"/>
                <w:sz w:val="30"/>
                <w:szCs w:val="30"/>
              </w:rPr>
              <w:t>202</w:t>
            </w:r>
            <w:r>
              <w:rPr>
                <w:rFonts w:hint="eastAsia" w:asciiTheme="minorEastAsia" w:hAnsiTheme="minorEastAsia" w:eastAsiaTheme="minorEastAsia"/>
                <w:sz w:val="30"/>
                <w:szCs w:val="30"/>
                <w:lang w:val="en-US" w:eastAsia="zh-CN"/>
              </w:rPr>
              <w:t>3</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3</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6</w:t>
            </w:r>
          </w:p>
        </w:tc>
        <w:tc>
          <w:tcPr>
            <w:tcW w:w="2342" w:type="dxa"/>
            <w:vAlign w:val="center"/>
          </w:tcPr>
          <w:p>
            <w:pPr>
              <w:tabs>
                <w:tab w:val="left" w:pos="7088"/>
              </w:tabs>
              <w:jc w:val="center"/>
              <w:rPr>
                <w:b/>
                <w:sz w:val="28"/>
                <w:szCs w:val="28"/>
              </w:rPr>
            </w:pPr>
            <w:r>
              <w:rPr>
                <w:rFonts w:hint="eastAsia"/>
                <w:b/>
                <w:sz w:val="30"/>
                <w:szCs w:val="30"/>
              </w:rPr>
              <w:t>信息来源</w:t>
            </w:r>
          </w:p>
        </w:tc>
        <w:tc>
          <w:tcPr>
            <w:tcW w:w="2194" w:type="dxa"/>
            <w:vAlign w:val="center"/>
          </w:tcPr>
          <w:p>
            <w:pPr>
              <w:tabs>
                <w:tab w:val="left" w:pos="7088"/>
              </w:tabs>
              <w:jc w:val="center"/>
              <w:rPr>
                <w:rFonts w:hint="eastAsia" w:eastAsia="宋体"/>
                <w:sz w:val="28"/>
                <w:szCs w:val="28"/>
                <w:lang w:eastAsia="zh-CN"/>
              </w:rPr>
            </w:pPr>
            <w:r>
              <w:rPr>
                <w:rFonts w:hint="eastAsia"/>
                <w:sz w:val="28"/>
                <w:szCs w:val="28"/>
                <w:lang w:eastAsia="zh-CN"/>
              </w:rPr>
              <w:t>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2" w:type="dxa"/>
            <w:vAlign w:val="center"/>
          </w:tcPr>
          <w:p>
            <w:pPr>
              <w:tabs>
                <w:tab w:val="left" w:pos="7088"/>
              </w:tabs>
              <w:jc w:val="center"/>
              <w:rPr>
                <w:b/>
                <w:sz w:val="28"/>
                <w:szCs w:val="28"/>
              </w:rPr>
            </w:pPr>
            <w:r>
              <w:rPr>
                <w:rFonts w:hint="eastAsia"/>
                <w:b/>
                <w:sz w:val="30"/>
                <w:szCs w:val="30"/>
              </w:rPr>
              <w:t>信息确认</w:t>
            </w:r>
          </w:p>
        </w:tc>
        <w:tc>
          <w:tcPr>
            <w:tcW w:w="2194" w:type="dxa"/>
            <w:vAlign w:val="center"/>
          </w:tcPr>
          <w:p>
            <w:pPr>
              <w:tabs>
                <w:tab w:val="left" w:pos="7088"/>
              </w:tabs>
              <w:jc w:val="center"/>
              <w:rPr>
                <w:sz w:val="30"/>
                <w:szCs w:val="30"/>
              </w:rPr>
            </w:pPr>
            <w:r>
              <w:rPr>
                <w:rFonts w:hint="eastAsia"/>
                <w:sz w:val="28"/>
                <w:szCs w:val="28"/>
                <w:lang w:eastAsia="zh-CN"/>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30"/>
                <w:szCs w:val="30"/>
              </w:rPr>
            </w:pPr>
            <w:r>
              <w:rPr>
                <w:rFonts w:hint="eastAsia"/>
                <w:sz w:val="28"/>
                <w:szCs w:val="28"/>
                <w:lang w:eastAsia="zh-CN"/>
              </w:rPr>
              <w:t>来源：米内零售观察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inorEastAsia" w:hAnsiTheme="minorEastAsia" w:eastAsiaTheme="minorEastAsia"/>
                <w:kern w:val="0"/>
                <w:sz w:val="28"/>
                <w:szCs w:val="28"/>
                <w:lang w:eastAsia="zh-CN"/>
              </w:rPr>
              <w:t>药店，门诊统筹，支付标准</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numPr>
                <w:ilvl w:val="0"/>
                <w:numId w:val="0"/>
              </w:numPr>
              <w:ind w:firstLine="280" w:firstLineChars="1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药店门诊统筹在地方加速推进，多地发文，明确其报销比例和支付额度。</w:t>
            </w:r>
          </w:p>
          <w:p>
            <w:pPr>
              <w:numPr>
                <w:ilvl w:val="0"/>
                <w:numId w:val="0"/>
              </w:numPr>
              <w:ind w:firstLine="280" w:firstLineChars="100"/>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lang w:val="en-US" w:eastAsia="zh-CN"/>
              </w:rPr>
              <w:t>1、西安、咸阳确定门诊统筹支付标准；</w:t>
            </w:r>
          </w:p>
          <w:p>
            <w:pPr>
              <w:numPr>
                <w:ilvl w:val="0"/>
                <w:numId w:val="0"/>
              </w:numPr>
              <w:ind w:firstLine="280" w:firstLineChars="1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2、地方报销额度各有不同；</w:t>
            </w:r>
          </w:p>
          <w:p>
            <w:pPr>
              <w:numPr>
                <w:ilvl w:val="0"/>
                <w:numId w:val="0"/>
              </w:numPr>
              <w:ind w:firstLine="280" w:firstLineChars="1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3、哪些药店可以吃到政策“红利”？</w:t>
            </w:r>
          </w:p>
          <w:p>
            <w:pPr>
              <w:numPr>
                <w:ilvl w:val="0"/>
                <w:numId w:val="0"/>
              </w:numPr>
              <w:ind w:firstLine="280" w:firstLineChars="1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br w:type="textWrapping"/>
            </w:r>
          </w:p>
          <w:p>
            <w:pPr>
              <w:numPr>
                <w:ilvl w:val="0"/>
                <w:numId w:val="0"/>
              </w:numPr>
              <w:ind w:left="210" w:leftChars="0"/>
              <w:rPr>
                <w:rFonts w:hint="eastAsia" w:cs="宋体" w:asciiTheme="minorEastAsia" w:hAnsiTheme="minorEastAsia" w:eastAsiaTheme="minorEastAsia"/>
                <w:kern w:val="0"/>
                <w:sz w:val="28"/>
                <w:szCs w:val="28"/>
                <w:lang w:val="en-US" w:eastAsia="zh-CN"/>
              </w:rPr>
            </w:pPr>
          </w:p>
          <w:p>
            <w:pPr>
              <w:numPr>
                <w:ilvl w:val="0"/>
                <w:numId w:val="0"/>
              </w:numPr>
              <w:ind w:left="210" w:leftChars="0"/>
              <w:rPr>
                <w:rFonts w:hint="eastAsia" w:cs="宋体" w:asciiTheme="minorEastAsia" w:hAnsiTheme="minorEastAsia" w:eastAsiaTheme="minorEastAsia"/>
                <w:kern w:val="0"/>
                <w:sz w:val="28"/>
                <w:szCs w:val="28"/>
                <w:lang w:val="en-US" w:eastAsia="zh-CN"/>
              </w:rPr>
            </w:pPr>
          </w:p>
          <w:p>
            <w:pPr>
              <w:numPr>
                <w:ilvl w:val="0"/>
                <w:numId w:val="0"/>
              </w:numPr>
              <w:rPr>
                <w:rFonts w:hint="eastAsia" w:cs="宋体" w:asciiTheme="minorEastAsia" w:hAnsiTheme="minorEastAsia" w:eastAsiaTheme="minorEastAsia"/>
                <w:kern w:val="0"/>
                <w:sz w:val="28"/>
                <w:szCs w:val="28"/>
                <w:lang w:val="en-US" w:eastAsia="zh-CN"/>
              </w:rPr>
            </w:pPr>
          </w:p>
          <w:p>
            <w:pPr>
              <w:numPr>
                <w:ilvl w:val="0"/>
                <w:numId w:val="0"/>
              </w:numPr>
              <w:rPr>
                <w:rFonts w:hint="eastAsia" w:cs="宋体" w:asciiTheme="minorEastAsia" w:hAnsiTheme="minorEastAsia" w:eastAsiaTheme="minorEastAsia"/>
                <w:kern w:val="0"/>
                <w:sz w:val="28"/>
                <w:szCs w:val="28"/>
                <w:lang w:val="en-US" w:eastAsia="zh-CN"/>
              </w:rPr>
            </w:pPr>
          </w:p>
          <w:p>
            <w:pPr>
              <w:numPr>
                <w:ilvl w:val="0"/>
                <w:numId w:val="0"/>
              </w:numPr>
              <w:rPr>
                <w:rFonts w:hint="eastAsia" w:cs="宋体" w:asciiTheme="minorEastAsia" w:hAnsiTheme="minorEastAsia" w:eastAsiaTheme="minorEastAsia"/>
                <w:kern w:val="0"/>
                <w:sz w:val="28"/>
                <w:szCs w:val="28"/>
                <w:lang w:val="en-US" w:eastAsia="zh-CN"/>
              </w:rPr>
            </w:pPr>
          </w:p>
          <w:p>
            <w:pPr>
              <w:numPr>
                <w:ilvl w:val="0"/>
                <w:numId w:val="0"/>
              </w:numPr>
              <w:rPr>
                <w:rFonts w:hint="eastAsia" w:cs="宋体" w:asciiTheme="minorEastAsia" w:hAnsiTheme="minorEastAsia" w:eastAsiaTheme="minorEastAsia"/>
                <w:kern w:val="0"/>
                <w:sz w:val="28"/>
                <w:szCs w:val="28"/>
                <w:lang w:val="en-US" w:eastAsia="zh-CN"/>
              </w:rPr>
            </w:pPr>
          </w:p>
          <w:p>
            <w:pPr>
              <w:numPr>
                <w:ilvl w:val="0"/>
                <w:numId w:val="0"/>
              </w:numPr>
              <w:ind w:leftChars="200"/>
              <w:rPr>
                <w:rFonts w:hint="eastAsia" w:cs="宋体" w:asciiTheme="minorEastAsia" w:hAnsiTheme="minorEastAsia" w:eastAsiaTheme="minorEastAsia"/>
                <w:kern w:val="0"/>
                <w:sz w:val="28"/>
                <w:szCs w:val="28"/>
                <w:lang w:val="en-US" w:eastAsia="zh-CN"/>
              </w:rPr>
            </w:pPr>
          </w:p>
          <w:p>
            <w:pPr>
              <w:rPr>
                <w:b/>
                <w:sz w:val="32"/>
                <w:szCs w:val="32"/>
              </w:rPr>
            </w:pPr>
            <w:r>
              <w:rPr>
                <w:rFonts w:hint="eastAsia" w:ascii="宋体" w:hAnsi="宋体" w:cs="宋体"/>
                <w:kern w:val="0"/>
                <w:szCs w:val="21"/>
              </w:rPr>
              <w:t>附件5: 新规实施！</w:t>
            </w:r>
            <w:r>
              <w:rPr>
                <w:rFonts w:hint="eastAsia" w:ascii="宋体" w:hAnsi="宋体" w:cs="宋体"/>
                <w:kern w:val="0"/>
                <w:szCs w:val="21"/>
                <w:lang w:eastAsia="zh-CN"/>
              </w:rPr>
              <w:t>多地</w:t>
            </w:r>
            <w:r>
              <w:rPr>
                <w:rFonts w:hint="eastAsia" w:ascii="宋体" w:hAnsi="宋体" w:cs="宋体"/>
                <w:kern w:val="0"/>
                <w:szCs w:val="21"/>
              </w:rPr>
              <w:t>药店门诊统筹支付标准及额度</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lang w:val="en-US"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eastAsia="宋体"/>
          <w:sz w:val="33"/>
          <w:szCs w:val="33"/>
          <w:lang w:eastAsia="zh-CN"/>
        </w:rPr>
      </w:pPr>
      <w:r>
        <w:rPr>
          <w:sz w:val="33"/>
          <w:szCs w:val="33"/>
        </w:rPr>
        <w:t>2023</w:t>
      </w:r>
      <w:r>
        <w:rPr>
          <w:rFonts w:hint="eastAsia"/>
          <w:sz w:val="33"/>
          <w:szCs w:val="33"/>
          <w:lang w:eastAsia="zh-CN"/>
        </w:rPr>
        <w:t>年</w:t>
      </w:r>
      <w:r>
        <w:rPr>
          <w:sz w:val="33"/>
          <w:szCs w:val="33"/>
        </w:rPr>
        <w:t>两会政府工作报告</w:t>
      </w:r>
      <w:r>
        <w:rPr>
          <w:rFonts w:hint="eastAsia"/>
          <w:sz w:val="33"/>
          <w:szCs w:val="33"/>
          <w:lang w:eastAsia="zh-CN"/>
        </w:rPr>
        <w:t>中的医药相关内容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rFonts w:hint="eastAsia" w:ascii="Microsoft YaHei UI" w:hAnsi="Microsoft YaHei UI" w:eastAsia="Microsoft YaHei UI" w:cs="Microsoft YaHei UI"/>
          <w:color w:val="222222"/>
          <w:spacing w:val="8"/>
        </w:rPr>
      </w:pPr>
      <w:r>
        <w:rPr>
          <w:rFonts w:ascii="宋体" w:hAnsi="宋体" w:eastAsia="宋体" w:cs="宋体"/>
          <w:i w:val="0"/>
          <w:iCs w:val="0"/>
          <w:spacing w:val="0"/>
          <w:kern w:val="0"/>
          <w:sz w:val="18"/>
          <w:szCs w:val="18"/>
          <w:lang w:val="en-US" w:eastAsia="zh-CN" w:bidi="ar"/>
        </w:rPr>
        <w:t>原创</w:t>
      </w:r>
      <w:r>
        <w:rPr>
          <w:rFonts w:ascii="宋体" w:hAnsi="宋体" w:eastAsia="宋体" w:cs="宋体"/>
          <w:kern w:val="0"/>
          <w:sz w:val="0"/>
          <w:szCs w:val="0"/>
          <w:lang w:val="en-US" w:eastAsia="zh-CN" w:bidi="ar"/>
        </w:rPr>
        <w:t> </w:t>
      </w:r>
      <w:r>
        <w:rPr>
          <w:rFonts w:ascii="宋体" w:hAnsi="宋体" w:eastAsia="宋体" w:cs="宋体"/>
          <w:kern w:val="0"/>
          <w:sz w:val="22"/>
          <w:szCs w:val="22"/>
          <w:lang w:val="en-US" w:eastAsia="zh-CN" w:bidi="ar"/>
        </w:rPr>
        <w:t>张自然博士</w:t>
      </w:r>
      <w:r>
        <w:rPr>
          <w:rFonts w:ascii="宋体" w:hAnsi="宋体" w:eastAsia="宋体" w:cs="宋体"/>
          <w:kern w:val="0"/>
          <w:sz w:val="0"/>
          <w:szCs w:val="0"/>
          <w:lang w:val="en-US" w:eastAsia="zh-CN" w:bidi="ar"/>
        </w:rPr>
        <w:t> </w:t>
      </w:r>
      <w:r>
        <w:rPr>
          <w:rFonts w:ascii="宋体" w:hAnsi="宋体" w:eastAsia="宋体" w:cs="宋体"/>
          <w:color w:val="576B95"/>
          <w:kern w:val="0"/>
          <w:sz w:val="22"/>
          <w:szCs w:val="22"/>
          <w:u w:val="none"/>
          <w:lang w:val="en-US" w:eastAsia="zh-CN" w:bidi="ar"/>
        </w:rPr>
        <w:fldChar w:fldCharType="begin"/>
      </w:r>
      <w:r>
        <w:rPr>
          <w:rFonts w:ascii="宋体" w:hAnsi="宋体" w:eastAsia="宋体" w:cs="宋体"/>
          <w:color w:val="576B95"/>
          <w:kern w:val="0"/>
          <w:sz w:val="22"/>
          <w:szCs w:val="22"/>
          <w:u w:val="none"/>
          <w:lang w:val="en-US" w:eastAsia="zh-CN" w:bidi="ar"/>
        </w:rPr>
        <w:instrText xml:space="preserve"> HYPERLINK "javascript:void(0);" </w:instrText>
      </w:r>
      <w:r>
        <w:rPr>
          <w:rFonts w:ascii="宋体" w:hAnsi="宋体" w:eastAsia="宋体" w:cs="宋体"/>
          <w:color w:val="576B95"/>
          <w:kern w:val="0"/>
          <w:sz w:val="22"/>
          <w:szCs w:val="22"/>
          <w:u w:val="none"/>
          <w:lang w:val="en-US" w:eastAsia="zh-CN" w:bidi="ar"/>
        </w:rPr>
        <w:fldChar w:fldCharType="separate"/>
      </w:r>
      <w:r>
        <w:rPr>
          <w:rStyle w:val="16"/>
          <w:rFonts w:ascii="宋体" w:hAnsi="宋体" w:eastAsia="宋体" w:cs="宋体"/>
          <w:color w:val="576B95"/>
          <w:sz w:val="22"/>
          <w:szCs w:val="22"/>
          <w:u w:val="none"/>
        </w:rPr>
        <w:t>赛柏蓝</w:t>
      </w:r>
      <w:r>
        <w:rPr>
          <w:rFonts w:ascii="宋体" w:hAnsi="宋体" w:eastAsia="宋体" w:cs="宋体"/>
          <w:color w:val="576B95"/>
          <w:kern w:val="0"/>
          <w:sz w:val="22"/>
          <w:szCs w:val="22"/>
          <w:u w:val="none"/>
          <w:lang w:val="en-US" w:eastAsia="zh-CN" w:bidi="ar"/>
        </w:rPr>
        <w:fldChar w:fldCharType="end"/>
      </w:r>
      <w:r>
        <w:rPr>
          <w:rFonts w:ascii="宋体" w:hAnsi="宋体" w:eastAsia="宋体" w:cs="宋体"/>
          <w:kern w:val="0"/>
          <w:sz w:val="0"/>
          <w:szCs w:val="0"/>
          <w:lang w:val="en-US" w:eastAsia="zh-CN" w:bidi="ar"/>
        </w:rPr>
        <w:t> </w:t>
      </w:r>
      <w:r>
        <w:rPr>
          <w:rStyle w:val="15"/>
          <w:rFonts w:ascii="宋体" w:hAnsi="宋体" w:eastAsia="宋体" w:cs="宋体"/>
          <w:i w:val="0"/>
          <w:iCs w:val="0"/>
          <w:kern w:val="0"/>
          <w:sz w:val="22"/>
          <w:szCs w:val="22"/>
          <w:lang w:val="en-US" w:eastAsia="zh-CN" w:bidi="ar"/>
        </w:rPr>
        <w:t>2023-03-05 18:39</w:t>
      </w:r>
      <w:r>
        <w:rPr>
          <w:rFonts w:ascii="宋体" w:hAnsi="宋体" w:eastAsia="宋体" w:cs="宋体"/>
          <w:kern w:val="0"/>
          <w:sz w:val="0"/>
          <w:szCs w:val="0"/>
          <w:lang w:val="en-US" w:eastAsia="zh-CN" w:bidi="ar"/>
        </w:rPr>
        <w:t> </w:t>
      </w:r>
      <w:r>
        <w:rPr>
          <w:rStyle w:val="15"/>
          <w:rFonts w:ascii="宋体" w:hAnsi="宋体" w:eastAsia="宋体" w:cs="宋体"/>
          <w:i w:val="0"/>
          <w:iCs w:val="0"/>
          <w:kern w:val="0"/>
          <w:sz w:val="22"/>
          <w:szCs w:val="22"/>
          <w:lang w:val="en-US" w:eastAsia="zh-CN" w:bidi="ar"/>
        </w:rPr>
        <w:t>发表于北京</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shd w:val="clear" w:fill="FFFFFF"/>
        </w:rPr>
        <w:t>今天（3月5日）上午，十四届全国人大一次会议在北京开幕，政府工作报告中指出，2022年及过去五年，国家持续推行药品和医用耗材集采，降低费用负担超过4000亿元；将更多急需药品纳入医保；完善疾病预防控制体系；促进中医药传承创新发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shd w:val="clear" w:fill="FFFFFF"/>
        </w:rPr>
        <w:t>今年，</w:t>
      </w:r>
      <w:r>
        <w:rPr>
          <w:rStyle w:val="14"/>
          <w:rFonts w:hint="eastAsia" w:ascii="宋体" w:hAnsi="宋体" w:eastAsia="宋体" w:cs="宋体"/>
          <w:color w:val="0A6EBF"/>
          <w:spacing w:val="8"/>
          <w:sz w:val="28"/>
          <w:szCs w:val="28"/>
          <w:shd w:val="clear" w:fill="FFFFFF"/>
        </w:rPr>
        <w:t>进一步加快疫苗迭代升级和新药研制，推动优质医疗资源扩容下沉和区域均衡布局，加强养老服务保障，完善生育支持政策体系…...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color w:val="000000"/>
          <w:spacing w:val="8"/>
          <w:sz w:val="28"/>
          <w:szCs w:val="28"/>
          <w:shd w:val="clear" w:fill="FFFFFF"/>
        </w:rPr>
        <w:t>本文就对十九大以来我国在</w:t>
      </w:r>
      <w:r>
        <w:rPr>
          <w:rStyle w:val="14"/>
          <w:rFonts w:hint="eastAsia" w:ascii="宋体" w:hAnsi="宋体" w:eastAsia="宋体" w:cs="宋体"/>
          <w:color w:val="0A6EBF"/>
          <w:spacing w:val="8"/>
          <w:sz w:val="28"/>
          <w:szCs w:val="28"/>
          <w:shd w:val="clear" w:fill="FFFFFF"/>
        </w:rPr>
        <w:t>医保、医药、医疗、医教</w:t>
      </w:r>
      <w:r>
        <w:rPr>
          <w:rFonts w:hint="eastAsia" w:ascii="宋体" w:hAnsi="宋体" w:eastAsia="宋体" w:cs="宋体"/>
          <w:color w:val="000000"/>
          <w:spacing w:val="8"/>
          <w:sz w:val="28"/>
          <w:szCs w:val="28"/>
          <w:shd w:val="clear" w:fill="FFFFFF"/>
        </w:rPr>
        <w:t>方面取得的成就管窥一二。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eastAsia" w:ascii="宋体" w:hAnsi="宋体" w:eastAsia="宋体" w:cs="宋体"/>
          <w:spacing w:val="8"/>
          <w:sz w:val="28"/>
          <w:szCs w:val="28"/>
        </w:rPr>
      </w:pPr>
      <w:r>
        <w:rPr>
          <w:rStyle w:val="14"/>
          <w:rFonts w:hint="eastAsia" w:ascii="宋体" w:hAnsi="宋体" w:eastAsia="宋体" w:cs="宋体"/>
          <w:color w:val="0A6EBF"/>
          <w:spacing w:val="8"/>
          <w:sz w:val="28"/>
          <w:szCs w:val="28"/>
          <w:shd w:val="clear" w:fill="FFFFFF"/>
        </w:rPr>
        <w:t>01 医保</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color w:val="222222"/>
          <w:spacing w:val="8"/>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shd w:val="clear" w:fill="FFFFFF"/>
        </w:rPr>
        <w:t>国家医疗保障局成立后，一年一度的医保谈判，加快了新药纳入医保目录的进程，我国医保目录纳入药品的数量</w:t>
      </w:r>
      <w:r>
        <w:rPr>
          <w:rStyle w:val="14"/>
          <w:rFonts w:hint="eastAsia" w:ascii="宋体" w:hAnsi="宋体" w:eastAsia="宋体" w:cs="宋体"/>
          <w:color w:val="0A6EBF"/>
          <w:spacing w:val="8"/>
          <w:sz w:val="28"/>
          <w:szCs w:val="28"/>
          <w:shd w:val="clear" w:fill="FFFFFF"/>
        </w:rPr>
        <w:t>由2017年的2571个增加到了2022年的近3000个（2967个），5年增加了396个</w:t>
      </w:r>
      <w:r>
        <w:rPr>
          <w:rFonts w:hint="eastAsia" w:ascii="宋体" w:hAnsi="宋体" w:eastAsia="宋体" w:cs="宋体"/>
          <w:color w:val="222222"/>
          <w:spacing w:val="8"/>
          <w:sz w:val="28"/>
          <w:szCs w:val="28"/>
          <w:shd w:val="clear" w:fill="FFFFFF"/>
        </w:rPr>
        <w:t>，大幅减轻了患者负担。</w:t>
      </w:r>
      <w:r>
        <w:rPr>
          <w:rFonts w:hint="eastAsia" w:ascii="宋体" w:hAnsi="宋体" w:eastAsia="宋体" w:cs="宋体"/>
          <w:color w:val="222222"/>
          <w:spacing w:val="8"/>
          <w:sz w:val="28"/>
          <w:szCs w:val="28"/>
          <w:shd w:val="clear" w:fill="FFFFFF"/>
        </w:rPr>
        <w:br w:type="textWrapping"/>
      </w:r>
      <w:r>
        <w:rPr>
          <w:rFonts w:hint="eastAsia" w:cs="宋体"/>
          <w:color w:val="222222"/>
          <w:spacing w:val="8"/>
          <w:sz w:val="28"/>
          <w:szCs w:val="28"/>
          <w:shd w:val="clear" w:fill="FFFFFF"/>
          <w:lang w:val="en-US" w:eastAsia="zh-CN"/>
        </w:rPr>
        <w:t xml:space="preserve">    </w:t>
      </w:r>
      <w:r>
        <w:rPr>
          <w:rFonts w:hint="eastAsia" w:ascii="宋体" w:hAnsi="宋体" w:eastAsia="宋体" w:cs="宋体"/>
          <w:color w:val="222222"/>
          <w:spacing w:val="8"/>
          <w:sz w:val="28"/>
          <w:szCs w:val="28"/>
          <w:shd w:val="clear" w:fill="FFFFFF"/>
        </w:rPr>
        <w:t>其中，纳入的中药品种数量</w:t>
      </w:r>
      <w:r>
        <w:rPr>
          <w:rStyle w:val="14"/>
          <w:rFonts w:hint="eastAsia" w:ascii="宋体" w:hAnsi="宋体" w:eastAsia="宋体" w:cs="宋体"/>
          <w:color w:val="0A6EBF"/>
          <w:spacing w:val="8"/>
          <w:sz w:val="28"/>
          <w:szCs w:val="28"/>
          <w:shd w:val="clear" w:fill="FFFFFF"/>
        </w:rPr>
        <w:t>由2017年的1243个增加到了2022年的1381个，5年增加了138个，增长了11%。</w:t>
      </w:r>
      <w:r>
        <w:rPr>
          <w:rFonts w:hint="eastAsia" w:ascii="宋体" w:hAnsi="宋体" w:eastAsia="宋体" w:cs="宋体"/>
          <w:color w:val="222222"/>
          <w:spacing w:val="8"/>
          <w:sz w:val="28"/>
          <w:szCs w:val="28"/>
          <w:shd w:val="clear" w:fill="FFFFFF"/>
        </w:rPr>
        <w:t>（详见图一）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color w:val="222222"/>
          <w:spacing w:val="8"/>
          <w:sz w:val="24"/>
          <w:szCs w:val="24"/>
          <w:shd w:val="clear" w:fill="FFFFFF"/>
        </w:rPr>
        <w:drawing>
          <wp:inline distT="0" distB="0" distL="114300" distR="114300">
            <wp:extent cx="5198110" cy="3610610"/>
            <wp:effectExtent l="0" t="0" r="2540" b="8890"/>
            <wp:docPr id="2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7"/>
                    <pic:cNvPicPr>
                      <a:picLocks noChangeAspect="1"/>
                    </pic:cNvPicPr>
                  </pic:nvPicPr>
                  <pic:blipFill>
                    <a:blip r:embed="rId9"/>
                    <a:stretch>
                      <a:fillRect/>
                    </a:stretch>
                  </pic:blipFill>
                  <pic:spPr>
                    <a:xfrm>
                      <a:off x="0" y="0"/>
                      <a:ext cx="5198110" cy="36106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shd w:val="clear" w:fill="FFFFFF"/>
        </w:rPr>
        <w:t>五年来，为进一步缓解群众看病难、看病贵问题，持续提高基本医保和大病保险水平，城乡居民医保人均财政补助标准</w:t>
      </w:r>
      <w:r>
        <w:rPr>
          <w:rStyle w:val="14"/>
          <w:rFonts w:hint="eastAsia" w:ascii="宋体" w:hAnsi="宋体" w:eastAsia="宋体" w:cs="宋体"/>
          <w:color w:val="0A6EBF"/>
          <w:spacing w:val="8"/>
          <w:sz w:val="28"/>
          <w:szCs w:val="28"/>
          <w:shd w:val="clear" w:fill="FFFFFF"/>
        </w:rPr>
        <w:t>从450元提高到610元，5年增加了160元，增加了36%。（详见图二）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color w:val="222222"/>
          <w:spacing w:val="8"/>
          <w:sz w:val="24"/>
          <w:szCs w:val="24"/>
          <w:shd w:val="clear" w:fill="FFFFFF"/>
        </w:rPr>
        <w:drawing>
          <wp:inline distT="0" distB="0" distL="114300" distR="114300">
            <wp:extent cx="5304790" cy="3961130"/>
            <wp:effectExtent l="0" t="0" r="10160" b="1270"/>
            <wp:docPr id="2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8"/>
                    <pic:cNvPicPr>
                      <a:picLocks noChangeAspect="1"/>
                    </pic:cNvPicPr>
                  </pic:nvPicPr>
                  <pic:blipFill>
                    <a:blip r:embed="rId10"/>
                    <a:stretch>
                      <a:fillRect/>
                    </a:stretch>
                  </pic:blipFill>
                  <pic:spPr>
                    <a:xfrm>
                      <a:off x="0" y="0"/>
                      <a:ext cx="5304790" cy="39611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sz w:val="24"/>
          <w:szCs w:val="24"/>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eastAsia" w:ascii="宋体" w:hAnsi="宋体" w:eastAsia="宋体" w:cs="宋体"/>
          <w:spacing w:val="8"/>
          <w:sz w:val="28"/>
          <w:szCs w:val="28"/>
        </w:rPr>
      </w:pPr>
      <w:r>
        <w:rPr>
          <w:rStyle w:val="14"/>
          <w:rFonts w:hint="eastAsia" w:ascii="宋体" w:hAnsi="宋体" w:eastAsia="宋体" w:cs="宋体"/>
          <w:color w:val="0A6EBF"/>
          <w:spacing w:val="8"/>
          <w:sz w:val="28"/>
          <w:szCs w:val="28"/>
          <w:shd w:val="clear" w:fill="FFFFFF"/>
        </w:rPr>
        <w:t>02 医药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color w:val="222222"/>
          <w:spacing w:val="8"/>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shd w:val="clear" w:fill="FFFFFF"/>
        </w:rPr>
      </w:pPr>
      <w:r>
        <w:rPr>
          <w:rFonts w:hint="eastAsia" w:ascii="宋体" w:hAnsi="宋体" w:eastAsia="宋体" w:cs="宋体"/>
          <w:color w:val="222222"/>
          <w:spacing w:val="8"/>
          <w:sz w:val="28"/>
          <w:szCs w:val="28"/>
          <w:shd w:val="clear" w:fill="FFFFFF"/>
        </w:rPr>
        <w:t>党的十九大报告提出“创新是引领发展的第一动力”。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shd w:val="clear" w:fill="FFFFFF"/>
        </w:rPr>
        <w:t>五年来，我国医药行业创新尤为活跃，新批准上市的创新药数量</w:t>
      </w:r>
      <w:r>
        <w:rPr>
          <w:rStyle w:val="14"/>
          <w:rFonts w:hint="eastAsia" w:ascii="宋体" w:hAnsi="宋体" w:eastAsia="宋体" w:cs="宋体"/>
          <w:color w:val="0A6EBF"/>
          <w:spacing w:val="8"/>
          <w:sz w:val="28"/>
          <w:szCs w:val="28"/>
          <w:shd w:val="clear" w:fill="FFFFFF"/>
        </w:rPr>
        <w:t>由2017年的61个增加到了2021年的91个，5年增长了49%。</w:t>
      </w:r>
      <w:r>
        <w:rPr>
          <w:rFonts w:hint="eastAsia" w:ascii="宋体" w:hAnsi="宋体" w:eastAsia="宋体" w:cs="宋体"/>
          <w:color w:val="222222"/>
          <w:spacing w:val="8"/>
          <w:sz w:val="28"/>
          <w:szCs w:val="28"/>
          <w:shd w:val="clear" w:fill="FFFFFF"/>
        </w:rPr>
        <w:br w:type="textWrapping"/>
      </w:r>
      <w:r>
        <w:rPr>
          <w:rStyle w:val="14"/>
          <w:rFonts w:hint="eastAsia" w:ascii="宋体" w:hAnsi="宋体" w:eastAsia="宋体" w:cs="宋体"/>
          <w:color w:val="0A6EBF"/>
          <w:spacing w:val="8"/>
          <w:sz w:val="28"/>
          <w:szCs w:val="28"/>
          <w:shd w:val="clear" w:fill="FFFFFF"/>
        </w:rPr>
        <w:t>其中，2021年批准的中药新药数量（12个）比前4年（2017～2020年）总和还要多。</w:t>
      </w:r>
      <w:r>
        <w:rPr>
          <w:rFonts w:hint="eastAsia" w:ascii="宋体" w:hAnsi="宋体" w:eastAsia="宋体" w:cs="宋体"/>
          <w:color w:val="222222"/>
          <w:spacing w:val="8"/>
          <w:sz w:val="28"/>
          <w:szCs w:val="28"/>
          <w:shd w:val="clear" w:fill="FFFFFF"/>
        </w:rPr>
        <w:br w:type="textWrapping"/>
      </w:r>
      <w:r>
        <w:rPr>
          <w:rFonts w:hint="eastAsia" w:cs="宋体"/>
          <w:color w:val="222222"/>
          <w:spacing w:val="8"/>
          <w:sz w:val="28"/>
          <w:szCs w:val="28"/>
          <w:shd w:val="clear" w:fill="FFFFFF"/>
          <w:lang w:val="en-US" w:eastAsia="zh-CN"/>
        </w:rPr>
        <w:t xml:space="preserve">    </w:t>
      </w:r>
      <w:r>
        <w:rPr>
          <w:rFonts w:hint="eastAsia" w:ascii="宋体" w:hAnsi="宋体" w:eastAsia="宋体" w:cs="宋体"/>
          <w:color w:val="222222"/>
          <w:spacing w:val="8"/>
          <w:sz w:val="28"/>
          <w:szCs w:val="28"/>
          <w:shd w:val="clear" w:fill="FFFFFF"/>
        </w:rPr>
        <w:t>受疫情影响，2022年批准新药数量略有下滑，处于上市申请阶段的创新药有望在 2023 年集中获批。（详见图三）</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color w:val="222222"/>
          <w:spacing w:val="8"/>
          <w:sz w:val="24"/>
          <w:szCs w:val="24"/>
          <w:shd w:val="clear" w:fill="FFFFFF"/>
        </w:rPr>
        <w:drawing>
          <wp:inline distT="0" distB="0" distL="114300" distR="114300">
            <wp:extent cx="5287645" cy="3924300"/>
            <wp:effectExtent l="0" t="0" r="8255" b="0"/>
            <wp:docPr id="2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9"/>
                    <pic:cNvPicPr>
                      <a:picLocks noChangeAspect="1"/>
                    </pic:cNvPicPr>
                  </pic:nvPicPr>
                  <pic:blipFill>
                    <a:blip r:embed="rId11"/>
                    <a:stretch>
                      <a:fillRect/>
                    </a:stretch>
                  </pic:blipFill>
                  <pic:spPr>
                    <a:xfrm>
                      <a:off x="0" y="0"/>
                      <a:ext cx="5287645" cy="392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sz w:val="24"/>
          <w:szCs w:val="24"/>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eastAsia" w:ascii="宋体" w:hAnsi="宋体" w:eastAsia="宋体" w:cs="宋体"/>
          <w:spacing w:val="8"/>
          <w:sz w:val="28"/>
          <w:szCs w:val="28"/>
        </w:rPr>
      </w:pPr>
      <w:r>
        <w:rPr>
          <w:rStyle w:val="14"/>
          <w:rFonts w:hint="eastAsia" w:ascii="宋体" w:hAnsi="宋体" w:eastAsia="宋体" w:cs="宋体"/>
          <w:color w:val="0A6EBF"/>
          <w:spacing w:val="8"/>
          <w:sz w:val="28"/>
          <w:szCs w:val="28"/>
          <w:shd w:val="clear" w:fill="FFFFFF"/>
        </w:rPr>
        <w:t>03 医疗</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color w:val="222222"/>
          <w:spacing w:val="8"/>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shd w:val="clear" w:fill="FFFFFF"/>
        </w:rPr>
        <w:t>随着医改的不断深入，我国医疗机构的服务能力不断提升。</w:t>
      </w:r>
      <w:r>
        <w:rPr>
          <w:rFonts w:hint="eastAsia" w:ascii="宋体" w:hAnsi="宋体" w:eastAsia="宋体" w:cs="宋体"/>
          <w:color w:val="222222"/>
          <w:spacing w:val="8"/>
          <w:sz w:val="28"/>
          <w:szCs w:val="28"/>
          <w:shd w:val="clear" w:fill="FFFFFF"/>
        </w:rPr>
        <w:br w:type="textWrapping"/>
      </w:r>
      <w:r>
        <w:rPr>
          <w:rStyle w:val="14"/>
          <w:rFonts w:hint="eastAsia" w:ascii="宋体" w:hAnsi="宋体" w:eastAsia="宋体" w:cs="宋体"/>
          <w:color w:val="0A6EBF"/>
          <w:spacing w:val="8"/>
          <w:sz w:val="28"/>
          <w:szCs w:val="28"/>
          <w:shd w:val="clear" w:fill="FFFFFF"/>
        </w:rPr>
        <w:t>其中，中医类医疗卫生机构（包括中医类医院、中医类门诊部、中医类诊所和中医类研究机构）数量由2017年的54243家增加到了2021年的77336家，4年增加了23093家，增加了43%。</w:t>
      </w:r>
      <w:r>
        <w:rPr>
          <w:rFonts w:hint="eastAsia" w:ascii="宋体" w:hAnsi="宋体" w:eastAsia="宋体" w:cs="宋体"/>
          <w:color w:val="222222"/>
          <w:spacing w:val="8"/>
          <w:sz w:val="28"/>
          <w:szCs w:val="28"/>
          <w:shd w:val="clear" w:fill="FFFFFF"/>
        </w:rPr>
        <w:br w:type="textWrapping"/>
      </w:r>
      <w:r>
        <w:rPr>
          <w:rFonts w:hint="eastAsia" w:cs="宋体"/>
          <w:color w:val="222222"/>
          <w:spacing w:val="8"/>
          <w:sz w:val="28"/>
          <w:szCs w:val="28"/>
          <w:shd w:val="clear" w:fill="FFFFFF"/>
          <w:lang w:val="en-US" w:eastAsia="zh-CN"/>
        </w:rPr>
        <w:t xml:space="preserve">    </w:t>
      </w:r>
      <w:r>
        <w:rPr>
          <w:rFonts w:hint="eastAsia" w:ascii="宋体" w:hAnsi="宋体" w:eastAsia="宋体" w:cs="宋体"/>
          <w:color w:val="222222"/>
          <w:spacing w:val="8"/>
          <w:sz w:val="28"/>
          <w:szCs w:val="28"/>
          <w:shd w:val="clear" w:fill="FFFFFF"/>
        </w:rPr>
        <w:t>中医类医疗卫生机构诊疗人次占总医疗诊疗人次的</w:t>
      </w:r>
      <w:r>
        <w:rPr>
          <w:rStyle w:val="14"/>
          <w:rFonts w:hint="eastAsia" w:ascii="宋体" w:hAnsi="宋体" w:eastAsia="宋体" w:cs="宋体"/>
          <w:color w:val="0A6EBF"/>
          <w:spacing w:val="8"/>
          <w:sz w:val="28"/>
          <w:szCs w:val="28"/>
          <w:shd w:val="clear" w:fill="FFFFFF"/>
        </w:rPr>
        <w:t>比重由2017年的15.9%增加到了2021年的16.9%。</w:t>
      </w:r>
      <w:r>
        <w:rPr>
          <w:rFonts w:hint="eastAsia" w:ascii="宋体" w:hAnsi="宋体" w:eastAsia="宋体" w:cs="宋体"/>
          <w:color w:val="222222"/>
          <w:spacing w:val="8"/>
          <w:sz w:val="28"/>
          <w:szCs w:val="28"/>
          <w:shd w:val="clear" w:fill="FFFFFF"/>
        </w:rPr>
        <w:t>（详见图四）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color w:val="222222"/>
          <w:spacing w:val="8"/>
          <w:sz w:val="24"/>
          <w:szCs w:val="24"/>
          <w:shd w:val="clear" w:fill="FFFFFF"/>
        </w:rPr>
        <w:drawing>
          <wp:inline distT="0" distB="0" distL="114300" distR="114300">
            <wp:extent cx="5296535" cy="3886200"/>
            <wp:effectExtent l="0" t="0" r="18415" b="0"/>
            <wp:docPr id="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60"/>
                    <pic:cNvPicPr>
                      <a:picLocks noChangeAspect="1"/>
                    </pic:cNvPicPr>
                  </pic:nvPicPr>
                  <pic:blipFill>
                    <a:blip r:embed="rId12"/>
                    <a:stretch>
                      <a:fillRect/>
                    </a:stretch>
                  </pic:blipFill>
                  <pic:spPr>
                    <a:xfrm>
                      <a:off x="0" y="0"/>
                      <a:ext cx="5296535" cy="3886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sz w:val="24"/>
          <w:szCs w:val="24"/>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eastAsia" w:ascii="宋体" w:hAnsi="宋体" w:eastAsia="宋体" w:cs="宋体"/>
          <w:spacing w:val="8"/>
          <w:sz w:val="28"/>
          <w:szCs w:val="28"/>
        </w:rPr>
      </w:pPr>
      <w:r>
        <w:rPr>
          <w:rStyle w:val="14"/>
          <w:rFonts w:hint="eastAsia" w:ascii="宋体" w:hAnsi="宋体" w:eastAsia="宋体" w:cs="宋体"/>
          <w:color w:val="0A6EBF"/>
          <w:spacing w:val="8"/>
          <w:sz w:val="28"/>
          <w:szCs w:val="28"/>
          <w:shd w:val="clear" w:fill="FFFFFF"/>
        </w:rPr>
        <w:t>04 医教</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color w:val="222222"/>
          <w:spacing w:val="8"/>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shd w:val="clear" w:fill="FFFFFF"/>
        </w:rPr>
        <w:t>十九大以来，我国每千人口卫生技术人员数量不断增加，医疗服务能力不断提升。</w:t>
      </w:r>
      <w:r>
        <w:rPr>
          <w:rFonts w:hint="eastAsia" w:ascii="宋体" w:hAnsi="宋体" w:eastAsia="宋体" w:cs="宋体"/>
          <w:color w:val="222222"/>
          <w:spacing w:val="8"/>
          <w:sz w:val="28"/>
          <w:szCs w:val="28"/>
          <w:shd w:val="clear" w:fill="FFFFFF"/>
        </w:rPr>
        <w:br w:type="textWrapping"/>
      </w:r>
      <w:r>
        <w:rPr>
          <w:rFonts w:hint="eastAsia" w:cs="宋体"/>
          <w:color w:val="222222"/>
          <w:spacing w:val="8"/>
          <w:sz w:val="28"/>
          <w:szCs w:val="28"/>
          <w:shd w:val="clear" w:fill="FFFFFF"/>
          <w:lang w:val="en-US" w:eastAsia="zh-CN"/>
        </w:rPr>
        <w:t xml:space="preserve">    </w:t>
      </w:r>
      <w:r>
        <w:rPr>
          <w:rStyle w:val="14"/>
          <w:rFonts w:hint="eastAsia" w:ascii="宋体" w:hAnsi="宋体" w:eastAsia="宋体" w:cs="宋体"/>
          <w:color w:val="0A6EBF"/>
          <w:spacing w:val="8"/>
          <w:sz w:val="28"/>
          <w:szCs w:val="28"/>
          <w:shd w:val="clear" w:fill="FFFFFF"/>
        </w:rPr>
        <w:t>每千人口卫生技术人员数由2017年的6.47个增加到了2021年的7.97个，增加了0.23个。</w:t>
      </w:r>
      <w:r>
        <w:rPr>
          <w:rFonts w:hint="eastAsia" w:ascii="宋体" w:hAnsi="宋体" w:eastAsia="宋体" w:cs="宋体"/>
          <w:color w:val="222222"/>
          <w:spacing w:val="8"/>
          <w:sz w:val="28"/>
          <w:szCs w:val="28"/>
          <w:shd w:val="clear" w:fill="FFFFFF"/>
        </w:rPr>
        <w:br w:type="textWrapping"/>
      </w:r>
      <w:r>
        <w:rPr>
          <w:rFonts w:hint="eastAsia" w:cs="宋体"/>
          <w:color w:val="222222"/>
          <w:spacing w:val="8"/>
          <w:sz w:val="28"/>
          <w:szCs w:val="28"/>
          <w:shd w:val="clear" w:fill="FFFFFF"/>
          <w:lang w:val="en-US" w:eastAsia="zh-CN"/>
        </w:rPr>
        <w:t xml:space="preserve">    </w:t>
      </w:r>
      <w:r>
        <w:rPr>
          <w:rStyle w:val="14"/>
          <w:rFonts w:hint="eastAsia" w:ascii="宋体" w:hAnsi="宋体" w:eastAsia="宋体" w:cs="宋体"/>
          <w:color w:val="0A6EBF"/>
          <w:spacing w:val="8"/>
          <w:sz w:val="28"/>
          <w:szCs w:val="28"/>
          <w:shd w:val="clear" w:fill="FFFFFF"/>
        </w:rPr>
        <w:t>每千人口注册护士数由2017年的2.74个增加到了2021年的3.56个，增加了0.82个。</w:t>
      </w:r>
      <w:r>
        <w:rPr>
          <w:rFonts w:hint="eastAsia" w:ascii="宋体" w:hAnsi="宋体" w:eastAsia="宋体" w:cs="宋体"/>
          <w:color w:val="222222"/>
          <w:spacing w:val="8"/>
          <w:sz w:val="28"/>
          <w:szCs w:val="28"/>
          <w:shd w:val="clear" w:fill="FFFFFF"/>
        </w:rPr>
        <w:br w:type="textWrapping"/>
      </w:r>
      <w:r>
        <w:rPr>
          <w:rFonts w:hint="eastAsia" w:cs="宋体"/>
          <w:color w:val="222222"/>
          <w:spacing w:val="8"/>
          <w:sz w:val="28"/>
          <w:szCs w:val="28"/>
          <w:shd w:val="clear" w:fill="FFFFFF"/>
          <w:lang w:val="en-US" w:eastAsia="zh-CN"/>
        </w:rPr>
        <w:t xml:space="preserve">    </w:t>
      </w:r>
      <w:r>
        <w:rPr>
          <w:rFonts w:hint="eastAsia" w:ascii="宋体" w:hAnsi="宋体" w:eastAsia="宋体" w:cs="宋体"/>
          <w:color w:val="222222"/>
          <w:spacing w:val="8"/>
          <w:sz w:val="28"/>
          <w:szCs w:val="28"/>
          <w:shd w:val="clear" w:fill="FFFFFF"/>
        </w:rPr>
        <w:t>每千人口执业（助理）医师数由2017年的2.44个增加到了2021年的3.04个，</w:t>
      </w:r>
      <w:r>
        <w:rPr>
          <w:rStyle w:val="14"/>
          <w:rFonts w:hint="eastAsia" w:ascii="宋体" w:hAnsi="宋体" w:eastAsia="宋体" w:cs="宋体"/>
          <w:color w:val="0A6EBF"/>
          <w:spacing w:val="8"/>
          <w:sz w:val="28"/>
          <w:szCs w:val="28"/>
          <w:shd w:val="clear" w:fill="FFFFFF"/>
        </w:rPr>
        <w:t>增加了0.25个。</w:t>
      </w:r>
      <w:r>
        <w:rPr>
          <w:rFonts w:hint="eastAsia" w:ascii="宋体" w:hAnsi="宋体" w:eastAsia="宋体" w:cs="宋体"/>
          <w:color w:val="222222"/>
          <w:spacing w:val="8"/>
          <w:sz w:val="28"/>
          <w:szCs w:val="28"/>
          <w:shd w:val="clear" w:fill="FFFFFF"/>
        </w:rPr>
        <w:t>（详见图五）</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color w:val="222222"/>
          <w:spacing w:val="8"/>
          <w:sz w:val="24"/>
          <w:szCs w:val="24"/>
          <w:shd w:val="clear" w:fill="FFFFFF"/>
        </w:rPr>
        <w:drawing>
          <wp:inline distT="0" distB="0" distL="114300" distR="114300">
            <wp:extent cx="5288915" cy="3972560"/>
            <wp:effectExtent l="0" t="0" r="6985" b="8890"/>
            <wp:docPr id="2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61"/>
                    <pic:cNvPicPr>
                      <a:picLocks noChangeAspect="1"/>
                    </pic:cNvPicPr>
                  </pic:nvPicPr>
                  <pic:blipFill>
                    <a:blip r:embed="rId13"/>
                    <a:stretch>
                      <a:fillRect/>
                    </a:stretch>
                  </pic:blipFill>
                  <pic:spPr>
                    <a:xfrm>
                      <a:off x="0" y="0"/>
                      <a:ext cx="5288915" cy="39725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shd w:val="clear" w:fill="FFFFFF"/>
        </w:rPr>
        <w:t>五年来，我国创新药获批上市数量不断增多，新药纳入医保的速度不断加快，医疗机构服务能力不断提升，城乡居民医保人均财政补助标准逐年提升，药品和医用耗材集中带量采购降低了4000多亿元的费用负担，患者就医用药可及性大幅提高。</w:t>
      </w:r>
      <w:r>
        <w:rPr>
          <w:rFonts w:hint="eastAsia" w:ascii="宋体" w:hAnsi="宋体" w:eastAsia="宋体" w:cs="宋体"/>
          <w:color w:val="222222"/>
          <w:spacing w:val="8"/>
          <w:sz w:val="28"/>
          <w:szCs w:val="28"/>
          <w:shd w:val="clear" w:fill="FFFFFF"/>
        </w:rPr>
        <w:br w:type="textWrapping"/>
      </w:r>
      <w:r>
        <w:rPr>
          <w:rStyle w:val="14"/>
          <w:rFonts w:hint="eastAsia" w:ascii="宋体" w:hAnsi="宋体" w:eastAsia="宋体" w:cs="宋体"/>
          <w:color w:val="222222"/>
          <w:spacing w:val="8"/>
          <w:sz w:val="28"/>
          <w:szCs w:val="28"/>
          <w:shd w:val="clear" w:fill="FFFFFF"/>
        </w:rPr>
        <w:t>附：</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center"/>
        <w:rPr>
          <w:rFonts w:hint="eastAsia" w:ascii="Microsoft YaHei UI" w:hAnsi="Microsoft YaHei UI" w:eastAsia="Microsoft YaHei UI" w:cs="Microsoft YaHei UI"/>
          <w:i w:val="0"/>
          <w:iCs w:val="0"/>
          <w:caps w:val="0"/>
          <w:color w:val="222222"/>
          <w:spacing w:val="8"/>
          <w:sz w:val="24"/>
          <w:szCs w:val="24"/>
        </w:rPr>
      </w:pPr>
      <w:r>
        <w:rPr>
          <w:rFonts w:hint="eastAsia" w:ascii="Microsoft YaHei UI" w:hAnsi="Microsoft YaHei UI" w:eastAsia="Microsoft YaHei UI" w:cs="Microsoft YaHei UI"/>
          <w:i w:val="0"/>
          <w:iCs w:val="0"/>
          <w:caps w:val="0"/>
          <w:color w:val="222222"/>
          <w:spacing w:val="8"/>
          <w:sz w:val="24"/>
          <w:szCs w:val="24"/>
          <w:shd w:val="clear" w:fill="FFFFFF"/>
        </w:rPr>
        <w:drawing>
          <wp:inline distT="0" distB="0" distL="114300" distR="114300">
            <wp:extent cx="5277485" cy="8945880"/>
            <wp:effectExtent l="0" t="0" r="18415" b="7620"/>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14"/>
                    <a:stretch>
                      <a:fillRect/>
                    </a:stretch>
                  </pic:blipFill>
                  <pic:spPr>
                    <a:xfrm>
                      <a:off x="0" y="0"/>
                      <a:ext cx="5277485" cy="894588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center"/>
        <w:rPr>
          <w:rFonts w:hint="eastAsia" w:ascii="Microsoft YaHei UI" w:hAnsi="Microsoft YaHei UI" w:eastAsia="Microsoft YaHei UI" w:cs="Microsoft YaHei UI"/>
          <w:i w:val="0"/>
          <w:iCs w:val="0"/>
          <w:caps w:val="0"/>
          <w:color w:val="222222"/>
          <w:spacing w:val="8"/>
          <w:sz w:val="24"/>
          <w:szCs w:val="24"/>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center"/>
        <w:rPr>
          <w:rFonts w:hint="eastAsia" w:ascii="微软雅黑" w:hAnsi="微软雅黑" w:eastAsia="微软雅黑" w:cs="宋体"/>
          <w:b/>
          <w:color w:val="333333"/>
          <w:kern w:val="36"/>
          <w:sz w:val="24"/>
          <w:szCs w:val="24"/>
        </w:rPr>
      </w:pPr>
      <w:r>
        <w:drawing>
          <wp:inline distT="0" distB="0" distL="114300" distR="114300">
            <wp:extent cx="5276850" cy="8476615"/>
            <wp:effectExtent l="0" t="0" r="0" b="63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5"/>
                    <a:stretch>
                      <a:fillRect/>
                    </a:stretch>
                  </pic:blipFill>
                  <pic:spPr>
                    <a:xfrm>
                      <a:off x="0" y="0"/>
                      <a:ext cx="5276850" cy="8476615"/>
                    </a:xfrm>
                    <a:prstGeom prst="rect">
                      <a:avLst/>
                    </a:prstGeom>
                    <a:noFill/>
                    <a:ln>
                      <a:noFill/>
                    </a:ln>
                  </pic:spPr>
                </pic:pic>
              </a:graphicData>
            </a:graphic>
          </wp:inline>
        </w:drawing>
      </w:r>
    </w:p>
    <w:p>
      <w:pPr>
        <w:rPr>
          <w:rFonts w:hint="eastAsia" w:ascii="微软雅黑" w:hAnsi="微软雅黑" w:eastAsia="微软雅黑" w:cs="宋体"/>
          <w:b/>
          <w:color w:val="333333"/>
          <w:kern w:val="36"/>
          <w:sz w:val="24"/>
          <w:szCs w:val="24"/>
        </w:rPr>
      </w:pPr>
      <w:r>
        <w:drawing>
          <wp:inline distT="0" distB="0" distL="114300" distR="114300">
            <wp:extent cx="5276215" cy="8848725"/>
            <wp:effectExtent l="0" t="0" r="635" b="952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6"/>
                    <a:stretch>
                      <a:fillRect/>
                    </a:stretch>
                  </pic:blipFill>
                  <pic:spPr>
                    <a:xfrm>
                      <a:off x="0" y="0"/>
                      <a:ext cx="5276215" cy="8848725"/>
                    </a:xfrm>
                    <a:prstGeom prst="rect">
                      <a:avLst/>
                    </a:prstGeom>
                    <a:noFill/>
                    <a:ln>
                      <a:noFill/>
                    </a:ln>
                  </pic:spPr>
                </pic:pic>
              </a:graphicData>
            </a:graphic>
          </wp:inline>
        </w:drawing>
      </w:r>
    </w:p>
    <w:p>
      <w:pPr>
        <w:rPr>
          <w:rFonts w:hint="eastAsia" w:ascii="微软雅黑" w:hAnsi="微软雅黑" w:eastAsia="微软雅黑" w:cs="宋体"/>
          <w:b/>
          <w:color w:val="333333"/>
          <w:kern w:val="36"/>
          <w:sz w:val="24"/>
          <w:szCs w:val="24"/>
        </w:rPr>
      </w:pPr>
      <w:r>
        <w:drawing>
          <wp:inline distT="0" distB="0" distL="114300" distR="114300">
            <wp:extent cx="5361940" cy="8858250"/>
            <wp:effectExtent l="0" t="0" r="10160"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7"/>
                    <a:stretch>
                      <a:fillRect/>
                    </a:stretch>
                  </pic:blipFill>
                  <pic:spPr>
                    <a:xfrm>
                      <a:off x="0" y="0"/>
                      <a:ext cx="5361940" cy="88582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r>
        <w:drawing>
          <wp:inline distT="0" distB="0" distL="114300" distR="114300">
            <wp:extent cx="5305425" cy="8848725"/>
            <wp:effectExtent l="0" t="0" r="9525" b="952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8"/>
                    <a:stretch>
                      <a:fillRect/>
                    </a:stretch>
                  </pic:blipFill>
                  <pic:spPr>
                    <a:xfrm>
                      <a:off x="0" y="0"/>
                      <a:ext cx="5305425" cy="884872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lang w:val="en-US"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shd w:val="clear" w:fill="FFFFFF"/>
        </w:rPr>
        <w:t>国家医保局发布《2022年医疗保障事业发展统计快报》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米内零售观察</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2023-03-13 17:32</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发表于广东</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04800" cy="3048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9"/>
                    <a:stretch>
                      <a:fillRect/>
                    </a:stretch>
                  </pic:blipFill>
                  <pic:spPr>
                    <a:xfrm>
                      <a:off x="0" y="0"/>
                      <a:ext cx="304800" cy="3048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日前，国家医保局发布《2022年医疗保障事业发展统计快报》显示，2022年，我国基本医疗保险基金（含生育保险）总收入、总支出分别为30697.72亿元、24431.72亿元，年末基金累计结存42540.73亿元。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305425" cy="2466975"/>
            <wp:effectExtent l="0" t="0" r="9525"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20"/>
                    <a:stretch>
                      <a:fillRect/>
                    </a:stretch>
                  </pic:blipFill>
                  <pic:spPr>
                    <a:xfrm>
                      <a:off x="0" y="0"/>
                      <a:ext cx="5305425" cy="24669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统计快报从参保人员、医保基金收支情况、疫情防控、跨省异地就医直接结算等多个方面介绍2022年医保基金相关情况。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在参保人员方面，统计快报显示，截至2022年底，基本医疗保险参保人数134570万人，参保覆盖面稳定在95%以上。其中，参加职工基本医疗保险人数36242万人，比2021年底增加811万人，同比增长2.3%。参加城乡居民基本医疗保险人数98328万人，比2021年底减少2538万人，同比下降2.5%。</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在新冠疫情防控方面，持续做好医疗保障和新冠病毒疫苗及接种费用保障工作，指导地方按规定支付看病就医时核酸检测费用，2022年医保基金支付核酸检测费用43亿元。2021年至2022年，全国累计结算新冠病毒疫苗及接种费用1500余亿元，包含医保基金和财政补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统计快报显示，截至2022年底，住院费用跨省联网定点医疗机构数量为6.3万家；普通门诊费用跨省联网定点医疗机构8.9万家，跨省联网定点零售药店22.6万家。实现每个县至少有一家定点医疗机构能够提供包括门诊费用在内的医疗费用跨省直接结算服务，实现高血压、糖尿病、恶性肿瘤门诊放化疗、尿毒症透析、器官移植术后抗排异治疗等5种门诊慢特病相关治疗费用跨省直接结算统筹地区全覆盖。</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center"/>
        <w:rPr>
          <w:rFonts w:hint="eastAsia" w:ascii="宋体" w:hAnsi="宋体" w:eastAsia="宋体" w:cs="宋体"/>
          <w:sz w:val="28"/>
          <w:szCs w:val="28"/>
        </w:rPr>
      </w:pPr>
      <w:r>
        <w:rPr>
          <w:rStyle w:val="14"/>
          <w:rFonts w:hint="eastAsia" w:ascii="宋体" w:hAnsi="宋体" w:eastAsia="宋体" w:cs="宋体"/>
          <w:i w:val="0"/>
          <w:iCs w:val="0"/>
          <w:caps w:val="0"/>
          <w:color w:val="0070C0"/>
          <w:spacing w:val="15"/>
          <w:sz w:val="28"/>
          <w:szCs w:val="28"/>
          <w:shd w:val="clear" w:fill="FFFFFF"/>
        </w:rPr>
        <w:t>2022年医疗保障事业发展统计快报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一、基本医疗保险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（一）参保人员情况。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截至2022年底，基本医疗保险参保人数134570万人。随着全国统一的医保信息平台上线，各省加大数据治理比对，参保人数主要由于清理重复参保等原因比上年同期减少1727万人，同比下降1.3%，参保覆盖面稳定在95%以上，参保质量持续提升。其中，参加职工基本医疗保险人数36242万人，比2021年底增加811万人，同比增长2.3%。在参加职工基本医疗保险人数中，在职职工26607万人，比2021年底增加500万人；退休职工9636万人，比2021年底增加312万人。参加城乡居民基本医疗保险人数98328万人，比2021年底减少2538万人，同比下降2.5%。</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（二）基金收支情况。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2022年，基本医疗保险基金（含生育保险）总收入、总支出分别为30697.72亿元、24431.72亿元，年末基金累计结存42540.73亿元。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职工基本医疗保险基金（含生育保险）收入20637.18亿元，同比增长8.6%，其中征缴收入19494.57亿元。基金支出15158.30亿元，同比增长2.8%。职工基本医疗保险基金（含生育保险）年末累计结存35003.83亿元，其中统筹基金累计结存21470.04亿元，个人账户累计结存13533.79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城乡居民基本医疗保险基金收入10060.55亿元，同比增长3.5%；支出9273.42亿元，同比增长0.2%；年末累计结存7536.90亿元。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二、生育保险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截至2022年底，生育保险参保人数24608万人，比2021年底增加856万人，同比增长3.6%。生育保险基金待遇支出891.82亿元，同比增长4.7%。</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三、疫情防控</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持续做好新冠肺炎救治医疗保障和新冠病毒疫苗及接种费用保障工作，指导地方按规定支付看病就医时核酸检测费用，全年医保基金支付核酸检测费用43亿元。2021年至2022年，全国累计结算新冠病毒疫苗及接种费用1500余亿元（含医保基金和财政补助）。牵头与疫苗生产企业开展价格磋商，灭活疫苗、重组蛋白疫苗、腺病毒载体疫苗3种技术路线的单只单剂价格基准统一为16元左右。切实履行医疗服务价格管理部门职责，指导各地做好新冠病毒核酸和抗原检测价格管理，核酸检测单人单检每人份价格不高于16元，多人混检每人份价格不高于5元，大规模检测每人份降至3.5元以下，抗原检测“项目价格+检测试剂”收费不高于每人份6元，有效减轻群众负担，降低社会防疫成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四、乡村振兴</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2022年，原承担医保脱贫攻坚任务的25个省份共资助8899.1万人参加基本医疗保险，支出180.2亿元，人均资助202.6元，农村低收入人口和脱贫人口参保率稳定在99%以上。基本医疗保险、大病保险、医疗救助三重制度累计惠及农村低收入人口就医14481.7万人次，减轻医疗费用负担1487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五、跨省异地就医直接结算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截至2022年底，住院费用跨省联网定点医疗机构数量为6.3万家；普通门诊费用跨省联网定点医疗机构8.9万家，跨省联网定点零售药店22.6万家。2022年，住院费用跨省直接结算568.8万人次，涉及医疗总费用1278.27亿元，医保基金支付762.33亿元；门诊费用跨省直接结算3243.6万人次，涉及医疗费用76.80亿元，基金支付46.85亿元。实现每个县至少有一家定点医疗机构能够提供包括门诊费用在内的医疗费用跨省直接结算服务，实现高血压、糖尿病、恶性肿瘤门诊放化疗、尿毒症透析、器官移植术后抗排异治疗等5种门诊慢特病相关治疗费用跨省直接结算统筹地区全覆盖。</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六、医保基金监管、协议管理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2022年，全国医保系统共检查定点医药机构76.7万家，处理违法违规机构39.8万家，其中解除医保服务协议3189家，行政处罚12029家，移交司法机关657家；处理参保人员39253人，其中，暂停医保卡结算5489人，移交司法机关2025人。2022年，共追回医保资金188.4亿元。2022年，国家医保局组织飞行检查24组次，检查23个省份的定点医疗机构48家、医保经办机构23家，查出涉嫌违法违规资金9.8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在被检查医药机构中，通过医保经办协议管理方式核查定点医药机构74.3万家。通过协议处理追回资金138.66亿元，其中拒付及追回资金115.95亿元，收取违约金18.93亿元。协议处理33.5万家，其中约谈20.2万家，拒付或追回资金涉及14.2万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七、医保药品目录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国家基本医疗保险、工伤保险和生育保险药品目录（2022年）》收载西药和中成药共2967种，西药1586种，中成药1381种，另含中药饮片892种。自2018年国家医保局成立以来，连续5年开展医保药品目录准入谈判，累计618种药品新增进入目录范围，其中2022年新增111种。2022年，协议期内275种谈判药报销1.8亿人次，当年累计为患者减负2100余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八、医保支付方式改革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2022年，206个统筹地区实现DRG/DIP支付方式改革实际付费。实际付费地区中，按DRG/DIP付费的定点医疗机构达到52%，病种覆盖范围达到78%，按DRG/DIP付费的医保基金支出占统筹地区内医保基金住院支出比例达到77%。</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九、医药价格和招标采购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2022年，扎实开展医疗服务项目价格编制工作，全面建立实施医疗服务项目价格项目动态调整机制，30个省份完成2022年度价格调整评估工作，其中12个省份和5个省份的部分地市经评估符合调价启动条件。共开展1批化学药和1批高值医用耗材国家组织集中带量采购，覆盖60种药品和5种骨科脊柱类耗材，平均降价幅度分别为48%和84%。2018年以来，已累计开展7批国家组织药品集中带量采购，共采购294种药品，平均降幅超50%，约占公立医疗机构化学药和生物药采购金额的35%；开展3批国家组织高值医用耗材集采，纳入冠脉支架、人工关节和脊柱类骨科耗材，平均降幅超80%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2022年，全国通过省级医药集中采购平台网采订单总金额10615亿元，比2021年增加275亿元。其中，西药（化学药品及生物制品）8618亿元，比2021年增加303亿元；中成药1997亿元，比2021年减少28亿元。医保目录内药品网采订单金额为7945亿元，占网采订单总金额74.8%。</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15"/>
          <w:sz w:val="28"/>
          <w:szCs w:val="28"/>
          <w:shd w:val="clear" w:fill="FFFFFF"/>
        </w:rPr>
        <w:t>十、医药价格和招采信用评价</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15"/>
          <w:sz w:val="28"/>
          <w:szCs w:val="28"/>
          <w:shd w:val="clear" w:fill="FFFFFF"/>
        </w:rPr>
        <w:t>2022年，整理最高人民法院案源信息1192条，累计通报4批全国医药商业贿赂案源。指导各地对涉案企业进行失信评级，截至2022年底，评定一般失信企业197家、中等失信企业51家、严重失信企业21家、特别严重失信企业4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i w:val="0"/>
          <w:iCs w:val="0"/>
          <w:caps w:val="0"/>
          <w:color w:val="3F3F3F"/>
          <w:spacing w:val="15"/>
          <w:sz w:val="28"/>
          <w:szCs w:val="28"/>
          <w:shd w:val="clear" w:fill="FFFFFF"/>
        </w:rPr>
      </w:pPr>
      <w:r>
        <w:rPr>
          <w:rFonts w:hint="eastAsia" w:ascii="宋体" w:hAnsi="宋体" w:eastAsia="宋体" w:cs="宋体"/>
          <w:i w:val="0"/>
          <w:iCs w:val="0"/>
          <w:caps w:val="0"/>
          <w:color w:val="3F3F3F"/>
          <w:spacing w:val="15"/>
          <w:sz w:val="18"/>
          <w:szCs w:val="18"/>
          <w:shd w:val="clear" w:fill="FFFFFF"/>
        </w:rPr>
        <w:t>注：本快报中部分数据因四舍五入，总计与分项合计略有差异。</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i w:val="0"/>
          <w:iCs w:val="0"/>
          <w:caps w:val="0"/>
          <w:color w:val="3F3F3F"/>
          <w:spacing w:val="15"/>
          <w:sz w:val="28"/>
          <w:szCs w:val="28"/>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i w:val="0"/>
          <w:iCs w:val="0"/>
          <w:caps w:val="0"/>
          <w:color w:val="3F3F3F"/>
          <w:spacing w:val="15"/>
          <w:sz w:val="28"/>
          <w:szCs w:val="28"/>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宋体" w:hAnsi="宋体" w:eastAsia="宋体" w:cs="宋体"/>
          <w:i w:val="0"/>
          <w:iCs w:val="0"/>
          <w:caps w:val="0"/>
          <w:color w:val="3F3F3F"/>
          <w:spacing w:val="15"/>
          <w:sz w:val="28"/>
          <w:szCs w:val="28"/>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Microsoft YaHei UI" w:hAnsi="Microsoft YaHei UI" w:eastAsia="Microsoft YaHei UI" w:cs="Microsoft YaHei UI"/>
          <w:i w:val="0"/>
          <w:iCs w:val="0"/>
          <w:caps w:val="0"/>
          <w:color w:val="3F3F3F"/>
          <w:spacing w:val="15"/>
          <w:sz w:val="22"/>
          <w:szCs w:val="22"/>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Microsoft YaHei UI" w:hAnsi="Microsoft YaHei UI" w:eastAsia="Microsoft YaHei UI" w:cs="Microsoft YaHei UI"/>
          <w:i w:val="0"/>
          <w:iCs w:val="0"/>
          <w:caps w:val="0"/>
          <w:color w:val="3F3F3F"/>
          <w:spacing w:val="15"/>
          <w:sz w:val="22"/>
          <w:szCs w:val="22"/>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Microsoft YaHei UI" w:hAnsi="Microsoft YaHei UI" w:eastAsia="Microsoft YaHei UI" w:cs="Microsoft YaHei UI"/>
          <w:i w:val="0"/>
          <w:iCs w:val="0"/>
          <w:caps w:val="0"/>
          <w:color w:val="3F3F3F"/>
          <w:spacing w:val="15"/>
          <w:sz w:val="22"/>
          <w:szCs w:val="22"/>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Microsoft YaHei UI" w:hAnsi="Microsoft YaHei UI" w:eastAsia="Microsoft YaHei UI" w:cs="Microsoft YaHei UI"/>
          <w:i w:val="0"/>
          <w:iCs w:val="0"/>
          <w:caps w:val="0"/>
          <w:color w:val="3F3F3F"/>
          <w:spacing w:val="15"/>
          <w:sz w:val="22"/>
          <w:szCs w:val="22"/>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rFonts w:hint="eastAsia" w:ascii="Microsoft YaHei UI" w:hAnsi="Microsoft YaHei UI" w:eastAsia="Microsoft YaHei UI" w:cs="Microsoft YaHei UI"/>
          <w:i w:val="0"/>
          <w:iCs w:val="0"/>
          <w:caps w:val="0"/>
          <w:color w:val="3F3F3F"/>
          <w:spacing w:val="15"/>
          <w:sz w:val="22"/>
          <w:szCs w:val="22"/>
          <w:shd w:val="clear" w:fill="FFFFFF"/>
        </w:rPr>
      </w:pPr>
    </w:p>
    <w:p>
      <w:pPr>
        <w:keepNext w:val="0"/>
        <w:keepLines w:val="0"/>
        <w:widowControl/>
        <w:suppressLineNumbers w:val="0"/>
        <w:spacing w:before="0" w:beforeAutospacing="0" w:after="0" w:afterAutospacing="0"/>
        <w:ind w:left="0" w:right="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lang w:val="en-US"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 xml:space="preserve">3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shd w:val="clear" w:fill="FFFFFF"/>
        </w:rPr>
        <w:t>医药商业公司，正面临第4次「危机」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222222"/>
          <w:spacing w:val="0"/>
          <w:kern w:val="0"/>
          <w:sz w:val="18"/>
          <w:szCs w:val="18"/>
          <w:shd w:val="clear" w:fill="FFFFFF"/>
          <w:lang w:val="en-US" w:eastAsia="zh-CN" w:bidi="ar"/>
        </w:rPr>
        <w:t>原创</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董泽成</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赛柏蓝</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2023-03-08 19:47</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发表于北京</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sz w:val="28"/>
          <w:szCs w:val="28"/>
        </w:rPr>
      </w:pPr>
      <w:r>
        <w:rPr>
          <w:rFonts w:hint="eastAsia" w:ascii="宋体" w:hAnsi="宋体" w:eastAsia="宋体" w:cs="宋体"/>
          <w:i w:val="0"/>
          <w:iCs w:val="0"/>
          <w:caps w:val="0"/>
          <w:color w:val="222222"/>
          <w:spacing w:val="8"/>
          <w:kern w:val="0"/>
          <w:sz w:val="28"/>
          <w:szCs w:val="28"/>
          <w:shd w:val="clear" w:fill="FFFFFF"/>
          <w:lang w:val="en-US" w:eastAsia="zh-CN" w:bidi="ar"/>
        </w:rPr>
        <w:t>2022年，在疫情和医药行业深度调整的背景下，大批药企承压。后疫情时代，医药行业在快速向好。尤其是中药产业，回暖迹象明显。2023年的医药行业将快速跨过三年疫情的阴霾，重回相对较高增长轨道。那么，作为医药工业的下游企业，国内医药商业的状况怎么样了？如果说医药工业承压，可能会出现洗牌后的部分企业退市的话，那么，医药商业企业当前的情况也不容乐观。</w:t>
      </w:r>
      <w:r>
        <w:rPr>
          <w:rFonts w:hint="eastAsia" w:ascii="宋体" w:hAnsi="宋体" w:eastAsia="宋体" w:cs="宋体"/>
          <w:i w:val="0"/>
          <w:iCs w:val="0"/>
          <w:caps w:val="0"/>
          <w:color w:val="222222"/>
          <w:spacing w:val="8"/>
          <w:kern w:val="0"/>
          <w:sz w:val="28"/>
          <w:szCs w:val="28"/>
          <w:shd w:val="clear" w:fill="FFFFFF"/>
          <w:lang w:val="en-US" w:eastAsia="zh-CN" w:bidi="ar"/>
        </w:rPr>
        <w:br w:type="textWrapping"/>
      </w:r>
      <w:r>
        <w:rPr>
          <w:rFonts w:hint="eastAsia" w:ascii="宋体" w:hAnsi="宋体" w:cs="宋体"/>
          <w:i w:val="0"/>
          <w:iCs w:val="0"/>
          <w:caps w:val="0"/>
          <w:color w:val="222222"/>
          <w:spacing w:val="8"/>
          <w:kern w:val="0"/>
          <w:sz w:val="28"/>
          <w:szCs w:val="28"/>
          <w:shd w:val="clear" w:fill="FFFFFF"/>
          <w:lang w:val="en-US" w:eastAsia="zh-CN" w:bidi="ar"/>
        </w:rPr>
        <w:t xml:space="preserve">    </w:t>
      </w:r>
      <w:r>
        <w:rPr>
          <w:rFonts w:hint="eastAsia" w:ascii="宋体" w:hAnsi="宋体" w:eastAsia="宋体" w:cs="宋体"/>
          <w:i w:val="0"/>
          <w:iCs w:val="0"/>
          <w:caps w:val="0"/>
          <w:color w:val="222222"/>
          <w:spacing w:val="8"/>
          <w:kern w:val="0"/>
          <w:sz w:val="28"/>
          <w:szCs w:val="28"/>
          <w:shd w:val="clear" w:fill="FFFFFF"/>
          <w:lang w:val="en-US" w:eastAsia="zh-CN" w:bidi="ar"/>
        </w:rPr>
        <w:t>大批医药商业已经进入到退市末期。医药商业的现状是中小商业持续被兼并、收购、退市。而大者恒大，大型药商并不都强，做得越多，亏得越多。医药商业公司走到今天，和其发展历史上经历的四次大变迁高度相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宋体" w:hAnsi="宋体" w:eastAsia="宋体" w:cs="宋体"/>
          <w:color w:val="222222"/>
          <w:spacing w:val="8"/>
          <w:sz w:val="28"/>
          <w:szCs w:val="28"/>
        </w:rPr>
      </w:pPr>
      <w:r>
        <w:rPr>
          <w:rStyle w:val="14"/>
          <w:rFonts w:hint="eastAsia" w:ascii="宋体" w:hAnsi="宋体" w:eastAsia="宋体" w:cs="宋体"/>
          <w:i w:val="0"/>
          <w:iCs w:val="0"/>
          <w:caps w:val="0"/>
          <w:color w:val="0A6EBF"/>
          <w:spacing w:val="8"/>
          <w:sz w:val="28"/>
          <w:szCs w:val="28"/>
          <w:shd w:val="clear" w:fill="FFFFFF"/>
        </w:rP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jc w:val="both"/>
        <w:rPr>
          <w:rFonts w:hint="eastAsia" w:ascii="宋体" w:hAnsi="宋体" w:eastAsia="宋体" w:cs="宋体"/>
          <w:color w:val="222222"/>
          <w:spacing w:val="8"/>
          <w:sz w:val="28"/>
          <w:szCs w:val="28"/>
        </w:rPr>
      </w:pPr>
      <w:r>
        <w:rPr>
          <w:rFonts w:hint="eastAsia" w:ascii="宋体" w:hAnsi="宋体" w:eastAsia="宋体" w:cs="宋体"/>
          <w:b/>
          <w:bCs/>
          <w:i w:val="0"/>
          <w:iCs w:val="0"/>
          <w:caps w:val="0"/>
          <w:color w:val="0A6EBF"/>
          <w:spacing w:val="8"/>
          <w:sz w:val="28"/>
          <w:szCs w:val="28"/>
          <w:shd w:val="clear" w:fill="FFFFFF"/>
        </w:rPr>
        <w:t>从计划经济到市场经济</w:t>
      </w:r>
      <w:r>
        <w:rPr>
          <w:rFonts w:hint="eastAsia" w:ascii="宋体" w:hAnsi="宋体" w:eastAsia="宋体" w:cs="宋体"/>
          <w:b/>
          <w:bCs/>
          <w:i w:val="0"/>
          <w:iCs w:val="0"/>
          <w:caps w:val="0"/>
          <w:color w:val="0A6EBF"/>
          <w:spacing w:val="8"/>
          <w:sz w:val="28"/>
          <w:szCs w:val="28"/>
          <w:shd w:val="clear" w:fill="FFFFFF"/>
        </w:rPr>
        <w:br w:type="textWrapping"/>
      </w:r>
      <w:r>
        <w:rPr>
          <w:rFonts w:hint="eastAsia" w:ascii="宋体" w:hAnsi="宋体" w:eastAsia="宋体" w:cs="宋体"/>
          <w:b/>
          <w:bCs/>
          <w:i w:val="0"/>
          <w:iCs w:val="0"/>
          <w:caps w:val="0"/>
          <w:color w:val="0A6EBF"/>
          <w:spacing w:val="8"/>
          <w:sz w:val="28"/>
          <w:szCs w:val="28"/>
          <w:shd w:val="clear" w:fill="FFFFFF"/>
        </w:rPr>
        <w:t>商业公司经历了第一次并购潮</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sz w:val="28"/>
          <w:szCs w:val="28"/>
        </w:rPr>
      </w:pPr>
      <w:r>
        <w:rPr>
          <w:rFonts w:hint="eastAsia" w:ascii="宋体" w:hAnsi="宋体" w:eastAsia="宋体" w:cs="宋体"/>
          <w:i w:val="0"/>
          <w:iCs w:val="0"/>
          <w:caps w:val="0"/>
          <w:color w:val="222222"/>
          <w:spacing w:val="8"/>
          <w:kern w:val="0"/>
          <w:sz w:val="28"/>
          <w:szCs w:val="28"/>
          <w:shd w:val="clear" w:fill="FFFFFF"/>
          <w:lang w:val="en-US" w:eastAsia="zh-CN" w:bidi="ar"/>
        </w:rPr>
        <w:t>计划经济时代，我国的药品通过省、地、县三级医药商业批发体系调拨，遍布全国的各省、地级市、县的医药公司和药材站，承担着全国患者的用药需求。那时，这样的医药商业公司是数以万计的。医药市场化后，以国控、华润、上药、九州通、广药、南药、重药等为主的商业公司快速跑马圈地，或兼并、或收购，基本上到2015年左右，全国的商业公司整合结束，形成了今天“3+1”（三家大的国有商业+一家民营商业）的医药商业配送格局。</w:t>
      </w:r>
      <w:r>
        <w:rPr>
          <w:rFonts w:hint="eastAsia" w:ascii="宋体" w:hAnsi="宋体" w:eastAsia="宋体" w:cs="宋体"/>
          <w:b/>
          <w:bCs/>
          <w:i w:val="0"/>
          <w:iCs w:val="0"/>
          <w:caps w:val="0"/>
          <w:color w:val="0A6EBF"/>
          <w:spacing w:val="8"/>
          <w:kern w:val="0"/>
          <w:sz w:val="28"/>
          <w:szCs w:val="28"/>
          <w:shd w:val="clear" w:fill="FFFFFF"/>
          <w:lang w:val="en-US" w:eastAsia="zh-CN" w:bidi="ar"/>
        </w:rPr>
        <w:t>在这个过程中，全国大批的医药公司和药材站消失，这是国内医药商业第一次被整合。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Style w:val="14"/>
          <w:rFonts w:hint="eastAsia" w:ascii="宋体" w:hAnsi="宋体" w:eastAsia="宋体" w:cs="宋体"/>
          <w:i w:val="0"/>
          <w:iCs w:val="0"/>
          <w:caps w:val="0"/>
          <w:color w:val="0A6EBF"/>
          <w:spacing w:val="8"/>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宋体" w:hAnsi="宋体" w:eastAsia="宋体" w:cs="宋体"/>
          <w:color w:val="222222"/>
          <w:spacing w:val="8"/>
          <w:sz w:val="28"/>
          <w:szCs w:val="28"/>
        </w:rPr>
      </w:pPr>
      <w:r>
        <w:rPr>
          <w:rStyle w:val="14"/>
          <w:rFonts w:hint="eastAsia" w:ascii="宋体" w:hAnsi="宋体" w:eastAsia="宋体" w:cs="宋体"/>
          <w:i w:val="0"/>
          <w:iCs w:val="0"/>
          <w:caps w:val="0"/>
          <w:color w:val="0A6EBF"/>
          <w:spacing w:val="8"/>
          <w:sz w:val="28"/>
          <w:szCs w:val="28"/>
          <w:shd w:val="clear" w:fill="FFFFFF"/>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jc w:val="both"/>
        <w:rPr>
          <w:rFonts w:hint="eastAsia" w:ascii="宋体" w:hAnsi="宋体" w:eastAsia="宋体" w:cs="宋体"/>
          <w:color w:val="222222"/>
          <w:spacing w:val="8"/>
          <w:sz w:val="28"/>
          <w:szCs w:val="28"/>
        </w:rPr>
      </w:pPr>
      <w:r>
        <w:rPr>
          <w:rFonts w:hint="eastAsia" w:ascii="宋体" w:hAnsi="宋体" w:eastAsia="宋体" w:cs="宋体"/>
          <w:b/>
          <w:bCs/>
          <w:i w:val="0"/>
          <w:iCs w:val="0"/>
          <w:caps w:val="0"/>
          <w:color w:val="0A6EBF"/>
          <w:spacing w:val="8"/>
          <w:sz w:val="28"/>
          <w:szCs w:val="28"/>
          <w:shd w:val="clear" w:fill="FFFFFF"/>
        </w:rPr>
        <w:t>“两票制”成规模以下商业公司的生死诀</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sz w:val="28"/>
          <w:szCs w:val="28"/>
        </w:rPr>
      </w:pPr>
      <w:r>
        <w:rPr>
          <w:rFonts w:hint="eastAsia" w:ascii="宋体" w:hAnsi="宋体" w:eastAsia="宋体" w:cs="宋体"/>
          <w:i w:val="0"/>
          <w:iCs w:val="0"/>
          <w:caps w:val="0"/>
          <w:color w:val="222222"/>
          <w:spacing w:val="8"/>
          <w:kern w:val="0"/>
          <w:sz w:val="28"/>
          <w:szCs w:val="28"/>
          <w:shd w:val="clear" w:fill="FFFFFF"/>
          <w:lang w:val="en-US" w:eastAsia="zh-CN" w:bidi="ar"/>
        </w:rPr>
        <w:t>事实上，从2000年到2015年，在计划经济时代的医药商业公司被持续整合收购的同时，一些市场化的民营医药商业公司在不断开设。这些公司因其市场化运作，紧贴客户需求，甚至常年游走在灰色地带，很多都赚得盆满钵满。但这一切随着“两票制”的实行而改变。“两票制”要求药品从工业公司到医院只能开两张发票，也就意味着只能经过一家商业公司开票。市场化的、小的商业公司，规模普遍不大，很多都是二级、三级甚至四级医药批发商，有些企业甚至一度靠过票存活。2018年“两票制”正式落地，加上这些年行业合规监管，这些规模以下的商业公司有的不得不退市。</w:t>
      </w:r>
      <w:r>
        <w:rPr>
          <w:rFonts w:hint="eastAsia" w:ascii="宋体" w:hAnsi="宋体" w:eastAsia="宋体" w:cs="宋体"/>
          <w:i w:val="0"/>
          <w:iCs w:val="0"/>
          <w:caps w:val="0"/>
          <w:color w:val="222222"/>
          <w:spacing w:val="8"/>
          <w:kern w:val="0"/>
          <w:sz w:val="28"/>
          <w:szCs w:val="28"/>
          <w:shd w:val="clear" w:fill="FFFFFF"/>
          <w:lang w:val="en-US" w:eastAsia="zh-CN" w:bidi="ar"/>
        </w:rPr>
        <w:br w:type="textWrapping"/>
      </w:r>
      <w:r>
        <w:rPr>
          <w:rFonts w:hint="eastAsia" w:ascii="宋体" w:hAnsi="宋体" w:cs="宋体"/>
          <w:i w:val="0"/>
          <w:iCs w:val="0"/>
          <w:caps w:val="0"/>
          <w:color w:val="222222"/>
          <w:spacing w:val="8"/>
          <w:kern w:val="0"/>
          <w:sz w:val="28"/>
          <w:szCs w:val="28"/>
          <w:shd w:val="clear" w:fill="FFFFFF"/>
          <w:lang w:val="en-US" w:eastAsia="zh-CN" w:bidi="ar"/>
        </w:rPr>
        <w:t xml:space="preserve">  </w:t>
      </w:r>
      <w:r>
        <w:rPr>
          <w:rFonts w:hint="eastAsia" w:ascii="宋体" w:hAnsi="宋体" w:eastAsia="宋体" w:cs="宋体"/>
          <w:b/>
          <w:bCs/>
          <w:i w:val="0"/>
          <w:iCs w:val="0"/>
          <w:caps w:val="0"/>
          <w:color w:val="0A6EBF"/>
          <w:spacing w:val="8"/>
          <w:kern w:val="0"/>
          <w:sz w:val="28"/>
          <w:szCs w:val="28"/>
          <w:shd w:val="clear" w:fill="FFFFFF"/>
          <w:lang w:val="en-US" w:eastAsia="zh-CN" w:bidi="ar"/>
        </w:rPr>
        <w:t>“两票制”和合规监管导致的大量规模以下商业公司退市，是第二次整合。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Style w:val="14"/>
          <w:rFonts w:hint="eastAsia" w:ascii="宋体" w:hAnsi="宋体" w:eastAsia="宋体" w:cs="宋体"/>
          <w:i w:val="0"/>
          <w:iCs w:val="0"/>
          <w:caps w:val="0"/>
          <w:color w:val="0A6EBF"/>
          <w:spacing w:val="8"/>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宋体" w:hAnsi="宋体" w:eastAsia="宋体" w:cs="宋体"/>
          <w:color w:val="222222"/>
          <w:spacing w:val="8"/>
          <w:sz w:val="28"/>
          <w:szCs w:val="28"/>
        </w:rPr>
      </w:pPr>
      <w:r>
        <w:rPr>
          <w:rStyle w:val="14"/>
          <w:rFonts w:hint="eastAsia" w:ascii="宋体" w:hAnsi="宋体" w:eastAsia="宋体" w:cs="宋体"/>
          <w:i w:val="0"/>
          <w:iCs w:val="0"/>
          <w:caps w:val="0"/>
          <w:color w:val="0A6EBF"/>
          <w:spacing w:val="8"/>
          <w:sz w:val="28"/>
          <w:szCs w:val="28"/>
          <w:shd w:val="clear" w:fill="FFFFFF"/>
        </w:rPr>
        <w:t>03</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jc w:val="both"/>
        <w:rPr>
          <w:rFonts w:hint="eastAsia" w:ascii="宋体" w:hAnsi="宋体" w:eastAsia="宋体" w:cs="宋体"/>
          <w:color w:val="222222"/>
          <w:spacing w:val="8"/>
          <w:sz w:val="28"/>
          <w:szCs w:val="28"/>
        </w:rPr>
      </w:pPr>
      <w:r>
        <w:rPr>
          <w:rFonts w:hint="eastAsia" w:ascii="宋体" w:hAnsi="宋体" w:eastAsia="宋体" w:cs="宋体"/>
          <w:b/>
          <w:bCs/>
          <w:i w:val="0"/>
          <w:iCs w:val="0"/>
          <w:caps w:val="0"/>
          <w:color w:val="0A6EBF"/>
          <w:spacing w:val="8"/>
          <w:sz w:val="28"/>
          <w:szCs w:val="28"/>
          <w:shd w:val="clear" w:fill="FFFFFF"/>
        </w:rPr>
        <w:t>集采使得商业公司盈利普遍承压</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sz w:val="28"/>
          <w:szCs w:val="28"/>
        </w:rPr>
      </w:pPr>
      <w:r>
        <w:rPr>
          <w:rFonts w:hint="eastAsia" w:ascii="宋体" w:hAnsi="宋体" w:eastAsia="宋体" w:cs="宋体"/>
          <w:i w:val="0"/>
          <w:iCs w:val="0"/>
          <w:caps w:val="0"/>
          <w:color w:val="222222"/>
          <w:spacing w:val="8"/>
          <w:kern w:val="0"/>
          <w:sz w:val="28"/>
          <w:szCs w:val="28"/>
          <w:shd w:val="clear" w:fill="FFFFFF"/>
          <w:lang w:val="en-US" w:eastAsia="zh-CN" w:bidi="ar"/>
        </w:rPr>
        <w:t>在医药市场化初期，商业公司的配送费普遍较高。2018年之前，一般的产品配送费平均在8个点。</w:t>
      </w:r>
      <w:r>
        <w:rPr>
          <w:rStyle w:val="14"/>
          <w:rFonts w:hint="eastAsia" w:ascii="宋体" w:hAnsi="宋体" w:eastAsia="宋体" w:cs="宋体"/>
          <w:i w:val="0"/>
          <w:iCs w:val="0"/>
          <w:caps w:val="0"/>
          <w:color w:val="0A6EBF"/>
          <w:spacing w:val="8"/>
          <w:kern w:val="0"/>
          <w:sz w:val="28"/>
          <w:szCs w:val="28"/>
          <w:shd w:val="clear" w:fill="FFFFFF"/>
          <w:lang w:val="en-US" w:eastAsia="zh-CN" w:bidi="ar"/>
        </w:rPr>
        <w:t>商业公司算上账期和配送费，利润还是不错的。</w:t>
      </w:r>
      <w:r>
        <w:rPr>
          <w:rFonts w:hint="eastAsia" w:ascii="宋体" w:hAnsi="宋体" w:eastAsia="宋体" w:cs="宋体"/>
          <w:i w:val="0"/>
          <w:iCs w:val="0"/>
          <w:caps w:val="0"/>
          <w:color w:val="222222"/>
          <w:spacing w:val="8"/>
          <w:kern w:val="0"/>
          <w:sz w:val="28"/>
          <w:szCs w:val="28"/>
          <w:shd w:val="clear" w:fill="FFFFFF"/>
          <w:lang w:val="en-US" w:eastAsia="zh-CN" w:bidi="ar"/>
        </w:rPr>
        <w:t>集采降价，使得工业公司毛利降低，</w:t>
      </w:r>
      <w:r>
        <w:rPr>
          <w:rStyle w:val="14"/>
          <w:rFonts w:hint="eastAsia" w:ascii="宋体" w:hAnsi="宋体" w:eastAsia="宋体" w:cs="宋体"/>
          <w:i w:val="0"/>
          <w:iCs w:val="0"/>
          <w:caps w:val="0"/>
          <w:color w:val="0A6EBF"/>
          <w:spacing w:val="8"/>
          <w:kern w:val="0"/>
          <w:sz w:val="28"/>
          <w:szCs w:val="28"/>
          <w:shd w:val="clear" w:fill="FFFFFF"/>
          <w:lang w:val="en-US" w:eastAsia="zh-CN" w:bidi="ar"/>
        </w:rPr>
        <w:t>传导到下游的商业，就是商业配送费的下降。</w:t>
      </w:r>
      <w:r>
        <w:rPr>
          <w:rFonts w:hint="eastAsia" w:ascii="宋体" w:hAnsi="宋体" w:eastAsia="宋体" w:cs="宋体"/>
          <w:i w:val="0"/>
          <w:iCs w:val="0"/>
          <w:caps w:val="0"/>
          <w:color w:val="222222"/>
          <w:spacing w:val="8"/>
          <w:kern w:val="0"/>
          <w:sz w:val="28"/>
          <w:szCs w:val="28"/>
          <w:shd w:val="clear" w:fill="FFFFFF"/>
          <w:lang w:val="en-US" w:eastAsia="zh-CN" w:bidi="ar"/>
        </w:rPr>
        <w:t>现如今，非集采产品的配送费一般在5个点。由于疫情导致的医院资金压力，医院回款普遍较慢，东北的很多医院回款时间都在一年以上，有些甚至要压两年。</w:t>
      </w:r>
      <w:r>
        <w:rPr>
          <w:rStyle w:val="14"/>
          <w:rFonts w:hint="eastAsia" w:ascii="宋体" w:hAnsi="宋体" w:eastAsia="宋体" w:cs="宋体"/>
          <w:i w:val="0"/>
          <w:iCs w:val="0"/>
          <w:caps w:val="0"/>
          <w:color w:val="0A6EBF"/>
          <w:spacing w:val="8"/>
          <w:kern w:val="0"/>
          <w:sz w:val="28"/>
          <w:szCs w:val="28"/>
          <w:shd w:val="clear" w:fill="FFFFFF"/>
          <w:lang w:val="en-US" w:eastAsia="zh-CN" w:bidi="ar"/>
        </w:rPr>
        <w:t>资金账期加上配送费，商业公司其实没有利润可赚。</w:t>
      </w:r>
      <w:r>
        <w:rPr>
          <w:rFonts w:hint="eastAsia" w:ascii="宋体" w:hAnsi="宋体" w:eastAsia="宋体" w:cs="宋体"/>
          <w:i w:val="0"/>
          <w:iCs w:val="0"/>
          <w:caps w:val="0"/>
          <w:color w:val="393939"/>
          <w:spacing w:val="8"/>
          <w:kern w:val="0"/>
          <w:sz w:val="28"/>
          <w:szCs w:val="28"/>
          <w:shd w:val="clear" w:fill="FFFFFF"/>
          <w:lang w:val="en-US" w:eastAsia="zh-CN" w:bidi="ar"/>
        </w:rPr>
        <w:t>加之，</w:t>
      </w:r>
      <w:r>
        <w:rPr>
          <w:rFonts w:hint="eastAsia" w:ascii="宋体" w:hAnsi="宋体" w:eastAsia="宋体" w:cs="宋体"/>
          <w:i w:val="0"/>
          <w:iCs w:val="0"/>
          <w:caps w:val="0"/>
          <w:color w:val="222222"/>
          <w:spacing w:val="8"/>
          <w:kern w:val="0"/>
          <w:sz w:val="28"/>
          <w:szCs w:val="28"/>
          <w:shd w:val="clear" w:fill="FFFFFF"/>
          <w:lang w:val="en-US" w:eastAsia="zh-CN" w:bidi="ar"/>
        </w:rPr>
        <w:t>过去是高价基础上的8个点，现在是集采价基础上的5个点，销售规模普遍比原先小，因此很多业务甚至可能是亏损的。这里面还有一个悖论，就是配送费越高反而越亏。有些边远省份的配送费现在可能给到10个点，为什么能给到10个点？因为其医院回款账期普遍很长，资金成本高。实际上却是亏损的。当前，商业公司普遍认为国采产品是商业配送的香饽饽。虽然只有3个点，但没有账期，还能赚个流水。因此我们会看到，每次国采前，前述的商业“四大家”都会邀请工业公司参加其商业推介会，希望能抓住这根“救命稻草”。</w:t>
      </w:r>
      <w:r>
        <w:rPr>
          <w:rFonts w:hint="eastAsia" w:ascii="宋体" w:hAnsi="宋体" w:eastAsia="宋体" w:cs="宋体"/>
          <w:b/>
          <w:bCs/>
          <w:i w:val="0"/>
          <w:iCs w:val="0"/>
          <w:caps w:val="0"/>
          <w:color w:val="0A6EBF"/>
          <w:spacing w:val="8"/>
          <w:kern w:val="0"/>
          <w:sz w:val="28"/>
          <w:szCs w:val="28"/>
          <w:shd w:val="clear" w:fill="FFFFFF"/>
          <w:lang w:val="en-US" w:eastAsia="zh-CN" w:bidi="ar"/>
        </w:rPr>
        <w:t>大的商业公司，可以通过银行资金维持运作，小的商业公司，只能停止运营。这是商业公司经历的第三次退市潮。</w:t>
      </w:r>
      <w:r>
        <w:rPr>
          <w:rFonts w:hint="eastAsia" w:ascii="宋体" w:hAnsi="宋体" w:eastAsia="宋体" w:cs="宋体"/>
          <w:i w:val="0"/>
          <w:iCs w:val="0"/>
          <w:caps w:val="0"/>
          <w:color w:val="222222"/>
          <w:spacing w:val="8"/>
          <w:kern w:val="0"/>
          <w:sz w:val="28"/>
          <w:szCs w:val="28"/>
          <w:shd w:val="clear" w:fill="FFFFFF"/>
          <w:lang w:val="en-US" w:eastAsia="zh-CN" w:bidi="ar"/>
        </w:rPr>
        <w:t>集采开展以来，商业公司还面临一个现实压力就是合规监管。叠加集采影响，一些合规压力大的商业公司运转是难上加难。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Style w:val="14"/>
          <w:rFonts w:hint="eastAsia" w:ascii="宋体" w:hAnsi="宋体" w:eastAsia="宋体" w:cs="宋体"/>
          <w:i w:val="0"/>
          <w:iCs w:val="0"/>
          <w:caps w:val="0"/>
          <w:color w:val="0A6EBF"/>
          <w:spacing w:val="8"/>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宋体" w:hAnsi="宋体" w:eastAsia="宋体" w:cs="宋体"/>
          <w:color w:val="222222"/>
          <w:spacing w:val="8"/>
          <w:sz w:val="28"/>
          <w:szCs w:val="28"/>
        </w:rPr>
      </w:pPr>
      <w:r>
        <w:rPr>
          <w:rStyle w:val="14"/>
          <w:rFonts w:hint="eastAsia" w:ascii="宋体" w:hAnsi="宋体" w:eastAsia="宋体" w:cs="宋体"/>
          <w:i w:val="0"/>
          <w:iCs w:val="0"/>
          <w:caps w:val="0"/>
          <w:color w:val="0A6EBF"/>
          <w:spacing w:val="8"/>
          <w:sz w:val="28"/>
          <w:szCs w:val="28"/>
          <w:shd w:val="clear" w:fill="FFFFFF"/>
        </w:rPr>
        <w:t>04</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jc w:val="both"/>
        <w:rPr>
          <w:rFonts w:hint="eastAsia" w:ascii="宋体" w:hAnsi="宋体" w:eastAsia="宋体" w:cs="宋体"/>
          <w:color w:val="222222"/>
          <w:spacing w:val="8"/>
          <w:sz w:val="28"/>
          <w:szCs w:val="28"/>
        </w:rPr>
      </w:pPr>
      <w:r>
        <w:rPr>
          <w:rFonts w:hint="eastAsia" w:ascii="宋体" w:hAnsi="宋体" w:eastAsia="宋体" w:cs="宋体"/>
          <w:b/>
          <w:bCs/>
          <w:i w:val="0"/>
          <w:iCs w:val="0"/>
          <w:caps w:val="0"/>
          <w:color w:val="0A6EBF"/>
          <w:spacing w:val="8"/>
          <w:sz w:val="28"/>
          <w:szCs w:val="28"/>
          <w:shd w:val="clear" w:fill="FFFFFF"/>
        </w:rPr>
        <w:t>新的医药商业物流冲击传统医药商业配送体系</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sz w:val="28"/>
          <w:szCs w:val="28"/>
        </w:rPr>
      </w:pPr>
      <w:r>
        <w:rPr>
          <w:rFonts w:hint="eastAsia" w:ascii="宋体" w:hAnsi="宋体" w:eastAsia="宋体" w:cs="宋体"/>
          <w:i w:val="0"/>
          <w:iCs w:val="0"/>
          <w:caps w:val="0"/>
          <w:color w:val="222222"/>
          <w:spacing w:val="8"/>
          <w:kern w:val="0"/>
          <w:sz w:val="28"/>
          <w:szCs w:val="28"/>
          <w:shd w:val="clear" w:fill="FFFFFF"/>
          <w:lang w:val="en-US" w:eastAsia="zh-CN" w:bidi="ar"/>
        </w:rPr>
        <w:t>国内很多的医药商业公司，干的都是传统的商业配送的活。通过自己的车辆，把产品配送到下一级商业公司、医院、药店。这些年钱越来越难赚，一些地方商业一单一单地做当地单体药店、私人诊所的配送业务，其实赚的都是辛苦钱。可颠覆你的不是竞争对手，而是你不知道的新生事物。以顺丰、美团、京东为代表的物流，已经把触角延伸到了医药商业配送领域。另外，药师帮等线上O2O平台也不容小觑。</w:t>
      </w:r>
      <w:r>
        <w:rPr>
          <w:rFonts w:hint="eastAsia" w:ascii="宋体" w:hAnsi="宋体" w:eastAsia="宋体" w:cs="宋体"/>
          <w:i w:val="0"/>
          <w:iCs w:val="0"/>
          <w:caps w:val="0"/>
          <w:color w:val="222222"/>
          <w:spacing w:val="8"/>
          <w:kern w:val="0"/>
          <w:sz w:val="28"/>
          <w:szCs w:val="28"/>
          <w:shd w:val="clear" w:fill="FFFFFF"/>
          <w:lang w:val="en-US" w:eastAsia="zh-CN" w:bidi="ar"/>
        </w:rPr>
        <w:br w:type="textWrapping"/>
      </w:r>
      <w:r>
        <w:rPr>
          <w:rFonts w:hint="eastAsia" w:ascii="宋体" w:hAnsi="宋体" w:cs="宋体"/>
          <w:i w:val="0"/>
          <w:iCs w:val="0"/>
          <w:caps w:val="0"/>
          <w:color w:val="222222"/>
          <w:spacing w:val="8"/>
          <w:kern w:val="0"/>
          <w:sz w:val="28"/>
          <w:szCs w:val="28"/>
          <w:shd w:val="clear" w:fill="FFFFFF"/>
          <w:lang w:val="en-US" w:eastAsia="zh-CN" w:bidi="ar"/>
        </w:rPr>
        <w:t xml:space="preserve">    </w:t>
      </w:r>
      <w:r>
        <w:rPr>
          <w:rFonts w:hint="eastAsia" w:ascii="宋体" w:hAnsi="宋体" w:eastAsia="宋体" w:cs="宋体"/>
          <w:b/>
          <w:bCs/>
          <w:i w:val="0"/>
          <w:iCs w:val="0"/>
          <w:caps w:val="0"/>
          <w:color w:val="0A6EBF"/>
          <w:spacing w:val="8"/>
          <w:kern w:val="0"/>
          <w:sz w:val="28"/>
          <w:szCs w:val="28"/>
          <w:shd w:val="clear" w:fill="FFFFFF"/>
          <w:lang w:val="en-US" w:eastAsia="zh-CN" w:bidi="ar"/>
        </w:rPr>
        <w:t>以互联网技术为支撑的新的商业物流公司，正在蚕食传统商业公司的蛋糕。这是当前商业公司正在面临的第四次危机。</w:t>
      </w:r>
      <w:r>
        <w:rPr>
          <w:rFonts w:hint="eastAsia" w:ascii="宋体" w:hAnsi="宋体" w:eastAsia="宋体" w:cs="宋体"/>
          <w:i w:val="0"/>
          <w:iCs w:val="0"/>
          <w:caps w:val="0"/>
          <w:color w:val="222222"/>
          <w:spacing w:val="8"/>
          <w:kern w:val="0"/>
          <w:sz w:val="28"/>
          <w:szCs w:val="28"/>
          <w:shd w:val="clear" w:fill="FFFFFF"/>
          <w:lang w:val="en-US" w:eastAsia="zh-CN" w:bidi="ar"/>
        </w:rPr>
        <w:t>那么，医药商业公司该如何化解危机呢？</w:t>
      </w:r>
      <w:r>
        <w:rPr>
          <w:rFonts w:hint="eastAsia" w:ascii="宋体" w:hAnsi="宋体" w:eastAsia="宋体" w:cs="宋体"/>
          <w:i w:val="0"/>
          <w:iCs w:val="0"/>
          <w:caps w:val="0"/>
          <w:color w:val="222222"/>
          <w:spacing w:val="8"/>
          <w:kern w:val="0"/>
          <w:sz w:val="28"/>
          <w:szCs w:val="28"/>
          <w:shd w:val="clear" w:fill="FFFFFF"/>
          <w:lang w:val="en-US" w:eastAsia="zh-CN" w:bidi="ar"/>
        </w:rPr>
        <w:br w:type="textWrapping"/>
      </w:r>
      <w:r>
        <w:rPr>
          <w:rFonts w:hint="eastAsia" w:ascii="宋体" w:hAnsi="宋体" w:cs="宋体"/>
          <w:i w:val="0"/>
          <w:iCs w:val="0"/>
          <w:caps w:val="0"/>
          <w:color w:val="222222"/>
          <w:spacing w:val="8"/>
          <w:kern w:val="0"/>
          <w:sz w:val="28"/>
          <w:szCs w:val="28"/>
          <w:shd w:val="clear" w:fill="FFFFFF"/>
          <w:lang w:val="en-US" w:eastAsia="zh-CN" w:bidi="ar"/>
        </w:rPr>
        <w:t xml:space="preserve">    </w:t>
      </w:r>
      <w:r>
        <w:rPr>
          <w:rFonts w:hint="eastAsia" w:ascii="宋体" w:hAnsi="宋体" w:eastAsia="宋体" w:cs="宋体"/>
          <w:i w:val="0"/>
          <w:iCs w:val="0"/>
          <w:caps w:val="0"/>
          <w:color w:val="222222"/>
          <w:spacing w:val="8"/>
          <w:kern w:val="0"/>
          <w:sz w:val="28"/>
          <w:szCs w:val="28"/>
          <w:shd w:val="clear" w:fill="FFFFFF"/>
          <w:lang w:val="en-US" w:eastAsia="zh-CN" w:bidi="ar"/>
        </w:rPr>
        <w:t>有些公司开始聚焦医疗器械领域。确实该领域的发展步伐比药品要慢几年，当前受集采的影响也相对较小，其销售模式也更多元，有利于商业公司的运作。但从长远来看，医疗器械领域的集采也越来越频繁。另外医疗器械产品普遍账期较长，</w:t>
      </w:r>
      <w:r>
        <w:rPr>
          <w:rStyle w:val="14"/>
          <w:rFonts w:hint="eastAsia" w:ascii="宋体" w:hAnsi="宋体" w:eastAsia="宋体" w:cs="宋体"/>
          <w:i w:val="0"/>
          <w:iCs w:val="0"/>
          <w:caps w:val="0"/>
          <w:color w:val="0A6EBF"/>
          <w:spacing w:val="8"/>
          <w:kern w:val="0"/>
          <w:sz w:val="28"/>
          <w:szCs w:val="28"/>
          <w:shd w:val="clear" w:fill="FFFFFF"/>
          <w:lang w:val="en-US" w:eastAsia="zh-CN" w:bidi="ar"/>
        </w:rPr>
        <w:t>而医院回款一般都是先药品，后耗材。</w:t>
      </w:r>
      <w:r>
        <w:rPr>
          <w:rFonts w:hint="eastAsia" w:ascii="宋体" w:hAnsi="宋体" w:eastAsia="宋体" w:cs="宋体"/>
          <w:i w:val="0"/>
          <w:iCs w:val="0"/>
          <w:caps w:val="0"/>
          <w:color w:val="222222"/>
          <w:spacing w:val="8"/>
          <w:kern w:val="0"/>
          <w:sz w:val="28"/>
          <w:szCs w:val="28"/>
          <w:shd w:val="clear" w:fill="FFFFFF"/>
          <w:lang w:val="en-US" w:eastAsia="zh-CN" w:bidi="ar"/>
        </w:rPr>
        <w:t>美国的商业配送企业高度集中。在国内高质量发展的新时代，医药商业领域的整合只会加强，不会变慢。展望未来，国内医药商业公司的整合还会推进。</w:t>
      </w: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宋体" w:hAnsi="宋体" w:eastAsia="宋体" w:cs="宋体"/>
          <w:b/>
          <w:color w:val="333333"/>
          <w:kern w:val="36"/>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宋体" w:hAnsi="宋体" w:eastAsia="宋体" w:cs="宋体"/>
          <w:b/>
          <w:color w:val="333333"/>
          <w:kern w:val="36"/>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宋体" w:hAnsi="宋体" w:eastAsia="宋体" w:cs="宋体"/>
          <w:b/>
          <w:color w:val="333333"/>
          <w:kern w:val="36"/>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lang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4</w:t>
      </w:r>
      <w:r>
        <w:rPr>
          <w:rFonts w:hint="eastAsia" w:ascii="微软雅黑" w:hAnsi="微软雅黑" w:eastAsia="微软雅黑" w:cs="宋体"/>
          <w:b/>
          <w:color w:val="333333"/>
          <w:kern w:val="36"/>
          <w:sz w:val="24"/>
          <w:szCs w:val="24"/>
        </w:rPr>
        <w:t xml:space="preserve"> </w:t>
      </w:r>
      <w:r>
        <w:rPr>
          <w:rFonts w:hint="eastAsia" w:ascii="微软雅黑" w:hAnsi="微软雅黑" w:eastAsia="微软雅黑" w:cs="宋体"/>
          <w:b/>
          <w:color w:val="333333"/>
          <w:kern w:val="36"/>
          <w:sz w:val="24"/>
          <w:szCs w:val="24"/>
          <w:lang w:eastAsia="zh-CN"/>
        </w:rPr>
        <w:tab/>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rFonts w:hint="eastAsia" w:ascii="Microsoft YaHei UI" w:hAnsi="Microsoft YaHei UI" w:eastAsia="Microsoft YaHei UI" w:cs="Microsoft YaHei UI"/>
          <w:i w:val="0"/>
          <w:iCs w:val="0"/>
          <w:caps w:val="0"/>
          <w:color w:val="222222"/>
          <w:spacing w:val="8"/>
          <w:sz w:val="33"/>
          <w:szCs w:val="33"/>
          <w:shd w:val="clear" w:fill="FFFFFF"/>
        </w:rPr>
        <w:t xml:space="preserve"> </w:t>
      </w:r>
      <w:r>
        <w:rPr>
          <w:sz w:val="33"/>
          <w:szCs w:val="33"/>
          <w:bdr w:val="none" w:color="auto" w:sz="0" w:space="0"/>
        </w:rPr>
        <w:t>大连锁直播加盟招商持续“高温”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i w:val="0"/>
          <w:iCs w:val="0"/>
          <w:spacing w:val="0"/>
          <w:kern w:val="0"/>
          <w:sz w:val="18"/>
          <w:szCs w:val="18"/>
          <w:bdr w:val="none" w:color="auto" w:sz="0" w:space="0"/>
          <w:lang w:val="en-US" w:eastAsia="zh-CN" w:bidi="ar"/>
        </w:rPr>
        <w:t>原创</w:t>
      </w:r>
      <w:r>
        <w:rPr>
          <w:rFonts w:ascii="宋体" w:hAnsi="宋体" w:eastAsia="宋体" w:cs="宋体"/>
          <w:kern w:val="0"/>
          <w:sz w:val="0"/>
          <w:szCs w:val="0"/>
          <w:bdr w:val="none" w:color="auto" w:sz="0" w:space="0"/>
          <w:lang w:val="en-US" w:eastAsia="zh-CN" w:bidi="ar"/>
        </w:rPr>
        <w:t> </w:t>
      </w:r>
      <w:r>
        <w:rPr>
          <w:rFonts w:ascii="宋体" w:hAnsi="宋体" w:eastAsia="宋体" w:cs="宋体"/>
          <w:kern w:val="0"/>
          <w:sz w:val="22"/>
          <w:szCs w:val="22"/>
          <w:bdr w:val="none" w:color="auto" w:sz="0" w:space="0"/>
          <w:lang w:val="en-US" w:eastAsia="zh-CN" w:bidi="ar"/>
        </w:rPr>
        <w:t>何音</w:t>
      </w:r>
      <w:r>
        <w:rPr>
          <w:rFonts w:ascii="宋体" w:hAnsi="宋体" w:eastAsia="宋体" w:cs="宋体"/>
          <w:kern w:val="0"/>
          <w:sz w:val="0"/>
          <w:szCs w:val="0"/>
          <w:bdr w:val="none" w:color="auto" w:sz="0" w:space="0"/>
          <w:lang w:val="en-US" w:eastAsia="zh-CN" w:bidi="ar"/>
        </w:rPr>
        <w:t> </w:t>
      </w:r>
      <w:r>
        <w:rPr>
          <w:rFonts w:ascii="宋体" w:hAnsi="宋体" w:eastAsia="宋体" w:cs="宋体"/>
          <w:color w:val="576B95"/>
          <w:kern w:val="0"/>
          <w:sz w:val="22"/>
          <w:szCs w:val="22"/>
          <w:u w:val="none"/>
          <w:bdr w:val="none" w:color="auto" w:sz="0" w:space="0"/>
          <w:lang w:val="en-US" w:eastAsia="zh-CN" w:bidi="ar"/>
        </w:rPr>
        <w:fldChar w:fldCharType="begin"/>
      </w:r>
      <w:r>
        <w:rPr>
          <w:rFonts w:ascii="宋体" w:hAnsi="宋体" w:eastAsia="宋体" w:cs="宋体"/>
          <w:color w:val="576B95"/>
          <w:kern w:val="0"/>
          <w:sz w:val="22"/>
          <w:szCs w:val="22"/>
          <w:u w:val="none"/>
          <w:bdr w:val="none" w:color="auto" w:sz="0" w:space="0"/>
          <w:lang w:val="en-US" w:eastAsia="zh-CN" w:bidi="ar"/>
        </w:rPr>
        <w:instrText xml:space="preserve"> HYPERLINK "javascript:void(0);" </w:instrText>
      </w:r>
      <w:r>
        <w:rPr>
          <w:rFonts w:ascii="宋体" w:hAnsi="宋体" w:eastAsia="宋体" w:cs="宋体"/>
          <w:color w:val="576B95"/>
          <w:kern w:val="0"/>
          <w:sz w:val="22"/>
          <w:szCs w:val="22"/>
          <w:u w:val="none"/>
          <w:bdr w:val="none" w:color="auto" w:sz="0" w:space="0"/>
          <w:lang w:val="en-US" w:eastAsia="zh-CN" w:bidi="ar"/>
        </w:rPr>
        <w:fldChar w:fldCharType="separate"/>
      </w:r>
      <w:r>
        <w:rPr>
          <w:rStyle w:val="16"/>
          <w:rFonts w:ascii="宋体" w:hAnsi="宋体" w:eastAsia="宋体" w:cs="宋体"/>
          <w:color w:val="576B95"/>
          <w:sz w:val="22"/>
          <w:szCs w:val="22"/>
          <w:u w:val="none"/>
          <w:bdr w:val="none" w:color="auto" w:sz="0" w:space="0"/>
        </w:rPr>
        <w:t>米内零售观察</w:t>
      </w:r>
      <w:r>
        <w:rPr>
          <w:rFonts w:ascii="宋体" w:hAnsi="宋体" w:eastAsia="宋体" w:cs="宋体"/>
          <w:color w:val="576B95"/>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15"/>
          <w:rFonts w:ascii="宋体" w:hAnsi="宋体" w:eastAsia="宋体" w:cs="宋体"/>
          <w:i w:val="0"/>
          <w:iCs w:val="0"/>
          <w:kern w:val="0"/>
          <w:sz w:val="22"/>
          <w:szCs w:val="22"/>
          <w:bdr w:val="none" w:color="auto" w:sz="0" w:space="0"/>
          <w:lang w:val="en-US" w:eastAsia="zh-CN" w:bidi="ar"/>
        </w:rPr>
        <w:t>2023-03-24 17:30</w:t>
      </w:r>
      <w:r>
        <w:rPr>
          <w:rFonts w:ascii="宋体" w:hAnsi="宋体" w:eastAsia="宋体" w:cs="宋体"/>
          <w:kern w:val="0"/>
          <w:sz w:val="0"/>
          <w:szCs w:val="0"/>
          <w:bdr w:val="none" w:color="auto" w:sz="0" w:space="0"/>
          <w:lang w:val="en-US" w:eastAsia="zh-CN" w:bidi="ar"/>
        </w:rPr>
        <w:t> </w:t>
      </w:r>
      <w:r>
        <w:rPr>
          <w:rStyle w:val="15"/>
          <w:rFonts w:ascii="宋体" w:hAnsi="宋体" w:eastAsia="宋体" w:cs="宋体"/>
          <w:i w:val="0"/>
          <w:iCs w:val="0"/>
          <w:kern w:val="0"/>
          <w:sz w:val="22"/>
          <w:szCs w:val="22"/>
          <w:bdr w:val="none" w:color="auto" w:sz="0" w:space="0"/>
          <w:lang w:val="en-US" w:eastAsia="zh-CN" w:bidi="ar"/>
        </w:rPr>
        <w:t>发表于广东</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将要进入4月，升高的不只是气温，还有大连锁的直播加盟招商。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3月10日，大参林举办了直营式加盟招商直播节，6天后又以在线直播的方式举办了“第三届药店加盟发展趋势高峰论坛”。去年以来，大连锁直播加盟招商持续升温，你方唱罢我方登场，</w:t>
      </w:r>
      <w:r>
        <w:rPr>
          <w:rStyle w:val="14"/>
          <w:rFonts w:hint="eastAsia" w:ascii="宋体" w:hAnsi="宋体" w:eastAsia="宋体" w:cs="宋体"/>
          <w:color w:val="3F3F3F"/>
          <w:spacing w:val="23"/>
          <w:sz w:val="28"/>
          <w:szCs w:val="28"/>
          <w:bdr w:val="none" w:color="auto" w:sz="0" w:space="0"/>
        </w:rPr>
        <w:t>网上直播加盟招商比拼越来越激烈</w:t>
      </w:r>
      <w:r>
        <w:rPr>
          <w:rFonts w:hint="eastAsia" w:ascii="宋体" w:hAnsi="宋体" w:eastAsia="宋体" w:cs="宋体"/>
          <w:color w:val="3F3F3F"/>
          <w:spacing w:val="23"/>
          <w:sz w:val="28"/>
          <w:szCs w:val="28"/>
          <w:bdr w:val="none" w:color="auto" w:sz="0" w:space="0"/>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从大连锁的拓展趋势来看，扩大加盟店的规模成为其重中之重。面对大连锁接连抛出的“橄榄枝”，中小药店该如何抉择？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color w:val="0070C0"/>
          <w:spacing w:val="23"/>
          <w:sz w:val="52"/>
          <w:szCs w:val="52"/>
          <w:bdr w:val="none" w:color="auto" w:sz="0" w:space="0"/>
        </w:rPr>
        <w:t>01</w:t>
      </w:r>
      <w:r>
        <w:rPr>
          <w:rFonts w:hint="eastAsia" w:ascii="宋体" w:hAnsi="宋体" w:eastAsia="宋体" w:cs="宋体"/>
          <w:b/>
          <w:bCs/>
          <w:color w:val="3F3F3F"/>
          <w:spacing w:val="23"/>
          <w:sz w:val="28"/>
          <w:szCs w:val="28"/>
          <w:bdr w:val="none" w:color="auto" w:sz="0" w:space="0"/>
        </w:rPr>
        <w:t>直播加盟招商“热浪”不断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早在2021年8月，</w:t>
      </w:r>
      <w:r>
        <w:rPr>
          <w:rStyle w:val="14"/>
          <w:rFonts w:hint="eastAsia" w:ascii="宋体" w:hAnsi="宋体" w:eastAsia="宋体" w:cs="宋体"/>
          <w:color w:val="3F3F3F"/>
          <w:spacing w:val="23"/>
          <w:sz w:val="28"/>
          <w:szCs w:val="28"/>
          <w:bdr w:val="none" w:color="auto" w:sz="0" w:space="0"/>
        </w:rPr>
        <w:t>大参林</w:t>
      </w:r>
      <w:r>
        <w:rPr>
          <w:rFonts w:hint="eastAsia" w:ascii="宋体" w:hAnsi="宋体" w:eastAsia="宋体" w:cs="宋体"/>
          <w:color w:val="3F3F3F"/>
          <w:spacing w:val="23"/>
          <w:sz w:val="28"/>
          <w:szCs w:val="28"/>
          <w:bdr w:val="none" w:color="auto" w:sz="0" w:space="0"/>
        </w:rPr>
        <w:t>就直播过“全国药店发展趋势高峰论坛”，当时的招商口号是“顺势而‘参’一起赚”，如今招商口号变为“借‘参’势一起赚”。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4" w:firstLineChars="200"/>
        <w:jc w:val="both"/>
        <w:rPr>
          <w:rFonts w:hint="eastAsia" w:ascii="宋体" w:hAnsi="宋体" w:eastAsia="宋体" w:cs="宋体"/>
          <w:sz w:val="28"/>
          <w:szCs w:val="28"/>
        </w:rPr>
      </w:pPr>
      <w:r>
        <w:rPr>
          <w:rStyle w:val="14"/>
          <w:rFonts w:hint="eastAsia" w:ascii="宋体" w:hAnsi="宋体" w:eastAsia="宋体" w:cs="宋体"/>
          <w:color w:val="3F3F3F"/>
          <w:spacing w:val="23"/>
          <w:sz w:val="28"/>
          <w:szCs w:val="28"/>
          <w:bdr w:val="none" w:color="auto" w:sz="0" w:space="0"/>
        </w:rPr>
        <w:t>口号虽然变了，但强大的阵容不改</w:t>
      </w:r>
      <w:r>
        <w:rPr>
          <w:rFonts w:hint="eastAsia" w:ascii="宋体" w:hAnsi="宋体" w:eastAsia="宋体" w:cs="宋体"/>
          <w:color w:val="3F3F3F"/>
          <w:spacing w:val="23"/>
          <w:sz w:val="28"/>
          <w:szCs w:val="28"/>
          <w:bdr w:val="none" w:color="auto" w:sz="0" w:space="0"/>
        </w:rPr>
        <w:t>。2021年的高峰论坛出席的大参林高管有集团副总裁谭群飞、加盟中心总经理江欣、加盟招商总经理余怀军及中信建投证券总监李林；2023年的高峰论坛大参林的高管阵容更加强大，如大参林的执行总裁柯国强和中信建投证券的投行委副总裁陈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而在2021年进行的线下加盟“暗战”也从去年开始不断升温，主要特征就是</w:t>
      </w:r>
      <w:r>
        <w:rPr>
          <w:rStyle w:val="14"/>
          <w:rFonts w:hint="eastAsia" w:ascii="宋体" w:hAnsi="宋体" w:eastAsia="宋体" w:cs="宋体"/>
          <w:color w:val="3F3F3F"/>
          <w:spacing w:val="23"/>
          <w:sz w:val="28"/>
          <w:szCs w:val="28"/>
          <w:bdr w:val="none" w:color="auto" w:sz="0" w:space="0"/>
        </w:rPr>
        <w:t>采用直播招商的方式来传递信息、吸引眼球</w:t>
      </w:r>
      <w:r>
        <w:rPr>
          <w:rFonts w:hint="eastAsia" w:ascii="宋体" w:hAnsi="宋体" w:eastAsia="宋体" w:cs="宋体"/>
          <w:color w:val="3F3F3F"/>
          <w:spacing w:val="23"/>
          <w:sz w:val="28"/>
          <w:szCs w:val="28"/>
          <w:bdr w:val="none" w:color="auto" w:sz="0" w:space="0"/>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大参林在2021年举办的高峰论坛吸引了300万观众在线观看，</w:t>
      </w:r>
      <w:r>
        <w:rPr>
          <w:rStyle w:val="14"/>
          <w:rFonts w:hint="eastAsia" w:ascii="宋体" w:hAnsi="宋体" w:eastAsia="宋体" w:cs="宋体"/>
          <w:color w:val="3F3F3F"/>
          <w:spacing w:val="23"/>
          <w:sz w:val="28"/>
          <w:szCs w:val="28"/>
          <w:bdr w:val="none" w:color="auto" w:sz="0" w:space="0"/>
        </w:rPr>
        <w:t>其成功也鼓舞了其他上市连锁跟进</w:t>
      </w:r>
      <w:r>
        <w:rPr>
          <w:rFonts w:hint="eastAsia" w:ascii="宋体" w:hAnsi="宋体" w:eastAsia="宋体" w:cs="宋体"/>
          <w:color w:val="3F3F3F"/>
          <w:spacing w:val="23"/>
          <w:sz w:val="28"/>
          <w:szCs w:val="28"/>
          <w:bdr w:val="none" w:color="auto" w:sz="0" w:space="0"/>
        </w:rPr>
        <w:t>。2022年5月27日，</w:t>
      </w:r>
      <w:r>
        <w:rPr>
          <w:rStyle w:val="14"/>
          <w:rFonts w:hint="eastAsia" w:ascii="宋体" w:hAnsi="宋体" w:eastAsia="宋体" w:cs="宋体"/>
          <w:color w:val="3F3F3F"/>
          <w:spacing w:val="23"/>
          <w:sz w:val="28"/>
          <w:szCs w:val="28"/>
          <w:bdr w:val="none" w:color="auto" w:sz="0" w:space="0"/>
        </w:rPr>
        <w:t>益丰</w:t>
      </w:r>
      <w:r>
        <w:rPr>
          <w:rFonts w:hint="eastAsia" w:ascii="宋体" w:hAnsi="宋体" w:eastAsia="宋体" w:cs="宋体"/>
          <w:color w:val="3F3F3F"/>
          <w:spacing w:val="23"/>
          <w:sz w:val="28"/>
          <w:szCs w:val="28"/>
          <w:bdr w:val="none" w:color="auto" w:sz="0" w:space="0"/>
        </w:rPr>
        <w:t>举办了“2022年首届云端加盟节”，公司对此高度重视，出席的高管包括董事长高毅、副总裁汪飞、新零售事业群总经理颜俊、加盟事业部总经理季惠敏、加盟事业部招商总经理刘大千等。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4" w:firstLineChars="200"/>
        <w:jc w:val="both"/>
        <w:rPr>
          <w:rFonts w:hint="eastAsia" w:ascii="宋体" w:hAnsi="宋体" w:eastAsia="宋体" w:cs="宋体"/>
          <w:sz w:val="28"/>
          <w:szCs w:val="28"/>
        </w:rPr>
      </w:pPr>
      <w:r>
        <w:rPr>
          <w:rStyle w:val="14"/>
          <w:rFonts w:hint="eastAsia" w:ascii="宋体" w:hAnsi="宋体" w:eastAsia="宋体" w:cs="宋体"/>
          <w:color w:val="3F3F3F"/>
          <w:spacing w:val="23"/>
          <w:sz w:val="28"/>
          <w:szCs w:val="28"/>
          <w:bdr w:val="none" w:color="auto" w:sz="0" w:space="0"/>
        </w:rPr>
        <w:t>直播加盟招商的成效如何，老百姓可谓深有体会</w:t>
      </w:r>
      <w:r>
        <w:rPr>
          <w:rFonts w:hint="eastAsia" w:ascii="宋体" w:hAnsi="宋体" w:eastAsia="宋体" w:cs="宋体"/>
          <w:color w:val="3F3F3F"/>
          <w:spacing w:val="23"/>
          <w:sz w:val="28"/>
          <w:szCs w:val="28"/>
          <w:bdr w:val="none" w:color="auto" w:sz="0" w:space="0"/>
        </w:rPr>
        <w:t>。在2022年，老百姓共举办了三场招商加盟直播，分别是3.18加盟直播节、7.16线上创业联盟直播和12.16的加盟直播峰会，签约数量分别为700多家、600多家和近500家，共1800多家。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此前</w:t>
      </w:r>
      <w:r>
        <w:rPr>
          <w:rStyle w:val="14"/>
          <w:rFonts w:hint="eastAsia" w:ascii="宋体" w:hAnsi="宋体" w:eastAsia="宋体" w:cs="宋体"/>
          <w:color w:val="3F3F3F"/>
          <w:spacing w:val="23"/>
          <w:sz w:val="28"/>
          <w:szCs w:val="28"/>
          <w:bdr w:val="none" w:color="auto" w:sz="0" w:space="0"/>
        </w:rPr>
        <w:t>老百姓</w:t>
      </w:r>
      <w:r>
        <w:rPr>
          <w:rFonts w:hint="eastAsia" w:ascii="宋体" w:hAnsi="宋体" w:eastAsia="宋体" w:cs="宋体"/>
          <w:color w:val="3F3F3F"/>
          <w:spacing w:val="23"/>
          <w:sz w:val="28"/>
          <w:szCs w:val="28"/>
          <w:bdr w:val="none" w:color="auto" w:sz="0" w:space="0"/>
        </w:rPr>
        <w:t>曾对外界声称</w:t>
      </w:r>
      <w:r>
        <w:rPr>
          <w:rStyle w:val="14"/>
          <w:rFonts w:hint="eastAsia" w:ascii="宋体" w:hAnsi="宋体" w:eastAsia="宋体" w:cs="宋体"/>
          <w:color w:val="3F3F3F"/>
          <w:spacing w:val="23"/>
          <w:sz w:val="28"/>
          <w:szCs w:val="28"/>
          <w:bdr w:val="none" w:color="auto" w:sz="0" w:space="0"/>
        </w:rPr>
        <w:t>不会再进行大规模并购，重心转向加盟</w:t>
      </w:r>
      <w:r>
        <w:rPr>
          <w:rFonts w:hint="eastAsia" w:ascii="宋体" w:hAnsi="宋体" w:eastAsia="宋体" w:cs="宋体"/>
          <w:color w:val="3F3F3F"/>
          <w:spacing w:val="23"/>
          <w:sz w:val="28"/>
          <w:szCs w:val="28"/>
          <w:bdr w:val="none" w:color="auto" w:sz="0" w:space="0"/>
        </w:rPr>
        <w:t>。原因有二，一是加盟的</w:t>
      </w:r>
      <w:r>
        <w:rPr>
          <w:rStyle w:val="14"/>
          <w:rFonts w:hint="eastAsia" w:ascii="宋体" w:hAnsi="宋体" w:eastAsia="宋体" w:cs="宋体"/>
          <w:color w:val="3F3F3F"/>
          <w:spacing w:val="23"/>
          <w:sz w:val="28"/>
          <w:szCs w:val="28"/>
          <w:bdr w:val="none" w:color="auto" w:sz="0" w:space="0"/>
        </w:rPr>
        <w:t>轻资产扩张模式利于快速实现公司向县域乡镇市场扩张的“下沉”战略</w:t>
      </w:r>
      <w:r>
        <w:rPr>
          <w:rFonts w:hint="eastAsia" w:ascii="宋体" w:hAnsi="宋体" w:eastAsia="宋体" w:cs="宋体"/>
          <w:color w:val="3F3F3F"/>
          <w:spacing w:val="23"/>
          <w:sz w:val="28"/>
          <w:szCs w:val="28"/>
          <w:bdr w:val="none" w:color="auto" w:sz="0" w:space="0"/>
        </w:rPr>
        <w:t>。2022年前三季度，老百姓新增的2214家门店中，地级市及以下地区门店约占90%；二是</w:t>
      </w:r>
      <w:r>
        <w:rPr>
          <w:rStyle w:val="14"/>
          <w:rFonts w:hint="eastAsia" w:ascii="宋体" w:hAnsi="宋体" w:eastAsia="宋体" w:cs="宋体"/>
          <w:color w:val="3F3F3F"/>
          <w:spacing w:val="23"/>
          <w:sz w:val="28"/>
          <w:szCs w:val="28"/>
          <w:bdr w:val="none" w:color="auto" w:sz="0" w:space="0"/>
        </w:rPr>
        <w:t>加盟业务为公司带来可观的回报</w:t>
      </w:r>
      <w:r>
        <w:rPr>
          <w:rFonts w:hint="eastAsia" w:ascii="宋体" w:hAnsi="宋体" w:eastAsia="宋体" w:cs="宋体"/>
          <w:color w:val="3F3F3F"/>
          <w:spacing w:val="23"/>
          <w:sz w:val="28"/>
          <w:szCs w:val="28"/>
          <w:bdr w:val="none" w:color="auto" w:sz="0" w:space="0"/>
        </w:rPr>
        <w:t>。从2018到2021年，老百姓的加盟业务配送收入三年复合增长率高达58%。</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截至2022年9月底，老百姓、益丰药房、大参林、漱玉平民的加盟店数量分别为2965家、1753家、1376家、1535家，占门店总数的比例分别为28.71%、17.92%、15.47%、33.13%，毫无疑问，2023年其比例将会继续提升。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color w:val="0070C0"/>
          <w:spacing w:val="23"/>
          <w:sz w:val="52"/>
          <w:szCs w:val="52"/>
          <w:bdr w:val="none" w:color="auto" w:sz="0" w:space="0"/>
        </w:rPr>
        <w:t>02</w:t>
      </w:r>
      <w:r>
        <w:rPr>
          <w:rFonts w:hint="eastAsia" w:ascii="宋体" w:hAnsi="宋体" w:eastAsia="宋体" w:cs="宋体"/>
          <w:b/>
          <w:bCs/>
          <w:color w:val="3F3F3F"/>
          <w:spacing w:val="23"/>
          <w:sz w:val="28"/>
          <w:szCs w:val="28"/>
          <w:bdr w:val="none" w:color="auto" w:sz="0" w:space="0"/>
        </w:rPr>
        <w:t>从比“硬件”到拼“软件”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在“平价”时代，药店的高毛品种多如牛毛，如板蓝根有十几个品牌。不过随着仿制药一致性评价逐步落实和消费者对高毛产品主推模式的反感度增加，“</w:t>
      </w:r>
      <w:r>
        <w:rPr>
          <w:rStyle w:val="14"/>
          <w:rFonts w:hint="eastAsia" w:ascii="宋体" w:hAnsi="宋体" w:eastAsia="宋体" w:cs="宋体"/>
          <w:color w:val="3F3F3F"/>
          <w:spacing w:val="23"/>
          <w:sz w:val="28"/>
          <w:szCs w:val="28"/>
          <w:bdr w:val="none" w:color="auto" w:sz="0" w:space="0"/>
        </w:rPr>
        <w:t>不缺品种而缺好品种</w:t>
      </w:r>
      <w:r>
        <w:rPr>
          <w:rFonts w:hint="eastAsia" w:ascii="宋体" w:hAnsi="宋体" w:eastAsia="宋体" w:cs="宋体"/>
          <w:color w:val="3F3F3F"/>
          <w:spacing w:val="23"/>
          <w:sz w:val="28"/>
          <w:szCs w:val="28"/>
          <w:bdr w:val="none" w:color="auto" w:sz="0" w:space="0"/>
        </w:rPr>
        <w:t>”成为中小药店的经营现状，因此，</w:t>
      </w:r>
      <w:r>
        <w:rPr>
          <w:rStyle w:val="14"/>
          <w:rFonts w:hint="eastAsia" w:ascii="宋体" w:hAnsi="宋体" w:eastAsia="宋体" w:cs="宋体"/>
          <w:color w:val="3F3F3F"/>
          <w:spacing w:val="23"/>
          <w:sz w:val="28"/>
          <w:szCs w:val="28"/>
          <w:bdr w:val="none" w:color="auto" w:sz="0" w:space="0"/>
        </w:rPr>
        <w:t>拥有品牌药企品种资源的大连锁搞加盟拥有明显的优势，也是“硬件”标配</w:t>
      </w:r>
      <w:r>
        <w:rPr>
          <w:rFonts w:hint="eastAsia" w:ascii="宋体" w:hAnsi="宋体" w:eastAsia="宋体" w:cs="宋体"/>
          <w:color w:val="3F3F3F"/>
          <w:spacing w:val="23"/>
          <w:sz w:val="28"/>
          <w:szCs w:val="28"/>
          <w:bdr w:val="none" w:color="auto" w:sz="0" w:space="0"/>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一开始，</w:t>
      </w:r>
      <w:r>
        <w:rPr>
          <w:rStyle w:val="14"/>
          <w:rFonts w:hint="eastAsia" w:ascii="宋体" w:hAnsi="宋体" w:eastAsia="宋体" w:cs="宋体"/>
          <w:color w:val="3F3F3F"/>
          <w:spacing w:val="23"/>
          <w:sz w:val="28"/>
          <w:szCs w:val="28"/>
          <w:bdr w:val="none" w:color="auto" w:sz="0" w:space="0"/>
        </w:rPr>
        <w:t>大连锁对加盟招商抱着比较谨慎的态度</w:t>
      </w:r>
      <w:r>
        <w:rPr>
          <w:rFonts w:hint="eastAsia" w:ascii="宋体" w:hAnsi="宋体" w:eastAsia="宋体" w:cs="宋体"/>
          <w:color w:val="3F3F3F"/>
          <w:spacing w:val="23"/>
          <w:sz w:val="28"/>
          <w:szCs w:val="28"/>
          <w:bdr w:val="none" w:color="auto" w:sz="0" w:space="0"/>
        </w:rPr>
        <w:t>，如老百姓成立了新的连锁品牌专门用于加盟、益丰和大参林起初都限定加盟招商区域等。随着大规模并购的“退潮”，为了保持高速的扩张，加盟对大连锁做大规模的重要性开始凸显。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前段时间，一直坚持开直营店的一心堂在海南分公司举办了以“海市商盟，一心共赢”为主题的首届加盟招商会。2015年，一心堂耗资4亿元收购海南最大连锁药店广安堂100%股权，其分公司一举成为当地最大的连锁药店，把加盟店试点的首站放在海南，优势明显，不但知名度较高，竞争对手也少，如至今上市连锁中的大参林和益丰只是在海南开设了互联网医院。</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4" w:firstLineChars="200"/>
        <w:jc w:val="both"/>
        <w:rPr>
          <w:rFonts w:hint="eastAsia" w:ascii="宋体" w:hAnsi="宋体" w:eastAsia="宋体" w:cs="宋体"/>
          <w:sz w:val="28"/>
          <w:szCs w:val="28"/>
        </w:rPr>
      </w:pPr>
      <w:r>
        <w:rPr>
          <w:rStyle w:val="14"/>
          <w:rFonts w:hint="eastAsia" w:ascii="宋体" w:hAnsi="宋体" w:eastAsia="宋体" w:cs="宋体"/>
          <w:color w:val="3F3F3F"/>
          <w:spacing w:val="23"/>
          <w:sz w:val="28"/>
          <w:szCs w:val="28"/>
          <w:bdr w:val="none" w:color="auto" w:sz="0" w:space="0"/>
        </w:rPr>
        <w:t>随着各大连锁对加盟招商纷纷投入“重兵”，互相之间较量的手段由比“硬件”上升到比“软件”</w:t>
      </w:r>
      <w:r>
        <w:rPr>
          <w:rFonts w:hint="eastAsia" w:ascii="宋体" w:hAnsi="宋体" w:eastAsia="宋体" w:cs="宋体"/>
          <w:color w:val="3F3F3F"/>
          <w:spacing w:val="23"/>
          <w:sz w:val="28"/>
          <w:szCs w:val="28"/>
          <w:bdr w:val="none" w:color="auto" w:sz="0" w:space="0"/>
        </w:rPr>
        <w:t>。益丰在“首届云端加盟节”上，主要介绍了企划、数字化运营、专业培训、新零售赋能等六大核心竞争力的加盟优势。大参林把自己的加盟优势总结为“十势十享”核心赋能等模式，即除了为加盟店提供商品外，还有品牌、会员、数字化、人才、营销等九大技术赋能。</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全亿健康继去年9月宣布启动“蒲公英加盟”计划后，不久又隆重推出“星链”计划，即以四大赋能平台帮助加盟店重新打造“人、货、场”，包括商品供应链赋能、立体丰富的管理赋能、数智化中台免费赋能和资本赋能。</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color w:val="0070C0"/>
          <w:spacing w:val="23"/>
          <w:sz w:val="52"/>
          <w:szCs w:val="52"/>
          <w:bdr w:val="none" w:color="auto" w:sz="0" w:space="0"/>
        </w:rPr>
        <w:t>03</w:t>
      </w:r>
      <w:r>
        <w:rPr>
          <w:rFonts w:hint="eastAsia" w:ascii="宋体" w:hAnsi="宋体" w:eastAsia="宋体" w:cs="宋体"/>
          <w:b/>
          <w:bCs/>
          <w:color w:val="3F3F3F"/>
          <w:spacing w:val="23"/>
          <w:sz w:val="28"/>
          <w:szCs w:val="28"/>
          <w:bdr w:val="none" w:color="auto" w:sz="0" w:space="0"/>
        </w:rPr>
        <w:t>药店整合以“收编”落幕？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4" w:firstLineChars="200"/>
        <w:jc w:val="both"/>
        <w:rPr>
          <w:rFonts w:hint="eastAsia" w:ascii="宋体" w:hAnsi="宋体" w:eastAsia="宋体" w:cs="宋体"/>
          <w:sz w:val="28"/>
          <w:szCs w:val="28"/>
        </w:rPr>
      </w:pPr>
      <w:r>
        <w:rPr>
          <w:rStyle w:val="14"/>
          <w:rFonts w:hint="eastAsia" w:ascii="宋体" w:hAnsi="宋体" w:eastAsia="宋体" w:cs="宋体"/>
          <w:color w:val="3F3F3F"/>
          <w:spacing w:val="23"/>
          <w:sz w:val="28"/>
          <w:szCs w:val="28"/>
          <w:bdr w:val="none" w:color="auto" w:sz="0" w:space="0"/>
        </w:rPr>
        <w:t>直播加盟招商的浪潮席卷下，被打动加入的药店越来越多</w:t>
      </w:r>
      <w:r>
        <w:rPr>
          <w:rFonts w:hint="eastAsia" w:ascii="宋体" w:hAnsi="宋体" w:eastAsia="宋体" w:cs="宋体"/>
          <w:color w:val="3F3F3F"/>
          <w:spacing w:val="23"/>
          <w:sz w:val="28"/>
          <w:szCs w:val="28"/>
          <w:bdr w:val="none" w:color="auto" w:sz="0" w:space="0"/>
        </w:rPr>
        <w:t>。据统计数据显示，益丰举办的“2022年首届云端加盟节”共吸引1000万人围观，签约的客户达到近1000家。不难推测，2023年加盟招商的攻势将更加猛烈。</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在“2022年首届云端加盟节”的直播节上，高毅指出，行业集中度持续提升是发展趋势，未来近十家大连锁将会占据市场的大部分份额，中小连锁和单体药店很难长期独立生存。他认为，在这样的竞争环境里选择和谁合作，比努力更加重要。</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4" w:firstLineChars="200"/>
        <w:jc w:val="both"/>
        <w:rPr>
          <w:rFonts w:hint="eastAsia" w:ascii="宋体" w:hAnsi="宋体" w:eastAsia="宋体" w:cs="宋体"/>
          <w:sz w:val="28"/>
          <w:szCs w:val="28"/>
        </w:rPr>
      </w:pPr>
      <w:r>
        <w:rPr>
          <w:rStyle w:val="14"/>
          <w:rFonts w:hint="eastAsia" w:ascii="宋体" w:hAnsi="宋体" w:eastAsia="宋体" w:cs="宋体"/>
          <w:color w:val="3F3F3F"/>
          <w:spacing w:val="23"/>
          <w:sz w:val="28"/>
          <w:szCs w:val="28"/>
          <w:bdr w:val="none" w:color="auto" w:sz="0" w:space="0"/>
        </w:rPr>
        <w:t>大连锁主动放下身段，对加盟商求贤若渴，缘自其批发配送业务的出色贡献</w:t>
      </w:r>
      <w:r>
        <w:rPr>
          <w:rFonts w:hint="eastAsia" w:ascii="宋体" w:hAnsi="宋体" w:eastAsia="宋体" w:cs="宋体"/>
          <w:color w:val="3F3F3F"/>
          <w:spacing w:val="23"/>
          <w:sz w:val="28"/>
          <w:szCs w:val="28"/>
          <w:bdr w:val="none" w:color="auto" w:sz="0" w:space="0"/>
        </w:rPr>
        <w:t>。统计数据显示，例如：2017—2021年，大参林和益丰药房批发板块收入的年均复合增速分别为89%、65%；2022年第三季度，大参林和益丰药房批发业务占营收总额比重提升至9%、6%。</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截至目前，几大上市连锁、国大、好药师、养天和等大连锁的加盟店加起来不过两三万家，而全国仅是单体药店的数量就有25万多家，如果把小连锁计算在内，这个数目更加庞大，</w:t>
      </w:r>
      <w:r>
        <w:rPr>
          <w:rStyle w:val="14"/>
          <w:rFonts w:hint="eastAsia" w:ascii="宋体" w:hAnsi="宋体" w:eastAsia="宋体" w:cs="宋体"/>
          <w:color w:val="3F3F3F"/>
          <w:spacing w:val="23"/>
          <w:sz w:val="28"/>
          <w:szCs w:val="28"/>
          <w:bdr w:val="none" w:color="auto" w:sz="0" w:space="0"/>
        </w:rPr>
        <w:t>加盟拓展的空间巨大</w:t>
      </w:r>
      <w:r>
        <w:rPr>
          <w:rFonts w:hint="eastAsia" w:ascii="宋体" w:hAnsi="宋体" w:eastAsia="宋体" w:cs="宋体"/>
          <w:color w:val="3F3F3F"/>
          <w:spacing w:val="23"/>
          <w:sz w:val="28"/>
          <w:szCs w:val="28"/>
          <w:bdr w:val="none" w:color="auto" w:sz="0" w:space="0"/>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截至2021年底，连锁药店的门店总数为34.4万家，与2021年同期相比增加了298家，说明</w:t>
      </w:r>
      <w:r>
        <w:rPr>
          <w:rStyle w:val="14"/>
          <w:rFonts w:hint="eastAsia" w:ascii="宋体" w:hAnsi="宋体" w:eastAsia="宋体" w:cs="宋体"/>
          <w:color w:val="3F3F3F"/>
          <w:spacing w:val="23"/>
          <w:sz w:val="28"/>
          <w:szCs w:val="28"/>
          <w:bdr w:val="none" w:color="auto" w:sz="0" w:space="0"/>
        </w:rPr>
        <w:t>新增的连锁规模应在“中小”的范围内</w:t>
      </w:r>
      <w:r>
        <w:rPr>
          <w:rFonts w:hint="eastAsia" w:ascii="宋体" w:hAnsi="宋体" w:eastAsia="宋体" w:cs="宋体"/>
          <w:color w:val="3F3F3F"/>
          <w:spacing w:val="23"/>
          <w:sz w:val="28"/>
          <w:szCs w:val="28"/>
          <w:bdr w:val="none" w:color="auto" w:sz="0" w:space="0"/>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去年百强连锁新增的直营门店数为100多家，这意味着小连锁在34万多家连锁中占了相当大的比例。以四川为例，虽然连锁率较高，但多数连锁规模较小，高济、全亿、一心堂、康佰家、健之佳等外来连锁纷纷“抢摊”进驻，全亿去年更是高调在四川宣布启动加盟行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大连锁靠自建新店、收购的方式完成“统一”大业不大现实，自建新店且不论盈亏，周期较长；收购一家门店少则几十万，多则上百万。相比之下，</w:t>
      </w:r>
      <w:r>
        <w:rPr>
          <w:rStyle w:val="14"/>
          <w:rFonts w:hint="eastAsia" w:ascii="宋体" w:hAnsi="宋体" w:eastAsia="宋体" w:cs="宋体"/>
          <w:color w:val="3F3F3F"/>
          <w:spacing w:val="23"/>
          <w:sz w:val="28"/>
          <w:szCs w:val="28"/>
          <w:bdr w:val="none" w:color="auto" w:sz="0" w:space="0"/>
        </w:rPr>
        <w:t>轻资产的加盟拓展方式实在是快速、有效得多</w:t>
      </w:r>
      <w:r>
        <w:rPr>
          <w:rFonts w:hint="eastAsia" w:ascii="宋体" w:hAnsi="宋体" w:eastAsia="宋体" w:cs="宋体"/>
          <w:color w:val="3F3F3F"/>
          <w:spacing w:val="23"/>
          <w:sz w:val="28"/>
          <w:szCs w:val="28"/>
          <w:bdr w:val="none" w:color="auto" w:sz="0" w:space="0"/>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color w:val="3F3F3F"/>
          <w:spacing w:val="23"/>
          <w:sz w:val="28"/>
          <w:szCs w:val="28"/>
          <w:bdr w:val="none" w:color="auto" w:sz="0" w:space="0"/>
        </w:rPr>
        <w:t>国家药监局发布的《药品监督管理统计报告（2021年第三季度）》的数据显示，2022年湖北全省有单体药店8735家，比2020底增加2013家，增长率30%，原因是</w:t>
      </w:r>
      <w:r>
        <w:rPr>
          <w:rStyle w:val="14"/>
          <w:rFonts w:hint="eastAsia" w:ascii="宋体" w:hAnsi="宋体" w:eastAsia="宋体" w:cs="宋体"/>
          <w:color w:val="3F3F3F"/>
          <w:spacing w:val="23"/>
          <w:sz w:val="28"/>
          <w:szCs w:val="28"/>
          <w:bdr w:val="none" w:color="auto" w:sz="0" w:space="0"/>
        </w:rPr>
        <w:t>湖北存在许多能为单体药店服务的供应渠道</w:t>
      </w:r>
      <w:r>
        <w:rPr>
          <w:rFonts w:hint="eastAsia" w:ascii="宋体" w:hAnsi="宋体" w:eastAsia="宋体" w:cs="宋体"/>
          <w:color w:val="3F3F3F"/>
          <w:spacing w:val="23"/>
          <w:sz w:val="28"/>
          <w:szCs w:val="28"/>
          <w:bdr w:val="none" w:color="auto" w:sz="0" w:space="0"/>
        </w:rPr>
        <w:t>。由此来看，</w:t>
      </w:r>
      <w:r>
        <w:rPr>
          <w:rStyle w:val="14"/>
          <w:rFonts w:hint="eastAsia" w:ascii="宋体" w:hAnsi="宋体" w:eastAsia="宋体" w:cs="宋体"/>
          <w:color w:val="3F3F3F"/>
          <w:spacing w:val="23"/>
          <w:sz w:val="28"/>
          <w:szCs w:val="28"/>
          <w:bdr w:val="none" w:color="auto" w:sz="0" w:space="0"/>
        </w:rPr>
        <w:t>大连锁能否通过加盟实现“统一”大业，还需拭目以待</w:t>
      </w:r>
      <w:r>
        <w:rPr>
          <w:rFonts w:hint="eastAsia" w:ascii="宋体" w:hAnsi="宋体" w:eastAsia="宋体" w:cs="宋体"/>
          <w:color w:val="3F3F3F"/>
          <w:spacing w:val="23"/>
          <w:sz w:val="28"/>
          <w:szCs w:val="28"/>
          <w:bdr w:val="none" w:color="auto" w:sz="0" w:space="0"/>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color w:val="333333"/>
          <w:kern w:val="36"/>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color w:val="333333"/>
          <w:kern w:val="36"/>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color w:val="333333"/>
          <w:kern w:val="36"/>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color w:val="333333"/>
          <w:kern w:val="36"/>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color w:val="333333"/>
          <w:kern w:val="36"/>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color w:val="333333"/>
          <w:kern w:val="36"/>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color w:val="333333"/>
          <w:kern w:val="36"/>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kern w:val="0"/>
          <w:sz w:val="33"/>
          <w:szCs w:val="33"/>
          <w:lang w:val="en-US" w:eastAsia="zh-CN" w:bidi="ar"/>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5</w:t>
      </w:r>
      <w:r>
        <w:rPr>
          <w:rFonts w:hint="eastAsia" w:ascii="宋体" w:hAnsi="宋体" w:eastAsia="宋体" w:cs="宋体"/>
          <w:b/>
          <w:kern w:val="0"/>
          <w:sz w:val="33"/>
          <w:szCs w:val="33"/>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新规实施！</w:t>
      </w: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lang w:eastAsia="zh-CN"/>
        </w:rPr>
        <w:t>多地</w:t>
      </w:r>
      <w:bookmarkStart w:id="0" w:name="_GoBack"/>
      <w:bookmarkEnd w:id="0"/>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药店门诊统筹支付标准及额度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pPr>
      <w:r>
        <w:rPr>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采编中心</w:t>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bdr w:val="none" w:color="auto" w:sz="0" w:space="0"/>
          <w:shd w:val="clear" w:fill="FFFFFF"/>
        </w:rPr>
        <w:t>米内零售观察</w: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2023-03-06 17:38</w:t>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发表于广东</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药店门诊统筹在地方加速推进，又有一地发文，明确其报销比例和支付额度……</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52"/>
          <w:szCs w:val="52"/>
          <w:bdr w:val="none" w:color="auto" w:sz="0" w:space="0"/>
          <w:shd w:val="clear" w:fill="FFFFFF"/>
        </w:rPr>
        <w:t>01</w:t>
      </w:r>
      <w:r>
        <w:rPr>
          <w:rFonts w:hint="eastAsia" w:ascii="宋体" w:hAnsi="宋体" w:eastAsia="宋体" w:cs="宋体"/>
          <w:b/>
          <w:bCs/>
          <w:i w:val="0"/>
          <w:iCs w:val="0"/>
          <w:caps w:val="0"/>
          <w:color w:val="3F3F3F"/>
          <w:spacing w:val="23"/>
          <w:sz w:val="28"/>
          <w:szCs w:val="28"/>
          <w:bdr w:val="none" w:color="auto" w:sz="0" w:space="0"/>
          <w:shd w:val="clear" w:fill="FFFFFF"/>
        </w:rPr>
        <w:t>西安、咸阳确定门诊统筹支付标准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近日，</w:t>
      </w:r>
      <w:r>
        <w:rPr>
          <w:rStyle w:val="14"/>
          <w:rFonts w:hint="eastAsia" w:ascii="宋体" w:hAnsi="宋体" w:eastAsia="宋体" w:cs="宋体"/>
          <w:i w:val="0"/>
          <w:iCs w:val="0"/>
          <w:caps w:val="0"/>
          <w:color w:val="3F3F3F"/>
          <w:spacing w:val="23"/>
          <w:sz w:val="28"/>
          <w:szCs w:val="28"/>
          <w:bdr w:val="none" w:color="auto" w:sz="0" w:space="0"/>
          <w:shd w:val="clear" w:fill="FFFFFF"/>
        </w:rPr>
        <w:t>西安医保局</w:t>
      </w:r>
      <w:r>
        <w:rPr>
          <w:rFonts w:hint="eastAsia" w:ascii="宋体" w:hAnsi="宋体" w:eastAsia="宋体" w:cs="宋体"/>
          <w:i w:val="0"/>
          <w:iCs w:val="0"/>
          <w:caps w:val="0"/>
          <w:color w:val="3F3F3F"/>
          <w:spacing w:val="23"/>
          <w:sz w:val="28"/>
          <w:szCs w:val="28"/>
          <w:bdr w:val="none" w:color="auto" w:sz="0" w:space="0"/>
          <w:shd w:val="clear" w:fill="FFFFFF"/>
        </w:rPr>
        <w:t>发布通知，3月1日起，西安市参保职工在门诊统筹定点零售药店也可以报销普通门诊费用了。西安为陕西省第一个支持定点零售药店开通门诊统筹服务的城市。</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pPr>
      <w:r>
        <w:rPr>
          <w:rFonts w:hint="eastAsia" w:ascii="宋体" w:hAnsi="宋体" w:eastAsia="宋体" w:cs="宋体"/>
          <w:i w:val="0"/>
          <w:iCs w:val="0"/>
          <w:caps w:val="0"/>
          <w:color w:val="3F3F3F"/>
          <w:spacing w:val="23"/>
          <w:sz w:val="28"/>
          <w:szCs w:val="28"/>
          <w:bdr w:val="none" w:color="auto" w:sz="0" w:space="0"/>
          <w:shd w:val="clear" w:fill="FFFFFF"/>
        </w:rPr>
        <w:t> </w:t>
      </w:r>
      <w:r>
        <w:rPr>
          <w:rFonts w:hint="eastAsia" w:ascii="Microsoft YaHei UI" w:hAnsi="Microsoft YaHei UI" w:eastAsia="Microsoft YaHei UI" w:cs="Microsoft YaHei UI"/>
          <w:i w:val="0"/>
          <w:iCs w:val="0"/>
          <w:caps w:val="0"/>
          <w:color w:val="3F3F3F"/>
          <w:spacing w:val="23"/>
          <w:sz w:val="22"/>
          <w:szCs w:val="22"/>
          <w:bdr w:val="none" w:color="auto" w:sz="0" w:space="0"/>
          <w:shd w:val="clear" w:fill="FFFFFF"/>
        </w:rPr>
        <w:drawing>
          <wp:inline distT="0" distB="0" distL="114300" distR="114300">
            <wp:extent cx="5202555" cy="2524760"/>
            <wp:effectExtent l="0" t="0" r="17145" b="8890"/>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21"/>
                    <a:stretch>
                      <a:fillRect/>
                    </a:stretch>
                  </pic:blipFill>
                  <pic:spPr>
                    <a:xfrm>
                      <a:off x="0" y="0"/>
                      <a:ext cx="5202555" cy="252476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根据此前通知，职工医保门诊统筹待遇设置有起付线，</w:t>
      </w:r>
      <w:r>
        <w:rPr>
          <w:rStyle w:val="14"/>
          <w:rFonts w:hint="eastAsia" w:ascii="宋体" w:hAnsi="宋体" w:eastAsia="宋体" w:cs="宋体"/>
          <w:i w:val="0"/>
          <w:iCs w:val="0"/>
          <w:caps w:val="0"/>
          <w:color w:val="3F3F3F"/>
          <w:spacing w:val="23"/>
          <w:sz w:val="28"/>
          <w:szCs w:val="28"/>
          <w:bdr w:val="none" w:color="auto" w:sz="0" w:space="0"/>
          <w:shd w:val="clear" w:fill="FFFFFF"/>
        </w:rPr>
        <w:t>西安市的起付线为200元</w:t>
      </w:r>
      <w:r>
        <w:rPr>
          <w:rFonts w:hint="eastAsia" w:ascii="宋体" w:hAnsi="宋体" w:eastAsia="宋体" w:cs="宋体"/>
          <w:i w:val="0"/>
          <w:iCs w:val="0"/>
          <w:caps w:val="0"/>
          <w:color w:val="3F3F3F"/>
          <w:spacing w:val="23"/>
          <w:sz w:val="28"/>
          <w:szCs w:val="28"/>
          <w:bdr w:val="none" w:color="auto" w:sz="0" w:space="0"/>
          <w:shd w:val="clear" w:fill="FFFFFF"/>
        </w:rPr>
        <w:t>。简单说就是，参保职工在医疗机构自费部分达到200元后就可以报销普通门诊费用了。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西安市规定在职职工门诊统筹支付比例</w:t>
      </w:r>
      <w:r>
        <w:rPr>
          <w:rStyle w:val="14"/>
          <w:rFonts w:hint="eastAsia" w:ascii="宋体" w:hAnsi="宋体" w:eastAsia="宋体" w:cs="宋体"/>
          <w:i w:val="0"/>
          <w:iCs w:val="0"/>
          <w:caps w:val="0"/>
          <w:color w:val="3F3F3F"/>
          <w:spacing w:val="23"/>
          <w:sz w:val="28"/>
          <w:szCs w:val="28"/>
          <w:bdr w:val="none" w:color="auto" w:sz="0" w:space="0"/>
          <w:shd w:val="clear" w:fill="FFFFFF"/>
        </w:rPr>
        <w:t>一级</w:t>
      </w:r>
      <w:r>
        <w:rPr>
          <w:rFonts w:hint="eastAsia" w:ascii="宋体" w:hAnsi="宋体" w:eastAsia="宋体" w:cs="宋体"/>
          <w:i w:val="0"/>
          <w:iCs w:val="0"/>
          <w:caps w:val="0"/>
          <w:color w:val="3F3F3F"/>
          <w:spacing w:val="23"/>
          <w:sz w:val="28"/>
          <w:szCs w:val="28"/>
          <w:bdr w:val="none" w:color="auto" w:sz="0" w:space="0"/>
          <w:shd w:val="clear" w:fill="FFFFFF"/>
        </w:rPr>
        <w:t>医疗机构（含乡镇卫生院及社区卫生服务中心）</w:t>
      </w:r>
      <w:r>
        <w:rPr>
          <w:rStyle w:val="14"/>
          <w:rFonts w:hint="eastAsia" w:ascii="宋体" w:hAnsi="宋体" w:eastAsia="宋体" w:cs="宋体"/>
          <w:i w:val="0"/>
          <w:iCs w:val="0"/>
          <w:caps w:val="0"/>
          <w:color w:val="3F3F3F"/>
          <w:spacing w:val="23"/>
          <w:sz w:val="28"/>
          <w:szCs w:val="28"/>
          <w:bdr w:val="none" w:color="auto" w:sz="0" w:space="0"/>
          <w:shd w:val="clear" w:fill="FFFFFF"/>
        </w:rPr>
        <w:t>70%</w:t>
      </w:r>
      <w:r>
        <w:rPr>
          <w:rFonts w:hint="eastAsia" w:ascii="宋体" w:hAnsi="宋体" w:eastAsia="宋体" w:cs="宋体"/>
          <w:i w:val="0"/>
          <w:iCs w:val="0"/>
          <w:caps w:val="0"/>
          <w:color w:val="3F3F3F"/>
          <w:spacing w:val="23"/>
          <w:sz w:val="28"/>
          <w:szCs w:val="28"/>
          <w:bdr w:val="none" w:color="auto" w:sz="0" w:space="0"/>
          <w:shd w:val="clear" w:fill="FFFFFF"/>
        </w:rPr>
        <w:t>、</w:t>
      </w:r>
      <w:r>
        <w:rPr>
          <w:rStyle w:val="14"/>
          <w:rFonts w:hint="eastAsia" w:ascii="宋体" w:hAnsi="宋体" w:eastAsia="宋体" w:cs="宋体"/>
          <w:i w:val="0"/>
          <w:iCs w:val="0"/>
          <w:caps w:val="0"/>
          <w:color w:val="3F3F3F"/>
          <w:spacing w:val="23"/>
          <w:sz w:val="28"/>
          <w:szCs w:val="28"/>
          <w:bdr w:val="none" w:color="auto" w:sz="0" w:space="0"/>
          <w:shd w:val="clear" w:fill="FFFFFF"/>
        </w:rPr>
        <w:t>二级</w:t>
      </w:r>
      <w:r>
        <w:rPr>
          <w:rFonts w:hint="eastAsia" w:ascii="宋体" w:hAnsi="宋体" w:eastAsia="宋体" w:cs="宋体"/>
          <w:i w:val="0"/>
          <w:iCs w:val="0"/>
          <w:caps w:val="0"/>
          <w:color w:val="3F3F3F"/>
          <w:spacing w:val="23"/>
          <w:sz w:val="28"/>
          <w:szCs w:val="28"/>
          <w:bdr w:val="none" w:color="auto" w:sz="0" w:space="0"/>
          <w:shd w:val="clear" w:fill="FFFFFF"/>
        </w:rPr>
        <w:t>医疗机构</w:t>
      </w:r>
      <w:r>
        <w:rPr>
          <w:rStyle w:val="14"/>
          <w:rFonts w:hint="eastAsia" w:ascii="宋体" w:hAnsi="宋体" w:eastAsia="宋体" w:cs="宋体"/>
          <w:i w:val="0"/>
          <w:iCs w:val="0"/>
          <w:caps w:val="0"/>
          <w:color w:val="3F3F3F"/>
          <w:spacing w:val="23"/>
          <w:sz w:val="28"/>
          <w:szCs w:val="28"/>
          <w:bdr w:val="none" w:color="auto" w:sz="0" w:space="0"/>
          <w:shd w:val="clear" w:fill="FFFFFF"/>
        </w:rPr>
        <w:t>60%</w:t>
      </w:r>
      <w:r>
        <w:rPr>
          <w:rFonts w:hint="eastAsia" w:ascii="宋体" w:hAnsi="宋体" w:eastAsia="宋体" w:cs="宋体"/>
          <w:i w:val="0"/>
          <w:iCs w:val="0"/>
          <w:caps w:val="0"/>
          <w:color w:val="3F3F3F"/>
          <w:spacing w:val="23"/>
          <w:sz w:val="28"/>
          <w:szCs w:val="28"/>
          <w:bdr w:val="none" w:color="auto" w:sz="0" w:space="0"/>
          <w:shd w:val="clear" w:fill="FFFFFF"/>
        </w:rPr>
        <w:t>、</w:t>
      </w:r>
      <w:r>
        <w:rPr>
          <w:rStyle w:val="14"/>
          <w:rFonts w:hint="eastAsia" w:ascii="宋体" w:hAnsi="宋体" w:eastAsia="宋体" w:cs="宋体"/>
          <w:i w:val="0"/>
          <w:iCs w:val="0"/>
          <w:caps w:val="0"/>
          <w:color w:val="3F3F3F"/>
          <w:spacing w:val="23"/>
          <w:sz w:val="28"/>
          <w:szCs w:val="28"/>
          <w:bdr w:val="none" w:color="auto" w:sz="0" w:space="0"/>
          <w:shd w:val="clear" w:fill="FFFFFF"/>
        </w:rPr>
        <w:t>三级</w:t>
      </w:r>
      <w:r>
        <w:rPr>
          <w:rFonts w:hint="eastAsia" w:ascii="宋体" w:hAnsi="宋体" w:eastAsia="宋体" w:cs="宋体"/>
          <w:i w:val="0"/>
          <w:iCs w:val="0"/>
          <w:caps w:val="0"/>
          <w:color w:val="3F3F3F"/>
          <w:spacing w:val="23"/>
          <w:sz w:val="28"/>
          <w:szCs w:val="28"/>
          <w:bdr w:val="none" w:color="auto" w:sz="0" w:space="0"/>
          <w:shd w:val="clear" w:fill="FFFFFF"/>
        </w:rPr>
        <w:t>医疗机构</w:t>
      </w:r>
      <w:r>
        <w:rPr>
          <w:rStyle w:val="14"/>
          <w:rFonts w:hint="eastAsia" w:ascii="宋体" w:hAnsi="宋体" w:eastAsia="宋体" w:cs="宋体"/>
          <w:i w:val="0"/>
          <w:iCs w:val="0"/>
          <w:caps w:val="0"/>
          <w:color w:val="3F3F3F"/>
          <w:spacing w:val="23"/>
          <w:sz w:val="28"/>
          <w:szCs w:val="28"/>
          <w:bdr w:val="none" w:color="auto" w:sz="0" w:space="0"/>
          <w:shd w:val="clear" w:fill="FFFFFF"/>
        </w:rPr>
        <w:t>50%</w:t>
      </w:r>
      <w:r>
        <w:rPr>
          <w:rFonts w:hint="eastAsia" w:ascii="宋体" w:hAnsi="宋体" w:eastAsia="宋体" w:cs="宋体"/>
          <w:i w:val="0"/>
          <w:iCs w:val="0"/>
          <w:caps w:val="0"/>
          <w:color w:val="3F3F3F"/>
          <w:spacing w:val="23"/>
          <w:sz w:val="28"/>
          <w:szCs w:val="28"/>
          <w:bdr w:val="none" w:color="auto" w:sz="0" w:space="0"/>
          <w:shd w:val="clear" w:fill="FFFFFF"/>
        </w:rPr>
        <w:t>，</w:t>
      </w:r>
      <w:r>
        <w:rPr>
          <w:rStyle w:val="14"/>
          <w:rFonts w:hint="eastAsia" w:ascii="宋体" w:hAnsi="宋体" w:eastAsia="宋体" w:cs="宋体"/>
          <w:i w:val="0"/>
          <w:iCs w:val="0"/>
          <w:caps w:val="0"/>
          <w:color w:val="3F3F3F"/>
          <w:spacing w:val="23"/>
          <w:sz w:val="28"/>
          <w:szCs w:val="28"/>
          <w:bdr w:val="none" w:color="auto" w:sz="0" w:space="0"/>
          <w:shd w:val="clear" w:fill="FFFFFF"/>
        </w:rPr>
        <w:t>退休人员</w:t>
      </w:r>
      <w:r>
        <w:rPr>
          <w:rFonts w:hint="eastAsia" w:ascii="宋体" w:hAnsi="宋体" w:eastAsia="宋体" w:cs="宋体"/>
          <w:i w:val="0"/>
          <w:iCs w:val="0"/>
          <w:caps w:val="0"/>
          <w:color w:val="3F3F3F"/>
          <w:spacing w:val="23"/>
          <w:sz w:val="28"/>
          <w:szCs w:val="28"/>
          <w:bdr w:val="none" w:color="auto" w:sz="0" w:space="0"/>
          <w:shd w:val="clear" w:fill="FFFFFF"/>
        </w:rPr>
        <w:t>支付比例按医疗机构级别相应</w:t>
      </w:r>
      <w:r>
        <w:rPr>
          <w:rStyle w:val="14"/>
          <w:rFonts w:hint="eastAsia" w:ascii="宋体" w:hAnsi="宋体" w:eastAsia="宋体" w:cs="宋体"/>
          <w:i w:val="0"/>
          <w:iCs w:val="0"/>
          <w:caps w:val="0"/>
          <w:color w:val="3F3F3F"/>
          <w:spacing w:val="23"/>
          <w:sz w:val="28"/>
          <w:szCs w:val="28"/>
          <w:bdr w:val="none" w:color="auto" w:sz="0" w:space="0"/>
          <w:shd w:val="clear" w:fill="FFFFFF"/>
        </w:rPr>
        <w:t>提高5%</w:t>
      </w:r>
      <w:r>
        <w:rPr>
          <w:rFonts w:hint="eastAsia" w:ascii="宋体" w:hAnsi="宋体" w:eastAsia="宋体" w:cs="宋体"/>
          <w:i w:val="0"/>
          <w:iCs w:val="0"/>
          <w:caps w:val="0"/>
          <w:color w:val="3F3F3F"/>
          <w:spacing w:val="23"/>
          <w:sz w:val="28"/>
          <w:szCs w:val="28"/>
          <w:bdr w:val="none" w:color="auto" w:sz="0" w:space="0"/>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4" w:firstLineChars="200"/>
        <w:jc w:val="both"/>
        <w:rPr>
          <w:rFonts w:hint="eastAsia" w:ascii="宋体" w:hAnsi="宋体" w:eastAsia="宋体" w:cs="宋体"/>
          <w:sz w:val="28"/>
          <w:szCs w:val="28"/>
        </w:rPr>
      </w:pPr>
      <w:r>
        <w:rPr>
          <w:rStyle w:val="14"/>
          <w:rFonts w:hint="eastAsia" w:ascii="宋体" w:hAnsi="宋体" w:eastAsia="宋体" w:cs="宋体"/>
          <w:i w:val="0"/>
          <w:iCs w:val="0"/>
          <w:caps w:val="0"/>
          <w:color w:val="3F3F3F"/>
          <w:spacing w:val="23"/>
          <w:sz w:val="28"/>
          <w:szCs w:val="28"/>
          <w:bdr w:val="none" w:color="auto" w:sz="0" w:space="0"/>
          <w:shd w:val="clear" w:fill="FFFFFF"/>
        </w:rPr>
        <w:t>定点零售药店开通职工医保门诊统筹结算后，在门诊统筹定点零售药店的报销比例和一级医疗机构一样</w:t>
      </w:r>
      <w:r>
        <w:rPr>
          <w:rFonts w:hint="eastAsia" w:ascii="宋体" w:hAnsi="宋体" w:eastAsia="宋体" w:cs="宋体"/>
          <w:i w:val="0"/>
          <w:iCs w:val="0"/>
          <w:caps w:val="0"/>
          <w:color w:val="3F3F3F"/>
          <w:spacing w:val="23"/>
          <w:sz w:val="28"/>
          <w:szCs w:val="28"/>
          <w:bdr w:val="none" w:color="auto" w:sz="0" w:space="0"/>
          <w:shd w:val="clear" w:fill="FFFFFF"/>
        </w:rPr>
        <w:t>，在职职工支付比例70%，退休人员支付比例75%。</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需要提醒的是，参保人须凭定点医药机构处方在门诊统筹定点零售药店购买医保目录内药品，发生的费用才可由统筹基金按规定支付。职工门诊统筹一个自然年度</w:t>
      </w:r>
      <w:r>
        <w:rPr>
          <w:rStyle w:val="14"/>
          <w:rFonts w:hint="eastAsia" w:ascii="宋体" w:hAnsi="宋体" w:eastAsia="宋体" w:cs="宋体"/>
          <w:i w:val="0"/>
          <w:iCs w:val="0"/>
          <w:caps w:val="0"/>
          <w:color w:val="3F3F3F"/>
          <w:spacing w:val="23"/>
          <w:sz w:val="28"/>
          <w:szCs w:val="28"/>
          <w:bdr w:val="none" w:color="auto" w:sz="0" w:space="0"/>
          <w:shd w:val="clear" w:fill="FFFFFF"/>
        </w:rPr>
        <w:t>最高限额为在职职工2000元，退休人员2500元</w:t>
      </w:r>
      <w:r>
        <w:rPr>
          <w:rFonts w:hint="eastAsia" w:ascii="宋体" w:hAnsi="宋体" w:eastAsia="宋体" w:cs="宋体"/>
          <w:i w:val="0"/>
          <w:iCs w:val="0"/>
          <w:caps w:val="0"/>
          <w:color w:val="3F3F3F"/>
          <w:spacing w:val="23"/>
          <w:sz w:val="28"/>
          <w:szCs w:val="28"/>
          <w:bdr w:val="none" w:color="auto" w:sz="0" w:space="0"/>
          <w:shd w:val="clear" w:fill="FFFFFF"/>
        </w:rPr>
        <w:t>，定点零售药店与定点医疗机构门诊统筹年度支付限额合并计算。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除了西安以外，</w:t>
      </w:r>
      <w:r>
        <w:rPr>
          <w:rStyle w:val="14"/>
          <w:rFonts w:hint="eastAsia" w:ascii="宋体" w:hAnsi="宋体" w:eastAsia="宋体" w:cs="宋体"/>
          <w:i w:val="0"/>
          <w:iCs w:val="0"/>
          <w:caps w:val="0"/>
          <w:color w:val="3F3F3F"/>
          <w:spacing w:val="23"/>
          <w:sz w:val="28"/>
          <w:szCs w:val="28"/>
          <w:bdr w:val="none" w:color="auto" w:sz="0" w:space="0"/>
          <w:shd w:val="clear" w:fill="FFFFFF"/>
        </w:rPr>
        <w:t>咸阳医保局</w:t>
      </w:r>
      <w:r>
        <w:rPr>
          <w:rFonts w:hint="eastAsia" w:ascii="宋体" w:hAnsi="宋体" w:eastAsia="宋体" w:cs="宋体"/>
          <w:i w:val="0"/>
          <w:iCs w:val="0"/>
          <w:caps w:val="0"/>
          <w:color w:val="3F3F3F"/>
          <w:spacing w:val="23"/>
          <w:sz w:val="28"/>
          <w:szCs w:val="28"/>
          <w:bdr w:val="none" w:color="auto" w:sz="0" w:space="0"/>
          <w:shd w:val="clear" w:fill="FFFFFF"/>
        </w:rPr>
        <w:t>3月4日也在官网发布重要通知，为扩大医药服务供给，释放医保改革红利，切实推进职工医疗保险门诊，共济保障机制改革落地实施。即日（3月4日）起，</w:t>
      </w:r>
      <w:r>
        <w:rPr>
          <w:rStyle w:val="14"/>
          <w:rFonts w:hint="eastAsia" w:ascii="宋体" w:hAnsi="宋体" w:eastAsia="宋体" w:cs="宋体"/>
          <w:i w:val="0"/>
          <w:iCs w:val="0"/>
          <w:caps w:val="0"/>
          <w:color w:val="3F3F3F"/>
          <w:spacing w:val="23"/>
          <w:sz w:val="28"/>
          <w:szCs w:val="28"/>
          <w:bdr w:val="none" w:color="auto" w:sz="0" w:space="0"/>
          <w:shd w:val="clear" w:fill="FFFFFF"/>
        </w:rPr>
        <w:t>咸阳市1068家定点零售药店，全部纳入为参保职工提供门诊统筹服务</w:t>
      </w:r>
      <w:r>
        <w:rPr>
          <w:rFonts w:hint="eastAsia" w:ascii="宋体" w:hAnsi="宋体" w:eastAsia="宋体" w:cs="宋体"/>
          <w:i w:val="0"/>
          <w:iCs w:val="0"/>
          <w:caps w:val="0"/>
          <w:color w:val="3F3F3F"/>
          <w:spacing w:val="23"/>
          <w:sz w:val="28"/>
          <w:szCs w:val="28"/>
          <w:bdr w:val="none" w:color="auto" w:sz="0" w:space="0"/>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咸阳市职工基本医疗保险参保人员职工凭三级、二级、一级定点医疗机构及社区卫生服务中心、乡镇卫生院门诊处方（纸质处方、电子处方）在定点零售药店购买医保目录内药品发生的费用，可由统筹基金按规定支付。</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关于支付额度，通知也明确规定，政策范围内医疗费用年度达到</w:t>
      </w:r>
      <w:r>
        <w:rPr>
          <w:rStyle w:val="14"/>
          <w:rFonts w:hint="eastAsia" w:ascii="宋体" w:hAnsi="宋体" w:eastAsia="宋体" w:cs="宋体"/>
          <w:i w:val="0"/>
          <w:iCs w:val="0"/>
          <w:caps w:val="0"/>
          <w:color w:val="3F3F3F"/>
          <w:spacing w:val="23"/>
          <w:sz w:val="28"/>
          <w:szCs w:val="28"/>
          <w:bdr w:val="none" w:color="auto" w:sz="0" w:space="0"/>
          <w:shd w:val="clear" w:fill="FFFFFF"/>
        </w:rPr>
        <w:t>年度起付线260元（可以累计）</w:t>
      </w:r>
      <w:r>
        <w:rPr>
          <w:rFonts w:hint="eastAsia" w:ascii="宋体" w:hAnsi="宋体" w:eastAsia="宋体" w:cs="宋体"/>
          <w:i w:val="0"/>
          <w:iCs w:val="0"/>
          <w:caps w:val="0"/>
          <w:color w:val="3F3F3F"/>
          <w:spacing w:val="23"/>
          <w:sz w:val="28"/>
          <w:szCs w:val="28"/>
          <w:bdr w:val="none" w:color="auto" w:sz="0" w:space="0"/>
          <w:shd w:val="clear" w:fill="FFFFFF"/>
        </w:rPr>
        <w:t>后，职工在定点药店购药，医保基金</w:t>
      </w:r>
      <w:r>
        <w:rPr>
          <w:rStyle w:val="14"/>
          <w:rFonts w:hint="eastAsia" w:ascii="宋体" w:hAnsi="宋体" w:eastAsia="宋体" w:cs="宋体"/>
          <w:i w:val="0"/>
          <w:iCs w:val="0"/>
          <w:caps w:val="0"/>
          <w:color w:val="3F3F3F"/>
          <w:spacing w:val="23"/>
          <w:sz w:val="28"/>
          <w:szCs w:val="28"/>
          <w:bdr w:val="none" w:color="auto" w:sz="0" w:space="0"/>
          <w:shd w:val="clear" w:fill="FFFFFF"/>
        </w:rPr>
        <w:t>支付比例在职职工70%、退休75%</w:t>
      </w:r>
      <w:r>
        <w:rPr>
          <w:rFonts w:hint="eastAsia" w:ascii="宋体" w:hAnsi="宋体" w:eastAsia="宋体" w:cs="宋体"/>
          <w:i w:val="0"/>
          <w:iCs w:val="0"/>
          <w:caps w:val="0"/>
          <w:color w:val="3F3F3F"/>
          <w:spacing w:val="23"/>
          <w:sz w:val="28"/>
          <w:szCs w:val="28"/>
          <w:bdr w:val="none" w:color="auto" w:sz="0" w:space="0"/>
          <w:shd w:val="clear" w:fill="FFFFFF"/>
        </w:rPr>
        <w:t>，一个自然年度医保基金</w:t>
      </w:r>
      <w:r>
        <w:rPr>
          <w:rStyle w:val="14"/>
          <w:rFonts w:hint="eastAsia" w:ascii="宋体" w:hAnsi="宋体" w:eastAsia="宋体" w:cs="宋体"/>
          <w:i w:val="0"/>
          <w:iCs w:val="0"/>
          <w:caps w:val="0"/>
          <w:color w:val="3F3F3F"/>
          <w:spacing w:val="23"/>
          <w:sz w:val="28"/>
          <w:szCs w:val="28"/>
          <w:bdr w:val="none" w:color="auto" w:sz="0" w:space="0"/>
          <w:shd w:val="clear" w:fill="FFFFFF"/>
        </w:rPr>
        <w:t>最高支付限额在职职工1500元、退休职工1700元</w:t>
      </w:r>
      <w:r>
        <w:rPr>
          <w:rFonts w:hint="eastAsia" w:ascii="宋体" w:hAnsi="宋体" w:eastAsia="宋体" w:cs="宋体"/>
          <w:i w:val="0"/>
          <w:iCs w:val="0"/>
          <w:caps w:val="0"/>
          <w:color w:val="3F3F3F"/>
          <w:spacing w:val="23"/>
          <w:sz w:val="28"/>
          <w:szCs w:val="28"/>
          <w:bdr w:val="none" w:color="auto" w:sz="0" w:space="0"/>
          <w:shd w:val="clear" w:fill="FFFFFF"/>
        </w:rPr>
        <w:t>，定点零售药店与定点医疗机构职工门诊统筹年度支付限额合并计算。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52"/>
          <w:szCs w:val="52"/>
          <w:bdr w:val="none" w:color="auto" w:sz="0" w:space="0"/>
          <w:shd w:val="clear" w:fill="FFFFFF"/>
        </w:rPr>
        <w:t>02</w:t>
      </w:r>
      <w:r>
        <w:rPr>
          <w:rFonts w:hint="eastAsia" w:ascii="宋体" w:hAnsi="宋体" w:eastAsia="宋体" w:cs="宋体"/>
          <w:b/>
          <w:bCs/>
          <w:i w:val="0"/>
          <w:iCs w:val="0"/>
          <w:caps w:val="0"/>
          <w:color w:val="0070C0"/>
          <w:spacing w:val="23"/>
          <w:sz w:val="28"/>
          <w:szCs w:val="28"/>
          <w:bdr w:val="none" w:color="auto" w:sz="0" w:space="0"/>
          <w:shd w:val="clear" w:fill="FFFFFF"/>
        </w:rPr>
        <w:t> </w:t>
      </w:r>
      <w:r>
        <w:rPr>
          <w:rFonts w:hint="eastAsia" w:ascii="宋体" w:hAnsi="宋体" w:eastAsia="宋体" w:cs="宋体"/>
          <w:b/>
          <w:bCs/>
          <w:i w:val="0"/>
          <w:iCs w:val="0"/>
          <w:caps w:val="0"/>
          <w:color w:val="3F3F3F"/>
          <w:spacing w:val="23"/>
          <w:sz w:val="28"/>
          <w:szCs w:val="28"/>
          <w:bdr w:val="none" w:color="auto" w:sz="0" w:space="0"/>
          <w:shd w:val="clear" w:fill="FFFFFF"/>
        </w:rPr>
        <w:t>地方报销额度各有不同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梳理近期各地对“药店纳入门诊统筹”政策发布的相关解释公告可知，各地的统筹基金起付标准、支付限额等各有不同。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28"/>
          <w:szCs w:val="28"/>
          <w:bdr w:val="none" w:color="auto" w:sz="0" w:space="0"/>
          <w:shd w:val="clear" w:fill="FFFFFF"/>
        </w:rPr>
        <w:t>广东广州</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2023年退休人员普通门诊最高支付限额为10100元/年，较改革前提高6500元;在职职工最高支付限额为7200元/年，较改革前提高3600元。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另外，报销比例也有提高。普通门诊不设起付标准，报销比例提高了5到25个百分点。基层医疗机构（基层中医），在职职工报销比例80%，退休人员报销比例85%；非基层中医医疗机构，专科和其他医疗机构，在职职工报销比例65%，退休人员报销比例70%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28"/>
          <w:szCs w:val="28"/>
          <w:bdr w:val="none" w:color="auto" w:sz="0" w:space="0"/>
          <w:shd w:val="clear" w:fill="FFFFFF"/>
        </w:rPr>
        <w:t>内蒙古呼和浩特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在呼和浩特市，开通门诊统筹保障后，退休人员待遇支付由原来的4000元提高到6000元，高于在职职工。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一年内参保职工在定点医药机构发生的符合政策的医疗费用超过起付标准的，由统筹基金按比例支付，在职人员在定点零售药店按60%支付，退休人员按70%支付，年度支付限额为2000元。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28"/>
          <w:szCs w:val="28"/>
          <w:bdr w:val="none" w:color="auto" w:sz="0" w:space="0"/>
          <w:shd w:val="clear" w:fill="FFFFFF"/>
        </w:rPr>
        <w:t>新疆乌鲁木齐</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3月1日，乌鲁木齐将符合条件的92家定点零售药店纳入门诊统筹结算范围。在职参保职工可享受75%报销，医疗满年限退休职工可享受80%报销，首次起付标准为20元，第二次及以后起付标准为10元，单次最高支付限额分别为200元，年度支付限额3000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28"/>
          <w:szCs w:val="28"/>
          <w:bdr w:val="none" w:color="auto" w:sz="0" w:space="0"/>
          <w:shd w:val="clear" w:fill="FFFFFF"/>
        </w:rPr>
        <w:t>江苏苏州</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医保门诊统筹待遇的起付标准：在职职工为600元，退休职工为400元。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门诊统筹年度最高支付限额为13000元，其中在起付标准以上至3000元以内的门诊统筹支付额度，可以在C级门诊类定点医疗机构和定点零售药店使用。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28"/>
          <w:szCs w:val="28"/>
          <w:bdr w:val="none" w:color="auto" w:sz="0" w:space="0"/>
          <w:shd w:val="clear" w:fill="FFFFFF"/>
        </w:rPr>
        <w:t>四川宜宾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医保门诊统筹待遇的起付标准：在职职工为200元，退休职工为150元。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门诊统筹支付年度限额：在职职工为1200元，退休职工为1600元。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28"/>
          <w:szCs w:val="28"/>
          <w:bdr w:val="none" w:color="auto" w:sz="0" w:space="0"/>
          <w:shd w:val="clear" w:fill="FFFFFF"/>
        </w:rPr>
        <w:t>湖北武汉</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普通门诊统筹起付标准按年度设定，在一个自然年度内累计计算。在职人员起付标准为700元，退休人员起付标准为500元。年度支付限额为：在职人员3500元，退休人员4000元。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28"/>
          <w:szCs w:val="28"/>
          <w:bdr w:val="none" w:color="auto" w:sz="0" w:space="0"/>
          <w:shd w:val="clear" w:fill="FFFFFF"/>
        </w:rPr>
        <w:t>山西省</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在职职工每年统筹基金报销1800元、退休人员报销2000元，政策范围内报销比例达到50%以上。</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在一个自然年度内，在职职工门诊统筹年度最高支付限额为1800元。门诊统筹起付标准按次设定，参保职工在三类、二类、一类收费价格医疗机构就诊，门诊统筹起付标准分别为30元/次、50元/次、80元/次，符合规定的医疗费用由统筹基金按规定比例支付。</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28"/>
          <w:szCs w:val="28"/>
          <w:bdr w:val="none" w:color="auto" w:sz="0" w:space="0"/>
          <w:shd w:val="clear" w:fill="FFFFFF"/>
        </w:rPr>
        <w:t>江西省</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参保人员凭定点医药机构处方在门诊统筹定点零售药店购买医保目录内药品发生的费用支付比例为在职人员60%、退休人员65%。个人负担部分按照统筹地区职工医保个人账户使用范围的规定支付。定点零售药店提供的配送服务费用不纳入医保支付范围。</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一个自然年度内，在职职工门诊统筹基金最高支付额度为1800元。享受职工医保退休待遇的人员门诊统筹基金最高支付额度为2000元。门诊统筹基金支付额度不累积，年末自动清零。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r>
        <w:rPr>
          <w:rFonts w:hint="eastAsia" w:ascii="宋体" w:hAnsi="宋体" w:eastAsia="宋体" w:cs="宋体"/>
          <w:b/>
          <w:bCs/>
          <w:i w:val="0"/>
          <w:iCs w:val="0"/>
          <w:caps w:val="0"/>
          <w:color w:val="0070C0"/>
          <w:spacing w:val="23"/>
          <w:sz w:val="52"/>
          <w:szCs w:val="52"/>
          <w:bdr w:val="none" w:color="auto" w:sz="0" w:space="0"/>
          <w:shd w:val="clear" w:fill="FFFFFF"/>
        </w:rPr>
        <w:t>03</w:t>
      </w:r>
      <w:r>
        <w:rPr>
          <w:rFonts w:hint="eastAsia" w:ascii="宋体" w:hAnsi="宋体" w:eastAsia="宋体" w:cs="宋体"/>
          <w:b/>
          <w:bCs/>
          <w:i w:val="0"/>
          <w:iCs w:val="0"/>
          <w:caps w:val="0"/>
          <w:color w:val="0070C0"/>
          <w:spacing w:val="23"/>
          <w:sz w:val="28"/>
          <w:szCs w:val="28"/>
          <w:bdr w:val="none" w:color="auto" w:sz="0" w:space="0"/>
          <w:shd w:val="clear" w:fill="FFFFFF"/>
        </w:rPr>
        <w:t> </w:t>
      </w:r>
      <w:r>
        <w:rPr>
          <w:rFonts w:hint="eastAsia" w:ascii="宋体" w:hAnsi="宋体" w:eastAsia="宋体" w:cs="宋体"/>
          <w:b/>
          <w:bCs/>
          <w:i w:val="0"/>
          <w:iCs w:val="0"/>
          <w:caps w:val="0"/>
          <w:color w:val="3F3F3F"/>
          <w:spacing w:val="23"/>
          <w:sz w:val="28"/>
          <w:szCs w:val="28"/>
          <w:bdr w:val="none" w:color="auto" w:sz="0" w:space="0"/>
          <w:shd w:val="clear" w:fill="FFFFFF"/>
        </w:rPr>
        <w:t>哪些药店可以吃到政策“红利”？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整体来看，“门诊统筹”政策对药店是相对利好的，但是否能完全弥补个帐减少所失去的收入，还未可知。特别是个帐减少之后，顾客对个账资金的使用会更谨慎，OTC的医保消费将大幅减少。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那么，哪些药店可以吃到政策的“红利”呢？</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从支付比例来看，</w:t>
      </w:r>
      <w:r>
        <w:rPr>
          <w:rStyle w:val="14"/>
          <w:rFonts w:hint="eastAsia" w:ascii="宋体" w:hAnsi="宋体" w:eastAsia="宋体" w:cs="宋体"/>
          <w:i w:val="0"/>
          <w:iCs w:val="0"/>
          <w:caps w:val="0"/>
          <w:color w:val="3F3F3F"/>
          <w:spacing w:val="23"/>
          <w:sz w:val="28"/>
          <w:szCs w:val="28"/>
          <w:bdr w:val="none" w:color="auto" w:sz="0" w:space="0"/>
          <w:shd w:val="clear" w:fill="FFFFFF"/>
        </w:rPr>
        <w:t>药店门诊统筹的医保待遇与基层等同</w:t>
      </w:r>
      <w:r>
        <w:rPr>
          <w:rFonts w:hint="eastAsia" w:ascii="宋体" w:hAnsi="宋体" w:eastAsia="宋体" w:cs="宋体"/>
          <w:i w:val="0"/>
          <w:iCs w:val="0"/>
          <w:caps w:val="0"/>
          <w:color w:val="3F3F3F"/>
          <w:spacing w:val="23"/>
          <w:sz w:val="28"/>
          <w:szCs w:val="28"/>
          <w:bdr w:val="none" w:color="auto" w:sz="0" w:space="0"/>
          <w:shd w:val="clear" w:fill="FFFFFF"/>
        </w:rPr>
        <w:t>，“定点零售药店门诊统筹的起付标准、支付比例和最高支付限额与本统筹地区定点基层医疗机构相同的医保待遇政策”。这意味着药店的起付线是最低的，医保报销比例是最高的，最高可以达到90%。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但是，药店纳入门诊统筹后，</w:t>
      </w:r>
      <w:r>
        <w:rPr>
          <w:rStyle w:val="14"/>
          <w:rFonts w:hint="eastAsia" w:ascii="宋体" w:hAnsi="宋体" w:eastAsia="宋体" w:cs="宋体"/>
          <w:i w:val="0"/>
          <w:iCs w:val="0"/>
          <w:caps w:val="0"/>
          <w:color w:val="3F3F3F"/>
          <w:spacing w:val="23"/>
          <w:sz w:val="28"/>
          <w:szCs w:val="28"/>
          <w:bdr w:val="none" w:color="auto" w:sz="0" w:space="0"/>
          <w:shd w:val="clear" w:fill="FFFFFF"/>
        </w:rPr>
        <w:t>会对医保资金的分配产生了一定压力</w:t>
      </w:r>
      <w:r>
        <w:rPr>
          <w:rFonts w:hint="eastAsia" w:ascii="宋体" w:hAnsi="宋体" w:eastAsia="宋体" w:cs="宋体"/>
          <w:i w:val="0"/>
          <w:iCs w:val="0"/>
          <w:caps w:val="0"/>
          <w:color w:val="3F3F3F"/>
          <w:spacing w:val="23"/>
          <w:sz w:val="28"/>
          <w:szCs w:val="28"/>
          <w:bdr w:val="none" w:color="auto" w:sz="0" w:space="0"/>
          <w:shd w:val="clear" w:fill="FFFFFF"/>
        </w:rPr>
        <w:t>。改革前，每家药店的医保额度主要是个帐使用的总额度，与统筹基金的关系不大。由于统筹区的门诊统筹药店较少，所以这些药店的医保额度可由医疗机构划拨，以院边店为主，有些直接就是医院自己开设的药店。改革后，统筹基金的额度不仅要分配给其他医疗机构的，还要兼顾每个统筹区的门诊统筹药店（涵盖范围更广）。由此，或许就能大致分出</w:t>
      </w:r>
      <w:r>
        <w:rPr>
          <w:rStyle w:val="14"/>
          <w:rFonts w:hint="eastAsia" w:ascii="宋体" w:hAnsi="宋体" w:eastAsia="宋体" w:cs="宋体"/>
          <w:i w:val="0"/>
          <w:iCs w:val="0"/>
          <w:caps w:val="0"/>
          <w:color w:val="3F3F3F"/>
          <w:spacing w:val="23"/>
          <w:sz w:val="28"/>
          <w:szCs w:val="28"/>
          <w:bdr w:val="none" w:color="auto" w:sz="0" w:space="0"/>
          <w:shd w:val="clear" w:fill="FFFFFF"/>
        </w:rPr>
        <w:t>院边店</w:t>
      </w:r>
      <w:r>
        <w:rPr>
          <w:rFonts w:hint="eastAsia" w:ascii="宋体" w:hAnsi="宋体" w:eastAsia="宋体" w:cs="宋体"/>
          <w:i w:val="0"/>
          <w:iCs w:val="0"/>
          <w:caps w:val="0"/>
          <w:color w:val="3F3F3F"/>
          <w:spacing w:val="23"/>
          <w:sz w:val="28"/>
          <w:szCs w:val="28"/>
          <w:bdr w:val="none" w:color="auto" w:sz="0" w:space="0"/>
          <w:shd w:val="clear" w:fill="FFFFFF"/>
        </w:rPr>
        <w:t>和</w:t>
      </w:r>
      <w:r>
        <w:rPr>
          <w:rStyle w:val="14"/>
          <w:rFonts w:hint="eastAsia" w:ascii="宋体" w:hAnsi="宋体" w:eastAsia="宋体" w:cs="宋体"/>
          <w:i w:val="0"/>
          <w:iCs w:val="0"/>
          <w:caps w:val="0"/>
          <w:color w:val="3F3F3F"/>
          <w:spacing w:val="23"/>
          <w:sz w:val="28"/>
          <w:szCs w:val="28"/>
          <w:bdr w:val="none" w:color="auto" w:sz="0" w:space="0"/>
          <w:shd w:val="clear" w:fill="FFFFFF"/>
        </w:rPr>
        <w:t>其他零售药店</w:t>
      </w:r>
      <w:r>
        <w:rPr>
          <w:rFonts w:hint="eastAsia" w:ascii="宋体" w:hAnsi="宋体" w:eastAsia="宋体" w:cs="宋体"/>
          <w:i w:val="0"/>
          <w:iCs w:val="0"/>
          <w:caps w:val="0"/>
          <w:color w:val="3F3F3F"/>
          <w:spacing w:val="23"/>
          <w:sz w:val="28"/>
          <w:szCs w:val="28"/>
          <w:bdr w:val="none" w:color="auto" w:sz="0" w:space="0"/>
          <w:shd w:val="clear" w:fill="FFFFFF"/>
        </w:rPr>
        <w:t>两大类别了。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另外，现在药店对于加入门诊统筹的一大顾虑就是“</w:t>
      </w:r>
      <w:r>
        <w:rPr>
          <w:rStyle w:val="14"/>
          <w:rFonts w:hint="eastAsia" w:ascii="宋体" w:hAnsi="宋体" w:eastAsia="宋体" w:cs="宋体"/>
          <w:i w:val="0"/>
          <w:iCs w:val="0"/>
          <w:caps w:val="0"/>
          <w:color w:val="3F3F3F"/>
          <w:spacing w:val="23"/>
          <w:sz w:val="28"/>
          <w:szCs w:val="28"/>
          <w:bdr w:val="none" w:color="auto" w:sz="0" w:space="0"/>
          <w:shd w:val="clear" w:fill="FFFFFF"/>
        </w:rPr>
        <w:t>处方从哪里来？如何能在药店实现流转？</w:t>
      </w:r>
      <w:r>
        <w:rPr>
          <w:rFonts w:hint="eastAsia" w:ascii="宋体" w:hAnsi="宋体" w:eastAsia="宋体" w:cs="宋体"/>
          <w:i w:val="0"/>
          <w:iCs w:val="0"/>
          <w:caps w:val="0"/>
          <w:color w:val="3F3F3F"/>
          <w:spacing w:val="23"/>
          <w:sz w:val="28"/>
          <w:szCs w:val="28"/>
          <w:bdr w:val="none" w:color="auto" w:sz="0" w:space="0"/>
          <w:shd w:val="clear" w:fill="FFFFFF"/>
        </w:rPr>
        <w:t>”，还有药店人也疑惑，“</w:t>
      </w:r>
      <w:r>
        <w:rPr>
          <w:rStyle w:val="14"/>
          <w:rFonts w:hint="eastAsia" w:ascii="宋体" w:hAnsi="宋体" w:eastAsia="宋体" w:cs="宋体"/>
          <w:i w:val="0"/>
          <w:iCs w:val="0"/>
          <w:caps w:val="0"/>
          <w:color w:val="3F3F3F"/>
          <w:spacing w:val="23"/>
          <w:sz w:val="28"/>
          <w:szCs w:val="28"/>
          <w:bdr w:val="none" w:color="auto" w:sz="0" w:space="0"/>
          <w:shd w:val="clear" w:fill="FFFFFF"/>
        </w:rPr>
        <w:t>互联网医院开具的处方能获得门诊统筹报销吗？</w:t>
      </w:r>
      <w:r>
        <w:rPr>
          <w:rFonts w:hint="eastAsia" w:ascii="宋体" w:hAnsi="宋体" w:eastAsia="宋体" w:cs="宋体"/>
          <w:i w:val="0"/>
          <w:iCs w:val="0"/>
          <w:caps w:val="0"/>
          <w:color w:val="3F3F3F"/>
          <w:spacing w:val="23"/>
          <w:sz w:val="28"/>
          <w:szCs w:val="28"/>
          <w:bdr w:val="none" w:color="auto" w:sz="0" w:space="0"/>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对此，国家医保局2月15日发布的《通知》明确，“处方必须来自定点医药机构”，也就是说，非医保定点医疗机构开具的处方无法获得门诊统筹报销。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自从互联网医院出现以来，药店一直想通过互联网医疗来获得处方以合规销售处方药。原先这部分费用可以通过个帐获得报销，但随着个帐的缩减，个人用户更倾向于使用门诊统筹资金来获得报销，但这里的处方必须来自定点医疗机构，而不是其他互联网平台，这意味着</w:t>
      </w:r>
      <w:r>
        <w:rPr>
          <w:rStyle w:val="14"/>
          <w:rFonts w:hint="eastAsia" w:ascii="宋体" w:hAnsi="宋体" w:eastAsia="宋体" w:cs="宋体"/>
          <w:i w:val="0"/>
          <w:iCs w:val="0"/>
          <w:caps w:val="0"/>
          <w:color w:val="3F3F3F"/>
          <w:spacing w:val="23"/>
          <w:sz w:val="28"/>
          <w:szCs w:val="28"/>
          <w:bdr w:val="none" w:color="auto" w:sz="0" w:space="0"/>
          <w:shd w:val="clear" w:fill="FFFFFF"/>
        </w:rPr>
        <w:t>只有医院的互联网医院才能合规</w:t>
      </w:r>
      <w:r>
        <w:rPr>
          <w:rFonts w:hint="eastAsia" w:ascii="宋体" w:hAnsi="宋体" w:eastAsia="宋体" w:cs="宋体"/>
          <w:i w:val="0"/>
          <w:iCs w:val="0"/>
          <w:caps w:val="0"/>
          <w:color w:val="3F3F3F"/>
          <w:spacing w:val="23"/>
          <w:sz w:val="28"/>
          <w:szCs w:val="28"/>
          <w:bdr w:val="none" w:color="auto" w:sz="0" w:space="0"/>
          <w:shd w:val="clear" w:fill="FFFFFF"/>
        </w:rPr>
        <w:t>。但医院的互联网医院或许更愿意将病人留在院内消化，其他药店能由此获取的收入将明显缩减。</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所以，处方流转还有赖于建成全国统一的医保信息平台，让定点医疗机构的电子处方顺畅流转到定点零售药店”。但事实上，这样的</w:t>
      </w:r>
      <w:r>
        <w:rPr>
          <w:rStyle w:val="14"/>
          <w:rFonts w:hint="eastAsia" w:ascii="宋体" w:hAnsi="宋体" w:eastAsia="宋体" w:cs="宋体"/>
          <w:i w:val="0"/>
          <w:iCs w:val="0"/>
          <w:caps w:val="0"/>
          <w:color w:val="3F3F3F"/>
          <w:spacing w:val="23"/>
          <w:sz w:val="28"/>
          <w:szCs w:val="28"/>
          <w:bdr w:val="none" w:color="auto" w:sz="0" w:space="0"/>
          <w:shd w:val="clear" w:fill="FFFFFF"/>
        </w:rPr>
        <w:t>流转体系其实更利好院边店</w:t>
      </w:r>
      <w:r>
        <w:rPr>
          <w:rFonts w:hint="eastAsia" w:ascii="宋体" w:hAnsi="宋体" w:eastAsia="宋体" w:cs="宋体"/>
          <w:i w:val="0"/>
          <w:iCs w:val="0"/>
          <w:caps w:val="0"/>
          <w:color w:val="3F3F3F"/>
          <w:spacing w:val="23"/>
          <w:sz w:val="28"/>
          <w:szCs w:val="28"/>
          <w:bdr w:val="none" w:color="auto" w:sz="0" w:space="0"/>
          <w:shd w:val="clear" w:fill="FFFFFF"/>
        </w:rPr>
        <w:t>，因为与医疗机构能建立长期合作关系的主要集中在院边店，</w:t>
      </w:r>
      <w:r>
        <w:rPr>
          <w:rStyle w:val="14"/>
          <w:rFonts w:hint="eastAsia" w:ascii="宋体" w:hAnsi="宋体" w:eastAsia="宋体" w:cs="宋体"/>
          <w:i w:val="0"/>
          <w:iCs w:val="0"/>
          <w:caps w:val="0"/>
          <w:color w:val="3F3F3F"/>
          <w:spacing w:val="23"/>
          <w:sz w:val="28"/>
          <w:szCs w:val="28"/>
          <w:bdr w:val="none" w:color="auto" w:sz="0" w:space="0"/>
          <w:shd w:val="clear" w:fill="FFFFFF"/>
        </w:rPr>
        <w:t>院外的其他药店很难能够承接到外流的处方</w:t>
      </w:r>
      <w:r>
        <w:rPr>
          <w:rFonts w:hint="eastAsia" w:ascii="宋体" w:hAnsi="宋体" w:eastAsia="宋体" w:cs="宋体"/>
          <w:i w:val="0"/>
          <w:iCs w:val="0"/>
          <w:caps w:val="0"/>
          <w:color w:val="3F3F3F"/>
          <w:spacing w:val="23"/>
          <w:sz w:val="28"/>
          <w:szCs w:val="28"/>
          <w:bdr w:val="none" w:color="auto" w:sz="0" w:space="0"/>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顺着这个思路推导，</w:t>
      </w:r>
      <w:r>
        <w:rPr>
          <w:rStyle w:val="14"/>
          <w:rFonts w:hint="eastAsia" w:ascii="宋体" w:hAnsi="宋体" w:eastAsia="宋体" w:cs="宋体"/>
          <w:i w:val="0"/>
          <w:iCs w:val="0"/>
          <w:caps w:val="0"/>
          <w:color w:val="0070C0"/>
          <w:spacing w:val="23"/>
          <w:sz w:val="28"/>
          <w:szCs w:val="28"/>
          <w:bdr w:val="none" w:color="auto" w:sz="0" w:space="0"/>
          <w:shd w:val="clear" w:fill="FFFFFF"/>
        </w:rPr>
        <w:t>或许未来整个药品零售市场将分为与医院有更多合作联接的院边店和其他零售药店</w:t>
      </w:r>
      <w:r>
        <w:rPr>
          <w:rFonts w:hint="eastAsia" w:ascii="宋体" w:hAnsi="宋体" w:eastAsia="宋体" w:cs="宋体"/>
          <w:i w:val="0"/>
          <w:iCs w:val="0"/>
          <w:caps w:val="0"/>
          <w:color w:val="3F3F3F"/>
          <w:spacing w:val="23"/>
          <w:sz w:val="28"/>
          <w:szCs w:val="28"/>
          <w:bdr w:val="none" w:color="auto" w:sz="0" w:space="0"/>
          <w:shd w:val="clear" w:fill="FFFFFF"/>
        </w:rPr>
        <w:t>。</w:t>
      </w:r>
      <w:r>
        <w:rPr>
          <w:rStyle w:val="14"/>
          <w:rFonts w:hint="eastAsia" w:ascii="宋体" w:hAnsi="宋体" w:eastAsia="宋体" w:cs="宋体"/>
          <w:i w:val="0"/>
          <w:iCs w:val="0"/>
          <w:caps w:val="0"/>
          <w:color w:val="3F3F3F"/>
          <w:spacing w:val="23"/>
          <w:sz w:val="28"/>
          <w:szCs w:val="28"/>
          <w:bdr w:val="none" w:color="auto" w:sz="0" w:space="0"/>
          <w:shd w:val="clear" w:fill="FFFFFF"/>
        </w:rPr>
        <w:t>院边店</w:t>
      </w:r>
      <w:r>
        <w:rPr>
          <w:rFonts w:hint="eastAsia" w:ascii="宋体" w:hAnsi="宋体" w:eastAsia="宋体" w:cs="宋体"/>
          <w:i w:val="0"/>
          <w:iCs w:val="0"/>
          <w:caps w:val="0"/>
          <w:color w:val="3F3F3F"/>
          <w:spacing w:val="23"/>
          <w:sz w:val="28"/>
          <w:szCs w:val="28"/>
          <w:bdr w:val="none" w:color="auto" w:sz="0" w:space="0"/>
          <w:shd w:val="clear" w:fill="FFFFFF"/>
        </w:rPr>
        <w:t>主要承接部分高值耗材和药品，虽然营收较高，但由于缺乏议价优势，毛利会偏低，利润较少。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由于医保个帐的减少和对骗保的打压，</w:t>
      </w:r>
      <w:r>
        <w:rPr>
          <w:rStyle w:val="14"/>
          <w:rFonts w:hint="eastAsia" w:ascii="宋体" w:hAnsi="宋体" w:eastAsia="宋体" w:cs="宋体"/>
          <w:i w:val="0"/>
          <w:iCs w:val="0"/>
          <w:caps w:val="0"/>
          <w:color w:val="3F3F3F"/>
          <w:spacing w:val="23"/>
          <w:sz w:val="28"/>
          <w:szCs w:val="28"/>
          <w:bdr w:val="none" w:color="auto" w:sz="0" w:space="0"/>
          <w:shd w:val="clear" w:fill="FFFFFF"/>
        </w:rPr>
        <w:t>其他零售药店</w:t>
      </w:r>
      <w:r>
        <w:rPr>
          <w:rFonts w:hint="eastAsia" w:ascii="宋体" w:hAnsi="宋体" w:eastAsia="宋体" w:cs="宋体"/>
          <w:i w:val="0"/>
          <w:iCs w:val="0"/>
          <w:caps w:val="0"/>
          <w:color w:val="3F3F3F"/>
          <w:spacing w:val="23"/>
          <w:sz w:val="28"/>
          <w:szCs w:val="28"/>
          <w:bdr w:val="none" w:color="auto" w:sz="0" w:space="0"/>
          <w:shd w:val="clear" w:fill="FFFFFF"/>
        </w:rPr>
        <w:t>将越来越减少对医保的依赖，日趋向大健康方向发展，主要销售高毛利的大健康产品和OTC药品，以自费用户为主，虽然单店营收不高，但也能保持一定的净利润。</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652" w:firstLineChars="200"/>
        <w:jc w:val="both"/>
        <w:rPr>
          <w:rFonts w:hint="eastAsia" w:ascii="宋体" w:hAnsi="宋体" w:eastAsia="宋体" w:cs="宋体"/>
          <w:sz w:val="28"/>
          <w:szCs w:val="28"/>
        </w:rPr>
      </w:pPr>
      <w:r>
        <w:rPr>
          <w:rFonts w:hint="eastAsia" w:ascii="宋体" w:hAnsi="宋体" w:eastAsia="宋体" w:cs="宋体"/>
          <w:i w:val="0"/>
          <w:iCs w:val="0"/>
          <w:caps w:val="0"/>
          <w:color w:val="3F3F3F"/>
          <w:spacing w:val="23"/>
          <w:sz w:val="28"/>
          <w:szCs w:val="28"/>
          <w:bdr w:val="none" w:color="auto" w:sz="0" w:space="0"/>
          <w:shd w:val="clear" w:fill="FFFFFF"/>
        </w:rPr>
        <w:t>不过，后续门诊统筹政策的实施效果具体如何，还要看更多一线药店人的反馈。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spacing w:before="0" w:beforeAutospacing="0" w:after="0" w:afterAutospacing="0"/>
        <w:ind w:right="0"/>
        <w:jc w:val="left"/>
        <w:rPr>
          <w:rFonts w:hint="eastAsia" w:ascii="宋体" w:hAnsi="宋体" w:eastAsia="宋体" w:cs="宋体"/>
          <w:i w:val="0"/>
          <w:iCs w:val="0"/>
          <w:caps w:val="0"/>
          <w:color w:val="222222"/>
          <w:spacing w:val="8"/>
          <w:kern w:val="0"/>
          <w:sz w:val="28"/>
          <w:szCs w:val="28"/>
          <w:shd w:val="clear" w:fill="FFFFFF"/>
          <w:lang w:val="en-US" w:eastAsia="zh-CN" w:bidi="ar-SA"/>
        </w:rPr>
      </w:pPr>
    </w:p>
    <w:sectPr>
      <w:headerReference r:id="rId4" w:type="first"/>
      <w:footerReference r:id="rId6" w:type="first"/>
      <w:headerReference r:id="rId3" w:type="default"/>
      <w:footerReference r:id="rId5" w:type="default"/>
      <w:pgSz w:w="11906" w:h="16838"/>
      <w:pgMar w:top="709" w:right="1797" w:bottom="426"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iti SC Light">
    <w:altName w:val="微软雅黑"/>
    <w:panose1 w:val="00000000000000000000"/>
    <w:charset w:val="50"/>
    <w:family w:val="auto"/>
    <w:pitch w:val="default"/>
    <w:sig w:usb0="00000000" w:usb1="00000000" w:usb2="00000010" w:usb3="00000000" w:csb0="00040000" w:csb1="00000000"/>
  </w:font>
  <w:font w:name="Microsoft YaHei UI">
    <w:panose1 w:val="020B0503020204020204"/>
    <w:charset w:val="86"/>
    <w:family w:val="auto"/>
    <w:pitch w:val="default"/>
    <w:sig w:usb0="80000287" w:usb1="28C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8"/>
          <w:jc w:val="center"/>
        </w:pPr>
        <w:r>
          <w:fldChar w:fldCharType="begin"/>
        </w:r>
        <w:r>
          <w:instrText xml:space="preserve"> PAGE   \* MERGEFORMAT </w:instrText>
        </w:r>
        <w:r>
          <w:fldChar w:fldCharType="separate"/>
        </w:r>
        <w:r>
          <w:rPr>
            <w:lang w:val="zh-CN"/>
          </w:rPr>
          <w:t>11</w:t>
        </w:r>
        <w:r>
          <w:rPr>
            <w:lang w:val="zh-CN"/>
          </w:rP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7B9FD2"/>
    <w:multiLevelType w:val="singleLevel"/>
    <w:tmpl w:val="4F7B9FD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lZDFhOWE2OWU5ZjA0MTU1MzhkOTE3ZDc0NDM3NTQifQ=="/>
  </w:docVars>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3E05"/>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3BD0"/>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1FCA"/>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63FB"/>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7A6"/>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C75"/>
    <w:rsid w:val="001A5FCE"/>
    <w:rsid w:val="001A621D"/>
    <w:rsid w:val="001B0448"/>
    <w:rsid w:val="001B07E5"/>
    <w:rsid w:val="001B0EFF"/>
    <w:rsid w:val="001B1199"/>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7B4"/>
    <w:rsid w:val="001F2D98"/>
    <w:rsid w:val="001F2F68"/>
    <w:rsid w:val="001F33AE"/>
    <w:rsid w:val="001F3D96"/>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2A6D"/>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2EE"/>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B741C"/>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E68AF"/>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60"/>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ADF"/>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08F"/>
    <w:rsid w:val="00407DE5"/>
    <w:rsid w:val="00412203"/>
    <w:rsid w:val="00412CF6"/>
    <w:rsid w:val="00413EE7"/>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09F5"/>
    <w:rsid w:val="00441126"/>
    <w:rsid w:val="004424C2"/>
    <w:rsid w:val="004434D1"/>
    <w:rsid w:val="004443DB"/>
    <w:rsid w:val="00444478"/>
    <w:rsid w:val="0044561B"/>
    <w:rsid w:val="00445B89"/>
    <w:rsid w:val="00446986"/>
    <w:rsid w:val="00447011"/>
    <w:rsid w:val="004472D7"/>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F76"/>
    <w:rsid w:val="00477D8A"/>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3FB9"/>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974"/>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8E5"/>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593D"/>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5DB8"/>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88"/>
    <w:rsid w:val="006568CA"/>
    <w:rsid w:val="006570EB"/>
    <w:rsid w:val="00657192"/>
    <w:rsid w:val="006571BE"/>
    <w:rsid w:val="0066071E"/>
    <w:rsid w:val="00660A24"/>
    <w:rsid w:val="00660B52"/>
    <w:rsid w:val="00660FFD"/>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6A7"/>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31"/>
    <w:rsid w:val="00807EAA"/>
    <w:rsid w:val="00811D10"/>
    <w:rsid w:val="00812EAC"/>
    <w:rsid w:val="008138EC"/>
    <w:rsid w:val="008138F0"/>
    <w:rsid w:val="00813AFE"/>
    <w:rsid w:val="00814D85"/>
    <w:rsid w:val="008151F5"/>
    <w:rsid w:val="00815C2E"/>
    <w:rsid w:val="00816D2F"/>
    <w:rsid w:val="00816EDB"/>
    <w:rsid w:val="00817855"/>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026"/>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DDB"/>
    <w:rsid w:val="008C6853"/>
    <w:rsid w:val="008C73C2"/>
    <w:rsid w:val="008C7A23"/>
    <w:rsid w:val="008D0520"/>
    <w:rsid w:val="008D0CFE"/>
    <w:rsid w:val="008D0F76"/>
    <w:rsid w:val="008D11C0"/>
    <w:rsid w:val="008D194F"/>
    <w:rsid w:val="008D35ED"/>
    <w:rsid w:val="008D4328"/>
    <w:rsid w:val="008D4801"/>
    <w:rsid w:val="008D60D0"/>
    <w:rsid w:val="008D7006"/>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5D39"/>
    <w:rsid w:val="009464CD"/>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A7601"/>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624"/>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680E"/>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42E9"/>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304F"/>
    <w:rsid w:val="00C13B82"/>
    <w:rsid w:val="00C15A38"/>
    <w:rsid w:val="00C15CCC"/>
    <w:rsid w:val="00C1675A"/>
    <w:rsid w:val="00C1732A"/>
    <w:rsid w:val="00C17AEB"/>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2E8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40E3"/>
    <w:rsid w:val="00C8480F"/>
    <w:rsid w:val="00C852D6"/>
    <w:rsid w:val="00C8634A"/>
    <w:rsid w:val="00C86886"/>
    <w:rsid w:val="00C874B9"/>
    <w:rsid w:val="00C879B5"/>
    <w:rsid w:val="00C879F5"/>
    <w:rsid w:val="00C87D15"/>
    <w:rsid w:val="00C87F69"/>
    <w:rsid w:val="00C902D1"/>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5AF3"/>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4EB"/>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651"/>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1B00"/>
    <w:rsid w:val="00DB1D68"/>
    <w:rsid w:val="00DB1EB5"/>
    <w:rsid w:val="00DB2967"/>
    <w:rsid w:val="00DB32C0"/>
    <w:rsid w:val="00DB3352"/>
    <w:rsid w:val="00DB3D02"/>
    <w:rsid w:val="00DB402F"/>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574E"/>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7FE"/>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431"/>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0FF7CC0"/>
    <w:rsid w:val="01635FE7"/>
    <w:rsid w:val="016F637D"/>
    <w:rsid w:val="0180000E"/>
    <w:rsid w:val="01F076C8"/>
    <w:rsid w:val="022F6E3F"/>
    <w:rsid w:val="043929F2"/>
    <w:rsid w:val="05A25F04"/>
    <w:rsid w:val="06B122BF"/>
    <w:rsid w:val="07534106"/>
    <w:rsid w:val="07554B90"/>
    <w:rsid w:val="07BF1379"/>
    <w:rsid w:val="07DF5B1D"/>
    <w:rsid w:val="08A31CBC"/>
    <w:rsid w:val="09D05DEC"/>
    <w:rsid w:val="09F63639"/>
    <w:rsid w:val="0BEF1E5E"/>
    <w:rsid w:val="0C231896"/>
    <w:rsid w:val="0CCC4F6A"/>
    <w:rsid w:val="10283414"/>
    <w:rsid w:val="11820132"/>
    <w:rsid w:val="11951C6C"/>
    <w:rsid w:val="11D108B4"/>
    <w:rsid w:val="11DC15A3"/>
    <w:rsid w:val="120E4283"/>
    <w:rsid w:val="12FE547B"/>
    <w:rsid w:val="13105CBE"/>
    <w:rsid w:val="13725B5C"/>
    <w:rsid w:val="13D4113C"/>
    <w:rsid w:val="1437337D"/>
    <w:rsid w:val="14C15224"/>
    <w:rsid w:val="151A2CC3"/>
    <w:rsid w:val="152B31F8"/>
    <w:rsid w:val="15D77075"/>
    <w:rsid w:val="162669D4"/>
    <w:rsid w:val="16B54D41"/>
    <w:rsid w:val="16C62AAA"/>
    <w:rsid w:val="16CE3A0D"/>
    <w:rsid w:val="17744A6A"/>
    <w:rsid w:val="17B369E0"/>
    <w:rsid w:val="180D4573"/>
    <w:rsid w:val="18347947"/>
    <w:rsid w:val="18AB5CBA"/>
    <w:rsid w:val="18DB1319"/>
    <w:rsid w:val="19174EF9"/>
    <w:rsid w:val="1AEA2059"/>
    <w:rsid w:val="1BDA2E8E"/>
    <w:rsid w:val="1CD1367D"/>
    <w:rsid w:val="1D806D30"/>
    <w:rsid w:val="1DC1536C"/>
    <w:rsid w:val="1E58289A"/>
    <w:rsid w:val="1F191D04"/>
    <w:rsid w:val="1FEC11A7"/>
    <w:rsid w:val="20E241CE"/>
    <w:rsid w:val="2189211E"/>
    <w:rsid w:val="21F57C31"/>
    <w:rsid w:val="226D27CD"/>
    <w:rsid w:val="235F1A86"/>
    <w:rsid w:val="2384659F"/>
    <w:rsid w:val="24263CBA"/>
    <w:rsid w:val="24CF7447"/>
    <w:rsid w:val="25D043BC"/>
    <w:rsid w:val="260B5C01"/>
    <w:rsid w:val="260F7586"/>
    <w:rsid w:val="261F4388"/>
    <w:rsid w:val="264045E2"/>
    <w:rsid w:val="2689550D"/>
    <w:rsid w:val="26A0199C"/>
    <w:rsid w:val="26AB0EC4"/>
    <w:rsid w:val="27696974"/>
    <w:rsid w:val="27CC56CF"/>
    <w:rsid w:val="28435462"/>
    <w:rsid w:val="287B18F7"/>
    <w:rsid w:val="29302639"/>
    <w:rsid w:val="29541305"/>
    <w:rsid w:val="29B64C00"/>
    <w:rsid w:val="2AD27817"/>
    <w:rsid w:val="2AD55E55"/>
    <w:rsid w:val="2AE67127"/>
    <w:rsid w:val="2B72149A"/>
    <w:rsid w:val="2B752FD7"/>
    <w:rsid w:val="2D2129B9"/>
    <w:rsid w:val="2D3C2D65"/>
    <w:rsid w:val="2E652751"/>
    <w:rsid w:val="2EBF09CC"/>
    <w:rsid w:val="2F8702E9"/>
    <w:rsid w:val="2F972F62"/>
    <w:rsid w:val="2FAF3271"/>
    <w:rsid w:val="2FB45DE0"/>
    <w:rsid w:val="2FE52C0C"/>
    <w:rsid w:val="3018437E"/>
    <w:rsid w:val="304D44B0"/>
    <w:rsid w:val="306A241D"/>
    <w:rsid w:val="30FB7161"/>
    <w:rsid w:val="31376F9A"/>
    <w:rsid w:val="329830F5"/>
    <w:rsid w:val="332E3A59"/>
    <w:rsid w:val="34667B96"/>
    <w:rsid w:val="3500432B"/>
    <w:rsid w:val="350D428B"/>
    <w:rsid w:val="36003D4E"/>
    <w:rsid w:val="365A31BB"/>
    <w:rsid w:val="367F3BE8"/>
    <w:rsid w:val="37B74EB3"/>
    <w:rsid w:val="3A20171F"/>
    <w:rsid w:val="3B427B7F"/>
    <w:rsid w:val="3B49488C"/>
    <w:rsid w:val="3B645E68"/>
    <w:rsid w:val="3BC366A5"/>
    <w:rsid w:val="3C6C4FC1"/>
    <w:rsid w:val="3C914ACF"/>
    <w:rsid w:val="3D291B2A"/>
    <w:rsid w:val="3DF329A0"/>
    <w:rsid w:val="3DF645B9"/>
    <w:rsid w:val="3E94048C"/>
    <w:rsid w:val="3EC15781"/>
    <w:rsid w:val="3EF609D0"/>
    <w:rsid w:val="3F231C95"/>
    <w:rsid w:val="3F9A7540"/>
    <w:rsid w:val="3FC74C91"/>
    <w:rsid w:val="407F1B73"/>
    <w:rsid w:val="41287911"/>
    <w:rsid w:val="417E1065"/>
    <w:rsid w:val="41D6745D"/>
    <w:rsid w:val="42421F01"/>
    <w:rsid w:val="4264449E"/>
    <w:rsid w:val="42F74956"/>
    <w:rsid w:val="436573A1"/>
    <w:rsid w:val="4475430E"/>
    <w:rsid w:val="45057032"/>
    <w:rsid w:val="45B545EF"/>
    <w:rsid w:val="45E7197B"/>
    <w:rsid w:val="47251314"/>
    <w:rsid w:val="48F153A5"/>
    <w:rsid w:val="4947221A"/>
    <w:rsid w:val="4A47326A"/>
    <w:rsid w:val="4A831809"/>
    <w:rsid w:val="4AB02478"/>
    <w:rsid w:val="4AB8355D"/>
    <w:rsid w:val="4AE93077"/>
    <w:rsid w:val="4AFA5C20"/>
    <w:rsid w:val="4B782949"/>
    <w:rsid w:val="4BA86969"/>
    <w:rsid w:val="4BDD0A4C"/>
    <w:rsid w:val="4C001DFA"/>
    <w:rsid w:val="4D2E0515"/>
    <w:rsid w:val="4DD565A0"/>
    <w:rsid w:val="4E6D0F26"/>
    <w:rsid w:val="4F3A239D"/>
    <w:rsid w:val="501C6CBB"/>
    <w:rsid w:val="51172746"/>
    <w:rsid w:val="517F3852"/>
    <w:rsid w:val="5222222F"/>
    <w:rsid w:val="52960257"/>
    <w:rsid w:val="52E0574D"/>
    <w:rsid w:val="53211FCF"/>
    <w:rsid w:val="53E14797"/>
    <w:rsid w:val="53EC390E"/>
    <w:rsid w:val="54344051"/>
    <w:rsid w:val="559910C2"/>
    <w:rsid w:val="55BD7D96"/>
    <w:rsid w:val="55CF0BC5"/>
    <w:rsid w:val="55D6268C"/>
    <w:rsid w:val="55F50648"/>
    <w:rsid w:val="56B009DD"/>
    <w:rsid w:val="584C37F0"/>
    <w:rsid w:val="58535A60"/>
    <w:rsid w:val="58680439"/>
    <w:rsid w:val="58741C5A"/>
    <w:rsid w:val="58DC26CE"/>
    <w:rsid w:val="594A6F4C"/>
    <w:rsid w:val="599853C3"/>
    <w:rsid w:val="59ED08E0"/>
    <w:rsid w:val="5A58006A"/>
    <w:rsid w:val="5B067668"/>
    <w:rsid w:val="5B21158A"/>
    <w:rsid w:val="5B296A45"/>
    <w:rsid w:val="5B532983"/>
    <w:rsid w:val="5B897A39"/>
    <w:rsid w:val="5BB0596F"/>
    <w:rsid w:val="5CCC5500"/>
    <w:rsid w:val="5D6F3C5B"/>
    <w:rsid w:val="5EDC6BF2"/>
    <w:rsid w:val="5F18231B"/>
    <w:rsid w:val="60714CAF"/>
    <w:rsid w:val="60723523"/>
    <w:rsid w:val="60C64193"/>
    <w:rsid w:val="611C2F2E"/>
    <w:rsid w:val="6185567A"/>
    <w:rsid w:val="61A85346"/>
    <w:rsid w:val="61C6632C"/>
    <w:rsid w:val="62DC368C"/>
    <w:rsid w:val="6310415D"/>
    <w:rsid w:val="644308FF"/>
    <w:rsid w:val="6495790C"/>
    <w:rsid w:val="658D2E98"/>
    <w:rsid w:val="666E2F65"/>
    <w:rsid w:val="66A963B5"/>
    <w:rsid w:val="66BB2BE0"/>
    <w:rsid w:val="673958B7"/>
    <w:rsid w:val="67B652C8"/>
    <w:rsid w:val="68AC6647"/>
    <w:rsid w:val="68DA2FED"/>
    <w:rsid w:val="69065FBE"/>
    <w:rsid w:val="6A2A571F"/>
    <w:rsid w:val="6A64728A"/>
    <w:rsid w:val="6AC3277B"/>
    <w:rsid w:val="6ACC3641"/>
    <w:rsid w:val="6BE425C0"/>
    <w:rsid w:val="6BF70848"/>
    <w:rsid w:val="6C5C6DD8"/>
    <w:rsid w:val="6CE566C7"/>
    <w:rsid w:val="6D4D7092"/>
    <w:rsid w:val="6E5E5913"/>
    <w:rsid w:val="6EFF046E"/>
    <w:rsid w:val="7075522F"/>
    <w:rsid w:val="70980461"/>
    <w:rsid w:val="70A3788F"/>
    <w:rsid w:val="70AA2CE6"/>
    <w:rsid w:val="71335998"/>
    <w:rsid w:val="71746DAA"/>
    <w:rsid w:val="71876026"/>
    <w:rsid w:val="71C85B07"/>
    <w:rsid w:val="71E07B48"/>
    <w:rsid w:val="7231215E"/>
    <w:rsid w:val="724E7FC4"/>
    <w:rsid w:val="72D4487B"/>
    <w:rsid w:val="73694B50"/>
    <w:rsid w:val="75A84C46"/>
    <w:rsid w:val="76241F35"/>
    <w:rsid w:val="76F24A51"/>
    <w:rsid w:val="77006B5D"/>
    <w:rsid w:val="777B53DA"/>
    <w:rsid w:val="77D4039C"/>
    <w:rsid w:val="77DD3AED"/>
    <w:rsid w:val="77E40508"/>
    <w:rsid w:val="780821CF"/>
    <w:rsid w:val="78263735"/>
    <w:rsid w:val="78397F16"/>
    <w:rsid w:val="78834766"/>
    <w:rsid w:val="794D01A0"/>
    <w:rsid w:val="79BE7B03"/>
    <w:rsid w:val="7A6E1C73"/>
    <w:rsid w:val="7AC775E1"/>
    <w:rsid w:val="7B055CE0"/>
    <w:rsid w:val="7B10569F"/>
    <w:rsid w:val="7B8A37CF"/>
    <w:rsid w:val="7BEB3EB3"/>
    <w:rsid w:val="7C777E67"/>
    <w:rsid w:val="7C8D5540"/>
    <w:rsid w:val="7D7934B9"/>
    <w:rsid w:val="7E5107C6"/>
    <w:rsid w:val="7E88183C"/>
    <w:rsid w:val="7EC568B4"/>
    <w:rsid w:val="7EF13CB2"/>
    <w:rsid w:val="7F471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4"/>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link w:val="25"/>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5"/>
    <w:semiHidden/>
    <w:unhideWhenUsed/>
    <w:qFormat/>
    <w:uiPriority w:val="0"/>
    <w:pPr>
      <w:ind w:left="100" w:leftChars="2500"/>
    </w:pPr>
  </w:style>
  <w:style w:type="paragraph" w:styleId="7">
    <w:name w:val="Balloon Text"/>
    <w:basedOn w:val="1"/>
    <w:link w:val="17"/>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Hyperlink"/>
    <w:basedOn w:val="13"/>
    <w:unhideWhenUsed/>
    <w:qFormat/>
    <w:uiPriority w:val="99"/>
    <w:rPr>
      <w:color w:val="0000FF"/>
      <w:u w:val="single"/>
    </w:rPr>
  </w:style>
  <w:style w:type="character" w:customStyle="1" w:styleId="17">
    <w:name w:val="批注框文本 Char"/>
    <w:basedOn w:val="13"/>
    <w:link w:val="7"/>
    <w:semiHidden/>
    <w:qFormat/>
    <w:uiPriority w:val="99"/>
    <w:rPr>
      <w:sz w:val="18"/>
      <w:szCs w:val="18"/>
    </w:rPr>
  </w:style>
  <w:style w:type="character" w:customStyle="1" w:styleId="18">
    <w:name w:val="页眉 Char"/>
    <w:basedOn w:val="13"/>
    <w:link w:val="9"/>
    <w:semiHidden/>
    <w:qFormat/>
    <w:uiPriority w:val="99"/>
    <w:rPr>
      <w:sz w:val="18"/>
      <w:szCs w:val="18"/>
    </w:rPr>
  </w:style>
  <w:style w:type="character" w:customStyle="1" w:styleId="19">
    <w:name w:val="页脚 Char"/>
    <w:basedOn w:val="13"/>
    <w:link w:val="8"/>
    <w:qFormat/>
    <w:uiPriority w:val="99"/>
    <w:rPr>
      <w:sz w:val="18"/>
      <w:szCs w:val="18"/>
    </w:rPr>
  </w:style>
  <w:style w:type="paragraph" w:styleId="20">
    <w:name w:val="No Spacing"/>
    <w:link w:val="21"/>
    <w:qFormat/>
    <w:uiPriority w:val="1"/>
    <w:rPr>
      <w:rFonts w:asciiTheme="minorHAnsi" w:hAnsiTheme="minorHAnsi" w:eastAsiaTheme="minorEastAsia" w:cstheme="minorBidi"/>
      <w:sz w:val="22"/>
      <w:szCs w:val="22"/>
      <w:lang w:val="en-US" w:eastAsia="zh-CN" w:bidi="ar-SA"/>
    </w:rPr>
  </w:style>
  <w:style w:type="character" w:customStyle="1" w:styleId="21">
    <w:name w:val="无间隔 Char"/>
    <w:basedOn w:val="13"/>
    <w:link w:val="20"/>
    <w:qFormat/>
    <w:uiPriority w:val="1"/>
    <w:rPr>
      <w:rFonts w:asciiTheme="minorHAnsi" w:hAnsiTheme="minorHAnsi" w:eastAsiaTheme="minorEastAsia" w:cstheme="minorBidi"/>
      <w:sz w:val="22"/>
      <w:szCs w:val="22"/>
    </w:rPr>
  </w:style>
  <w:style w:type="paragraph" w:styleId="22">
    <w:name w:val="List Paragraph"/>
    <w:basedOn w:val="1"/>
    <w:unhideWhenUsed/>
    <w:qFormat/>
    <w:uiPriority w:val="34"/>
    <w:pPr>
      <w:ind w:firstLine="420" w:firstLineChars="200"/>
    </w:pPr>
  </w:style>
  <w:style w:type="paragraph" w:customStyle="1" w:styleId="23">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4">
    <w:name w:val="标题 2 Char"/>
    <w:basedOn w:val="13"/>
    <w:link w:val="3"/>
    <w:qFormat/>
    <w:uiPriority w:val="9"/>
    <w:rPr>
      <w:rFonts w:ascii="宋体" w:hAnsi="宋体" w:cs="宋体"/>
      <w:sz w:val="36"/>
      <w:szCs w:val="36"/>
    </w:rPr>
  </w:style>
  <w:style w:type="character" w:customStyle="1" w:styleId="25">
    <w:name w:val="标题 4 Char"/>
    <w:basedOn w:val="13"/>
    <w:link w:val="5"/>
    <w:qFormat/>
    <w:uiPriority w:val="9"/>
    <w:rPr>
      <w:rFonts w:ascii="宋体" w:hAnsi="宋体" w:cs="宋体"/>
      <w:sz w:val="24"/>
      <w:szCs w:val="24"/>
    </w:rPr>
  </w:style>
  <w:style w:type="paragraph" w:customStyle="1" w:styleId="26">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7">
    <w:name w:val="articlel"/>
    <w:basedOn w:val="13"/>
    <w:qFormat/>
    <w:uiPriority w:val="0"/>
  </w:style>
  <w:style w:type="character" w:customStyle="1" w:styleId="28">
    <w:name w:val="articler"/>
    <w:basedOn w:val="13"/>
    <w:qFormat/>
    <w:uiPriority w:val="0"/>
  </w:style>
  <w:style w:type="paragraph" w:customStyle="1" w:styleId="29">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30">
    <w:name w:val="rich_media_meta1"/>
    <w:basedOn w:val="13"/>
    <w:qFormat/>
    <w:uiPriority w:val="0"/>
    <w:rPr>
      <w:sz w:val="24"/>
      <w:szCs w:val="24"/>
    </w:rPr>
  </w:style>
  <w:style w:type="character" w:customStyle="1" w:styleId="31">
    <w:name w:val="profile_meta_value1"/>
    <w:basedOn w:val="13"/>
    <w:qFormat/>
    <w:uiPriority w:val="0"/>
    <w:rPr>
      <w:color w:val="ADADAD"/>
    </w:rPr>
  </w:style>
  <w:style w:type="character" w:customStyle="1" w:styleId="32">
    <w:name w:val="apple-converted-space"/>
    <w:basedOn w:val="13"/>
    <w:qFormat/>
    <w:uiPriority w:val="0"/>
  </w:style>
  <w:style w:type="character" w:customStyle="1" w:styleId="33">
    <w:name w:val="rich_media_meta"/>
    <w:basedOn w:val="13"/>
    <w:qFormat/>
    <w:uiPriority w:val="0"/>
  </w:style>
  <w:style w:type="character" w:customStyle="1" w:styleId="34">
    <w:name w:val="blue"/>
    <w:basedOn w:val="13"/>
    <w:qFormat/>
    <w:uiPriority w:val="0"/>
  </w:style>
  <w:style w:type="character" w:customStyle="1" w:styleId="35">
    <w:name w:val="日期 Char"/>
    <w:basedOn w:val="13"/>
    <w:link w:val="6"/>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NUL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A45B3-66E2-4338-8F19-4FCD87919FD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45</Pages>
  <Words>12246</Words>
  <Characters>13469</Characters>
  <Lines>1</Lines>
  <Paragraphs>1</Paragraphs>
  <TotalTime>11</TotalTime>
  <ScaleCrop>false</ScaleCrop>
  <LinksUpToDate>false</LinksUpToDate>
  <CharactersWithSpaces>13656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2018-04-26T07:53:00Z</dcterms:created>
  <dc:creator>FtpDown</dc:creator>
  <cp:lastModifiedBy>车成刚</cp:lastModifiedBy>
  <cp:lastPrinted>2018-09-29T05:55:00Z</cp:lastPrinted>
  <dcterms:modified xsi:type="dcterms:W3CDTF">2023-03-29T06:26:52Z</dcterms:modified>
  <dc:subject>2015年7月29日</dc:subject>
  <dc:title>2015年第一期</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FCDB5DDC26AA45F7935E2583AC25563D</vt:lpwstr>
  </property>
</Properties>
</file>