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sdtPr>
      <w:sdtContent>
        <w:p>
          <w:r>
            <w:drawing>
              <wp:anchor distT="0" distB="0" distL="114300" distR="114300" simplePos="0" relativeHeight="251659264"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0"/>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9"/>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（2023年第4期） 2023年4月28日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6432" behindDoc="0" locked="0" layoutInCell="1" allowOverlap="1">
                <wp:simplePos x="0" y="0"/>
                <wp:positionH relativeFrom="column">
                  <wp:posOffset>1554480</wp:posOffset>
                </wp:positionH>
                <wp:positionV relativeFrom="paragraph">
                  <wp:posOffset>192405</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中康CMH《疫情后时代国民健康趋势洞察报告》</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2.连锁药店行业深度报告：连锁化，多元化，处方外流加速</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全国药店数量已突破62.3万（附各省数据）</w:t>
                            </w:r>
                          </w:p>
                          <w:p>
                            <w:pPr>
                              <w:widowControl/>
                              <w:shd w:val="clear" w:color="auto" w:fill="FFFFFF"/>
                              <w:spacing w:after="210"/>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国控、华润、上药、九州通2022年财报比较</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统筹政策满月，影响到底有多大？</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每年流失33%客户，药店如何破局？</w:t>
                            </w:r>
                          </w:p>
                        </w:txbxContent>
                      </wps:txbx>
                      <wps:bodyPr upright="1"/>
                    </wps:wsp>
                  </a:graphicData>
                </a:graphic>
              </wp:anchor>
            </w:drawing>
          </mc:Choice>
          <mc:Fallback>
            <w:pict>
              <v:shape id="文本框 14" o:spid="_x0000_s1026" o:spt="202" type="#_x0000_t202" style="position:absolute;left:0pt;margin-left:122.4pt;margin-top:15.15pt;height:641.25pt;width:331.5pt;z-index:251666432;mso-width-relative:page;mso-height-relative:page;" filled="f" stroked="f" coordsize="21600,21600" o:gfxdata="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uf7w3AAAAAsBAAAPAAAAAAAAAAEAIAAAACIAAABkcnMvZG93bnJldi54bWxQSwECFAAU&#10;AAAACACHTuJAZa8ySrQBAABaAwAADgAAAAAAAAABACAAAAArAQAAZHJzL2Uyb0RvYy54bWxQSwUG&#10;AAAAAAYABgBZAQAAUQUAAAAA&#10;">
                <v:fill on="f" focussize="0,0"/>
                <v:stroke on="f" weight="1.25pt"/>
                <v:imagedata o:title=""/>
                <o:lock v:ext="edit" aspectratio="f"/>
                <v:textbo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中康CMH《疫情后时代国民健康趋势洞察报告》</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2.连锁药店行业深度报告：连锁化，多元化，处方外流加速</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全国药店数量已突破62.3万（附各省数据）</w:t>
                      </w:r>
                    </w:p>
                    <w:p>
                      <w:pPr>
                        <w:widowControl/>
                        <w:shd w:val="clear" w:color="auto" w:fill="FFFFFF"/>
                        <w:spacing w:after="210"/>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国控、华润、上药、九州通2022年财报比较</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统筹政策满月，影响到底有多大？</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每年流失33%客户，药店如何破局？</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6028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GPpbWAAAA&#10;CAEAAA8AAAAAAAAAAQAgAAAAIgAAAGRycy9kb3ducmV2LnhtbFBLAQIUABQAAAAIAIdO4kB2rrkF&#10;5gEAAO0DAAAOAAAAAAAAAAEAIAAAACUBAABkcnMvZTJvRG9jLnhtbFBLBQYAAAAABgAGAFkBAAB9&#10;BQ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6131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pmvDZ&#10;AAAACgEAAA8AAAAAAAAAAQAgAAAAIgAAAGRycy9kb3ducmV2LnhtbFBLAQIUABQAAAAIAIdO4kCn&#10;5Q7J5gEAAO0DAAAOAAAAAAAAAAEAIAAAACgBAABkcnMvZTJvRG9jLnhtbFBLBQYAAAAABgAGAFkB&#10;AACABQ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336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（4月第4期）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336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YunetwAAAAKAQAADwAAAAAAAAABACAAAAAiAAAAZHJzL2Rvd25yZXYueG1sUEsBAhQA&#10;FAAAAAgAh07iQFnbW4m1AQAAWwMAAA4AAAAAAAAAAQAgAAAAKwEAAGRycy9lMm9Eb2MueG1sUEsF&#10;BgAAAAAGAAYAWQEAAFI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（4月第4期）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6336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Ie3S2AAA&#10;AAoBAAAPAAAAAAAAAAEAIAAAACIAAABkcnMvZG93bnJldi54bWxQSwECFAAUAAAACACHTuJAtpQj&#10;HOUBAADtAwAADgAAAAAAAAABACAAAAAnAQAAZHJzL2Uyb0RvYy54bWxQSwUGAAAAAAYABgBZAQAA&#10;fgU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438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sz w:val="44"/>
                                <w:szCs w:val="44"/>
                              </w:rPr>
                            </w:pPr>
                            <w:r>
                              <w:rPr>
                                <w:rFonts w:hint="eastAsia"/>
                                <w:sz w:val="44"/>
                                <w:szCs w:val="44"/>
                              </w:rPr>
                              <w:t>2023.4.28</w:t>
                            </w:r>
                          </w:p>
                        </w:txbxContent>
                      </wps:txbx>
                      <wps:bodyPr upright="1"/>
                    </wps:wsp>
                  </a:graphicData>
                </a:graphic>
              </wp:anchor>
            </w:drawing>
          </mc:Choice>
          <mc:Fallback>
            <w:pict>
              <v:shape id="文本框 12" o:spid="_x0000_s1026" o:spt="202" type="#_x0000_t202" style="position:absolute;left:0pt;margin-left:-53.1pt;margin-top:10.65pt;height:60pt;width:140.25pt;z-index:25166438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MqpXcAAAACwEAAA8AAAAAAAAAAQAgAAAAIgAAAGRycy9kb3ducmV2LnhtbFBLAQIU&#10;ABQAAAAIAIdO4kDFDdJhtgEAAFoDAAAOAAAAAAAAAAEAIAAAACsBAABkcnMvZTJvRG9jLnhtbFBL&#10;BQYAAAAABgAGAFkBAABTBQAAAAA=&#10;">
                <v:fill on="f" focussize="0,0"/>
                <v:stroke on="f" weight="1.25pt"/>
                <v:imagedata o:title=""/>
                <o:lock v:ext="edit" aspectratio="f"/>
                <v:textbox>
                  <w:txbxContent>
                    <w:p>
                      <w:pPr>
                        <w:jc w:val="center"/>
                        <w:rPr>
                          <w:sz w:val="44"/>
                          <w:szCs w:val="44"/>
                        </w:rPr>
                      </w:pPr>
                      <w:r>
                        <w:rPr>
                          <w:rFonts w:hint="eastAsia"/>
                          <w:sz w:val="44"/>
                          <w:szCs w:val="44"/>
                        </w:rPr>
                        <w:t>2023.4.28</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540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XmEdwAAAAKAQAADwAAAAAAAAABACAAAAAiAAAAZHJzL2Rvd25yZXYueG1sUEsB&#10;AhQAFAAAAAgAh07iQLodRq64AQAAWwMAAA4AAAAAAAAAAQAgAAAAKwEAAGRycy9lMm9Eb2MueG1s&#10;UEsFBgAAAAAGAAYAWQEAAFUFAAAAAA==&#10;">
                <v:fill on="f" focussize="0,0"/>
                <v:stroke on="f" weight="1.25pt"/>
                <v:imagedata o:title=""/>
                <o:lock v:ext="edit" aspectratio="f"/>
                <v:textbo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7.5pt;margin-top:38.5pt;height:0.05pt;width:534pt;z-index:251662336;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stRc2AAA&#10;AAoBAAAPAAAAAAAAAAEAIAAAACIAAABkcnMvZG93bnJldi54bWxQSwECFAAUAAAACACHTuJAOhep&#10;k+UBAADtAwAADgAAAAAAAAABACAAAAAnAQAAZHJzL2Uyb0RvYy54bWxQSwUGAAAAAAYABgBZAQAA&#10;fgUAAAAA&#10;">
                <v:fill on="f" focussize="0,0"/>
                <v:stroke weight="3pt" color="#548DD4" joinstyle="round"/>
                <v:imagedata o:title=""/>
                <o:lock v:ext="edit" aspectratio="f"/>
              </v:shape>
            </w:pict>
          </mc:Fallback>
        </mc:AlternateContent>
      </w:r>
      <w:r>
        <w:rPr>
          <w:rFonts w:hint="eastAsia"/>
        </w:rPr>
        <w:t xml:space="preserve">                               </w:t>
      </w:r>
    </w:p>
    <w:tbl>
      <w:tblPr>
        <w:tblStyle w:val="11"/>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中康CMH《疫情后时代国民健康趋势洞察报告》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4</w:t>
            </w:r>
            <w:r>
              <w:rPr>
                <w:rFonts w:asciiTheme="minorEastAsia" w:hAnsiTheme="minorEastAsia" w:eastAsiaTheme="minorEastAsia"/>
                <w:sz w:val="28"/>
                <w:szCs w:val="28"/>
              </w:rPr>
              <w:t>-</w:t>
            </w:r>
            <w:r>
              <w:rPr>
                <w:rFonts w:hint="eastAsia" w:asciiTheme="minorEastAsia" w:hAnsiTheme="minorEastAsia" w:eastAsiaTheme="minorEastAsia"/>
                <w:sz w:val="28"/>
                <w:szCs w:val="28"/>
              </w:rPr>
              <w:t>21</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sz w:val="28"/>
                <w:szCs w:val="28"/>
              </w:rPr>
            </w:pPr>
            <w:r>
              <w:rPr>
                <w:rFonts w:hint="eastAsia"/>
                <w:sz w:val="28"/>
                <w:szCs w:val="28"/>
              </w:rPr>
              <w:t>消费者研究中心 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vAlign w:val="center"/>
          </w:tcPr>
          <w:p>
            <w:pPr>
              <w:tabs>
                <w:tab w:val="left" w:pos="7088"/>
              </w:tabs>
              <w:jc w:val="center"/>
              <w:rPr>
                <w:b/>
                <w:sz w:val="28"/>
                <w:szCs w:val="28"/>
              </w:rPr>
            </w:pPr>
            <w:r>
              <w:rPr>
                <w:rFonts w:hint="eastAsia"/>
                <w:b/>
                <w:sz w:val="30"/>
                <w:szCs w:val="30"/>
              </w:rPr>
              <w:t>信息确认</w:t>
            </w:r>
          </w:p>
        </w:tc>
        <w:tc>
          <w:tcPr>
            <w:tcW w:w="2487"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sz w:val="28"/>
                <w:szCs w:val="28"/>
              </w:rPr>
              <w:t>消费者研究中心 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bottom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bottom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国民健康  趋势  经济  医药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b/>
                <w:sz w:val="30"/>
                <w:szCs w:val="30"/>
              </w:rPr>
              <w:t>内容概要</w:t>
            </w:r>
          </w:p>
        </w:tc>
        <w:tc>
          <w:tcPr>
            <w:tcW w:w="6877" w:type="dxa"/>
            <w:gridSpan w:val="3"/>
            <w:tcBorders>
              <w:top w:val="single" w:color="auto" w:sz="4" w:space="0"/>
            </w:tcBorders>
            <w:vAlign w:val="center"/>
          </w:tcPr>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疫情后时代，国民健康需求怎么变？中康消费者研究中心重磅发布《疫情后时代国民健康趋势洞察报告》，立足疫情后(2023年)，回顾疫情初期(2021年)，洞见趋势，探索疫情后时代重点策略人群的干预机会。</w:t>
            </w:r>
          </w:p>
          <w:p>
            <w:pPr>
              <w:ind w:firstLine="682" w:firstLineChars="200"/>
              <w:rPr>
                <w:rFonts w:asciiTheme="minorEastAsia" w:hAnsiTheme="minorEastAsia" w:eastAsiaTheme="minorEastAsia"/>
                <w:b/>
                <w:spacing w:val="30"/>
                <w:sz w:val="28"/>
                <w:szCs w:val="28"/>
              </w:rPr>
            </w:pPr>
            <w:r>
              <w:rPr>
                <w:rFonts w:hint="eastAsia" w:asciiTheme="minorEastAsia" w:hAnsiTheme="minorEastAsia" w:eastAsiaTheme="minorEastAsia"/>
                <w:b/>
                <w:bCs/>
                <w:spacing w:val="30"/>
                <w:sz w:val="28"/>
                <w:szCs w:val="28"/>
                <w:shd w:val="clear" w:color="auto" w:fill="FFFFFF"/>
              </w:rPr>
              <w:t>一、</w:t>
            </w:r>
            <w:r>
              <w:rPr>
                <w:rStyle w:val="13"/>
                <w:rFonts w:asciiTheme="minorEastAsia" w:hAnsiTheme="minorEastAsia" w:eastAsiaTheme="minorEastAsia"/>
                <w:b w:val="0"/>
                <w:spacing w:val="30"/>
                <w:sz w:val="28"/>
                <w:szCs w:val="28"/>
              </w:rPr>
              <w:t>新周期：复苏与变局并存</w:t>
            </w:r>
          </w:p>
          <w:p>
            <w:pPr>
              <w:ind w:firstLine="682" w:firstLineChars="200"/>
              <w:rPr>
                <w:rFonts w:asciiTheme="minorEastAsia" w:hAnsiTheme="minorEastAsia" w:eastAsiaTheme="minorEastAsia"/>
                <w:b/>
                <w:bCs/>
                <w:spacing w:val="30"/>
                <w:sz w:val="28"/>
                <w:szCs w:val="28"/>
                <w:shd w:val="clear" w:color="auto" w:fill="FFFFFF"/>
              </w:rPr>
            </w:pPr>
            <w:r>
              <w:rPr>
                <w:rFonts w:hint="eastAsia" w:asciiTheme="minorEastAsia" w:hAnsiTheme="minorEastAsia" w:eastAsiaTheme="minorEastAsia"/>
                <w:b/>
                <w:bCs/>
                <w:spacing w:val="30"/>
                <w:sz w:val="28"/>
                <w:szCs w:val="28"/>
                <w:shd w:val="clear" w:color="auto" w:fill="FFFFFF"/>
              </w:rPr>
              <w:t>二、</w:t>
            </w:r>
            <w:r>
              <w:rPr>
                <w:rFonts w:asciiTheme="minorEastAsia" w:hAnsiTheme="minorEastAsia" w:eastAsiaTheme="minorEastAsia"/>
                <w:sz w:val="28"/>
                <w:szCs w:val="28"/>
                <w:shd w:val="clear" w:color="auto" w:fill="FFFFFF"/>
              </w:rPr>
              <w:t>疫情后时代健康趋势洞察</w:t>
            </w:r>
          </w:p>
          <w:p>
            <w:pPr>
              <w:tabs>
                <w:tab w:val="left" w:pos="7088"/>
              </w:tabs>
              <w:ind w:firstLine="682" w:firstLineChars="200"/>
              <w:jc w:val="left"/>
              <w:rPr>
                <w:rStyle w:val="13"/>
                <w:rFonts w:asciiTheme="minorEastAsia" w:hAnsiTheme="minorEastAsia" w:eastAsiaTheme="minorEastAsia"/>
                <w:b w:val="0"/>
                <w:spacing w:val="30"/>
                <w:sz w:val="28"/>
                <w:szCs w:val="28"/>
              </w:rPr>
            </w:pPr>
            <w:r>
              <w:rPr>
                <w:rFonts w:hint="eastAsia" w:asciiTheme="minorEastAsia" w:hAnsiTheme="minorEastAsia" w:eastAsiaTheme="minorEastAsia"/>
                <w:b/>
                <w:bCs/>
                <w:spacing w:val="30"/>
                <w:sz w:val="28"/>
                <w:szCs w:val="28"/>
                <w:shd w:val="clear" w:color="auto" w:fill="FFFFFF"/>
              </w:rPr>
              <w:t>三、</w:t>
            </w:r>
            <w:r>
              <w:rPr>
                <w:rStyle w:val="13"/>
                <w:rFonts w:asciiTheme="minorEastAsia" w:hAnsiTheme="minorEastAsia" w:eastAsiaTheme="minorEastAsia"/>
                <w:b w:val="0"/>
                <w:spacing w:val="30"/>
                <w:sz w:val="28"/>
                <w:szCs w:val="28"/>
              </w:rPr>
              <w:t>“一老一少”重点人群洞察</w:t>
            </w: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542" w:firstLineChars="200"/>
              <w:jc w:val="left"/>
              <w:rPr>
                <w:rStyle w:val="13"/>
                <w:spacing w:val="30"/>
              </w:rPr>
            </w:pPr>
          </w:p>
          <w:p>
            <w:pPr>
              <w:tabs>
                <w:tab w:val="left" w:pos="7088"/>
              </w:tabs>
              <w:ind w:firstLine="542" w:firstLineChars="200"/>
              <w:jc w:val="left"/>
              <w:rPr>
                <w:rStyle w:val="13"/>
                <w:spacing w:val="30"/>
              </w:rPr>
            </w:pPr>
          </w:p>
          <w:p>
            <w:pPr>
              <w:tabs>
                <w:tab w:val="left" w:pos="7088"/>
              </w:tabs>
              <w:ind w:firstLine="542" w:firstLineChars="200"/>
              <w:jc w:val="left"/>
              <w:rPr>
                <w:rStyle w:val="13"/>
                <w:spacing w:val="30"/>
              </w:rPr>
            </w:pPr>
          </w:p>
          <w:p>
            <w:pPr>
              <w:tabs>
                <w:tab w:val="left" w:pos="7088"/>
              </w:tabs>
              <w:jc w:val="left"/>
              <w:rPr>
                <w:rFonts w:cs="宋体" w:asciiTheme="minorEastAsia" w:hAnsiTheme="minorEastAsia" w:eastAsiaTheme="minorEastAsia"/>
                <w:kern w:val="0"/>
                <w:sz w:val="28"/>
                <w:szCs w:val="28"/>
              </w:rPr>
            </w:pPr>
            <w:r>
              <w:rPr>
                <w:rFonts w:hint="eastAsia"/>
              </w:rPr>
              <w:t>附件1: 中康CMH《疫情后时代国民健康趋势洞察报告》</w:t>
            </w:r>
          </w:p>
        </w:tc>
      </w:tr>
    </w:tbl>
    <w:p/>
    <w:p/>
    <w:tbl>
      <w:tblPr>
        <w:tblStyle w:val="11"/>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96" w:type="dxa"/>
            <w:vAlign w:val="center"/>
          </w:tcPr>
          <w:p>
            <w:pPr>
              <w:tabs>
                <w:tab w:val="left" w:pos="7088"/>
              </w:tabs>
              <w:jc w:val="center"/>
              <w:rPr>
                <w:b/>
                <w:sz w:val="30"/>
                <w:szCs w:val="30"/>
              </w:rPr>
            </w:pPr>
            <w:r>
              <w:rPr>
                <w:rFonts w:hint="eastAsia"/>
                <w:b/>
                <w:sz w:val="30"/>
                <w:szCs w:val="30"/>
              </w:rPr>
              <w:t>信息0</w:t>
            </w:r>
            <w:r>
              <w:rPr>
                <w:b/>
                <w:sz w:val="30"/>
                <w:szCs w:val="30"/>
              </w:rPr>
              <w:t>2</w:t>
            </w:r>
          </w:p>
        </w:tc>
        <w:tc>
          <w:tcPr>
            <w:tcW w:w="6877" w:type="dxa"/>
            <w:gridSpan w:val="3"/>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连锁药店行业深度报告：连锁化，多元化，处方外流加速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4</w:t>
            </w:r>
            <w:r>
              <w:rPr>
                <w:rFonts w:asciiTheme="minorEastAsia" w:hAnsiTheme="minorEastAsia" w:eastAsiaTheme="minorEastAsia"/>
                <w:sz w:val="28"/>
                <w:szCs w:val="28"/>
              </w:rPr>
              <w:t>-19</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sz w:val="28"/>
                <w:szCs w:val="28"/>
              </w:rPr>
            </w:pPr>
            <w:r>
              <w:rPr>
                <w:rFonts w:hint="eastAsia"/>
                <w:sz w:val="28"/>
                <w:szCs w:val="28"/>
              </w:rPr>
              <w:t>东海证券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vAlign w:val="center"/>
          </w:tcPr>
          <w:p>
            <w:pPr>
              <w:tabs>
                <w:tab w:val="left" w:pos="7088"/>
              </w:tabs>
              <w:jc w:val="center"/>
              <w:rPr>
                <w:b/>
                <w:sz w:val="28"/>
                <w:szCs w:val="28"/>
              </w:rPr>
            </w:pPr>
            <w:r>
              <w:rPr>
                <w:rFonts w:hint="eastAsia"/>
                <w:b/>
                <w:sz w:val="30"/>
                <w:szCs w:val="30"/>
              </w:rPr>
              <w:t>信息确认</w:t>
            </w:r>
          </w:p>
        </w:tc>
        <w:tc>
          <w:tcPr>
            <w:tcW w:w="2487"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sz w:val="28"/>
                <w:szCs w:val="28"/>
              </w:rPr>
              <w:t>东海证券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bottom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bottom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连锁药店  品类  政策  模式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b/>
                <w:sz w:val="30"/>
                <w:szCs w:val="30"/>
              </w:rPr>
              <w:t>内容概要</w:t>
            </w:r>
          </w:p>
        </w:tc>
        <w:tc>
          <w:tcPr>
            <w:tcW w:w="6877" w:type="dxa"/>
            <w:gridSpan w:val="3"/>
            <w:tcBorders>
              <w:top w:val="single" w:color="auto" w:sz="4" w:space="0"/>
            </w:tcBorders>
            <w:vAlign w:val="center"/>
          </w:tcPr>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asciiTheme="minorEastAsia" w:hAnsiTheme="minorEastAsia" w:eastAsiaTheme="minorEastAsia"/>
                <w:sz w:val="28"/>
                <w:szCs w:val="28"/>
                <w:shd w:val="clear" w:color="auto" w:fill="FFFFFF"/>
              </w:rPr>
              <w:t>01</w:t>
            </w:r>
            <w:r>
              <w:rPr>
                <w:rFonts w:hint="eastAsia" w:asciiTheme="minorEastAsia" w:hAnsiTheme="minorEastAsia" w:eastAsiaTheme="minorEastAsia"/>
                <w:sz w:val="28"/>
                <w:szCs w:val="28"/>
                <w:shd w:val="clear" w:color="auto" w:fill="FFFFFF"/>
              </w:rPr>
              <w:t>连锁化率不断提升，品类日益多元化</w:t>
            </w: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asciiTheme="minorEastAsia" w:hAnsiTheme="minorEastAsia" w:eastAsiaTheme="minorEastAsia"/>
                <w:sz w:val="28"/>
                <w:szCs w:val="28"/>
                <w:shd w:val="clear" w:color="auto" w:fill="FFFFFF"/>
              </w:rPr>
              <w:t>02</w:t>
            </w:r>
            <w:r>
              <w:rPr>
                <w:rFonts w:hint="eastAsia" w:asciiTheme="minorEastAsia" w:hAnsiTheme="minorEastAsia" w:eastAsiaTheme="minorEastAsia"/>
                <w:sz w:val="28"/>
                <w:szCs w:val="28"/>
                <w:shd w:val="clear" w:color="auto" w:fill="FFFFFF"/>
              </w:rPr>
              <w:t>政策多途径推动，处方外流持续兑现</w:t>
            </w: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asciiTheme="minorEastAsia" w:hAnsiTheme="minorEastAsia" w:eastAsiaTheme="minorEastAsia"/>
                <w:sz w:val="28"/>
                <w:szCs w:val="28"/>
                <w:shd w:val="clear" w:color="auto" w:fill="FFFFFF"/>
              </w:rPr>
              <w:t>03</w:t>
            </w:r>
            <w:r>
              <w:rPr>
                <w:rFonts w:hint="eastAsia" w:asciiTheme="minorEastAsia" w:hAnsiTheme="minorEastAsia" w:eastAsiaTheme="minorEastAsia"/>
                <w:sz w:val="28"/>
                <w:szCs w:val="28"/>
                <w:shd w:val="clear" w:color="auto" w:fill="FFFFFF"/>
              </w:rPr>
              <w:t>它山之石：日本模式更具借鉴意义</w:t>
            </w: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asciiTheme="minorEastAsia" w:hAnsiTheme="minorEastAsia" w:eastAsiaTheme="minorEastAsia"/>
                <w:sz w:val="28"/>
                <w:szCs w:val="28"/>
                <w:shd w:val="clear" w:color="auto" w:fill="FFFFFF"/>
              </w:rPr>
              <w:t>04</w:t>
            </w:r>
            <w:r>
              <w:rPr>
                <w:rFonts w:hint="eastAsia" w:asciiTheme="minorEastAsia" w:hAnsiTheme="minorEastAsia" w:eastAsiaTheme="minorEastAsia"/>
                <w:sz w:val="28"/>
                <w:szCs w:val="28"/>
                <w:shd w:val="clear" w:color="auto" w:fill="FFFFFF"/>
              </w:rPr>
              <w:t>上市公司多维度比较分析</w:t>
            </w:r>
          </w:p>
          <w:p>
            <w:pPr>
              <w:tabs>
                <w:tab w:val="left" w:pos="7088"/>
              </w:tabs>
              <w:ind w:firstLine="560" w:firstLineChars="200"/>
              <w:jc w:val="left"/>
              <w:rPr>
                <w:rStyle w:val="13"/>
                <w:rFonts w:asciiTheme="minorEastAsia" w:hAnsiTheme="minorEastAsia" w:eastAsiaTheme="minorEastAsia"/>
                <w:b w:val="0"/>
                <w:spacing w:val="30"/>
                <w:sz w:val="28"/>
                <w:szCs w:val="28"/>
              </w:rPr>
            </w:pPr>
            <w:r>
              <w:rPr>
                <w:rFonts w:hint="eastAsia" w:asciiTheme="minorEastAsia" w:hAnsiTheme="minorEastAsia" w:eastAsiaTheme="minorEastAsia"/>
                <w:sz w:val="28"/>
                <w:szCs w:val="28"/>
                <w:shd w:val="clear" w:color="auto" w:fill="FFFFFF"/>
              </w:rPr>
              <w:t>05 重点上市公司简介</w:t>
            </w: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680" w:firstLineChars="200"/>
              <w:jc w:val="left"/>
              <w:rPr>
                <w:rStyle w:val="13"/>
                <w:rFonts w:asciiTheme="minorEastAsia" w:hAnsiTheme="minorEastAsia" w:eastAsiaTheme="minorEastAsia"/>
                <w:b w:val="0"/>
                <w:spacing w:val="30"/>
                <w:sz w:val="28"/>
                <w:szCs w:val="28"/>
              </w:rPr>
            </w:pPr>
          </w:p>
          <w:p>
            <w:pPr>
              <w:tabs>
                <w:tab w:val="left" w:pos="7088"/>
              </w:tabs>
              <w:ind w:firstLine="542" w:firstLineChars="200"/>
              <w:jc w:val="left"/>
              <w:rPr>
                <w:rStyle w:val="13"/>
                <w:spacing w:val="30"/>
              </w:rPr>
            </w:pPr>
          </w:p>
          <w:p>
            <w:pPr>
              <w:tabs>
                <w:tab w:val="left" w:pos="7088"/>
              </w:tabs>
              <w:ind w:firstLine="542" w:firstLineChars="200"/>
              <w:jc w:val="left"/>
              <w:rPr>
                <w:rStyle w:val="13"/>
                <w:spacing w:val="30"/>
              </w:rPr>
            </w:pPr>
          </w:p>
          <w:p>
            <w:pPr>
              <w:tabs>
                <w:tab w:val="left" w:pos="7088"/>
              </w:tabs>
              <w:ind w:firstLine="542" w:firstLineChars="200"/>
              <w:jc w:val="left"/>
              <w:rPr>
                <w:rStyle w:val="13"/>
                <w:spacing w:val="30"/>
              </w:rPr>
            </w:pPr>
          </w:p>
          <w:p>
            <w:pPr>
              <w:tabs>
                <w:tab w:val="left" w:pos="7088"/>
              </w:tabs>
              <w:jc w:val="left"/>
              <w:rPr>
                <w:rFonts w:cs="宋体" w:asciiTheme="minorEastAsia" w:hAnsiTheme="minorEastAsia" w:eastAsiaTheme="minorEastAsia"/>
                <w:kern w:val="0"/>
                <w:sz w:val="28"/>
                <w:szCs w:val="28"/>
              </w:rPr>
            </w:pPr>
            <w:r>
              <w:rPr>
                <w:rFonts w:hint="eastAsia"/>
              </w:rPr>
              <w:t>附件</w:t>
            </w:r>
            <w:r>
              <w:t>2</w:t>
            </w:r>
            <w:r>
              <w:rPr>
                <w:rFonts w:hint="eastAsia"/>
              </w:rPr>
              <w:t>: 连锁药店行业深度报告：连锁化，多元化，处方外流加速</w:t>
            </w:r>
          </w:p>
        </w:tc>
      </w:tr>
    </w:tbl>
    <w:p/>
    <w:p/>
    <w:tbl>
      <w:tblPr>
        <w:tblStyle w:val="11"/>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559"/>
        <w:gridCol w:w="426"/>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信息03</w:t>
            </w:r>
          </w:p>
        </w:tc>
        <w:tc>
          <w:tcPr>
            <w:tcW w:w="6946" w:type="dxa"/>
            <w:gridSpan w:val="4"/>
            <w:vAlign w:val="center"/>
          </w:tcPr>
          <w:p>
            <w:pPr>
              <w:pStyle w:val="21"/>
              <w:ind w:firstLine="0" w:firstLineChars="0"/>
              <w:rPr>
                <w:rFonts w:asciiTheme="minorEastAsia" w:hAnsiTheme="minorEastAsia" w:eastAsiaTheme="minorEastAsia"/>
                <w:b/>
                <w:sz w:val="32"/>
                <w:szCs w:val="32"/>
              </w:rPr>
            </w:pPr>
            <w:r>
              <w:rPr>
                <w:rFonts w:hint="eastAsia" w:asciiTheme="minorEastAsia" w:hAnsiTheme="minorEastAsia" w:eastAsiaTheme="minorEastAsia"/>
                <w:b/>
                <w:sz w:val="36"/>
                <w:szCs w:val="36"/>
              </w:rPr>
              <w:t>全国药店数量已突破62.3万（附各省数据）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268" w:type="dxa"/>
            <w:vAlign w:val="center"/>
          </w:tcPr>
          <w:p>
            <w:pPr>
              <w:widowControl/>
              <w:spacing w:line="300" w:lineRule="atLeast"/>
              <w:jc w:val="center"/>
              <w:rPr>
                <w:rFonts w:asciiTheme="minorEastAsia" w:hAnsiTheme="minorEastAsia" w:eastAsiaTheme="minorEastAsia"/>
                <w:sz w:val="28"/>
                <w:szCs w:val="28"/>
              </w:rPr>
            </w:pPr>
            <w:r>
              <w:rPr>
                <w:rFonts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rPr>
              <w:t>3</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4</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20</w:t>
            </w:r>
          </w:p>
        </w:tc>
        <w:tc>
          <w:tcPr>
            <w:tcW w:w="1559" w:type="dxa"/>
            <w:vAlign w:val="center"/>
          </w:tcPr>
          <w:p>
            <w:pPr>
              <w:jc w:val="center"/>
              <w:rPr>
                <w:b/>
                <w:sz w:val="30"/>
                <w:szCs w:val="30"/>
              </w:rPr>
            </w:pPr>
            <w:r>
              <w:rPr>
                <w:rFonts w:hint="eastAsia"/>
                <w:b/>
                <w:sz w:val="30"/>
                <w:szCs w:val="30"/>
              </w:rPr>
              <w:t>信息来源</w:t>
            </w:r>
          </w:p>
        </w:tc>
        <w:tc>
          <w:tcPr>
            <w:tcW w:w="3119" w:type="dxa"/>
            <w:gridSpan w:val="2"/>
            <w:vAlign w:val="center"/>
          </w:tcPr>
          <w:p>
            <w:pPr>
              <w:jc w:val="center"/>
              <w:rPr>
                <w:rFonts w:ascii="Helvetica" w:hAnsi="Helvetica" w:cs="Helvetica"/>
                <w:kern w:val="0"/>
                <w:sz w:val="28"/>
                <w:szCs w:val="28"/>
              </w:rPr>
            </w:pPr>
            <w:r>
              <w:rPr>
                <w:rFonts w:hint="eastAsia" w:ascii="Helvetica" w:hAnsi="Helvetica" w:cs="Helvetica"/>
                <w:kern w:val="0"/>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vAlign w:val="center"/>
          </w:tcPr>
          <w:p>
            <w:pPr>
              <w:jc w:val="center"/>
              <w:rPr>
                <w:sz w:val="28"/>
                <w:szCs w:val="28"/>
              </w:rPr>
            </w:pPr>
            <w:r>
              <w:rPr>
                <w:rFonts w:hint="eastAsia"/>
                <w:sz w:val="28"/>
                <w:szCs w:val="28"/>
              </w:rPr>
              <w:t>运营管理部</w:t>
            </w:r>
          </w:p>
        </w:tc>
        <w:tc>
          <w:tcPr>
            <w:tcW w:w="1559" w:type="dxa"/>
            <w:vAlign w:val="center"/>
          </w:tcPr>
          <w:p>
            <w:pPr>
              <w:jc w:val="center"/>
              <w:rPr>
                <w:b/>
                <w:sz w:val="28"/>
                <w:szCs w:val="28"/>
              </w:rPr>
            </w:pPr>
            <w:r>
              <w:rPr>
                <w:rFonts w:hint="eastAsia"/>
                <w:b/>
                <w:sz w:val="30"/>
                <w:szCs w:val="30"/>
              </w:rPr>
              <w:t>信息确认</w:t>
            </w:r>
          </w:p>
        </w:tc>
        <w:tc>
          <w:tcPr>
            <w:tcW w:w="3119" w:type="dxa"/>
            <w:gridSpan w:val="2"/>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4"/>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ascii="Helvetica" w:hAnsi="Helvetica" w:cs="Helvetica"/>
                <w:kern w:val="0"/>
                <w:sz w:val="28"/>
                <w:szCs w:val="28"/>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4"/>
            <w:vAlign w:val="center"/>
          </w:tcPr>
          <w:p>
            <w:pPr>
              <w:jc w:val="left"/>
              <w:rPr>
                <w:sz w:val="28"/>
                <w:szCs w:val="28"/>
              </w:rPr>
            </w:pPr>
            <w:r>
              <w:rPr>
                <w:rFonts w:hint="eastAsia" w:asciiTheme="minorEastAsia" w:hAnsiTheme="minorEastAsia"/>
                <w:sz w:val="28"/>
                <w:szCs w:val="28"/>
                <w:shd w:val="clear" w:color="auto" w:fill="FFFFFF"/>
              </w:rPr>
              <w:t>零售药店  全国</w:t>
            </w:r>
            <w:r>
              <w:rPr>
                <w:rFonts w:hint="eastAsia" w:asciiTheme="minorEastAsia" w:hAnsiTheme="minorEastAsia"/>
                <w:sz w:val="28"/>
                <w:szCs w:val="28"/>
              </w:rPr>
              <w:t xml:space="preserve">  统计数据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1"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4"/>
          </w:tcPr>
          <w:p>
            <w:pPr>
              <w:widowControl/>
              <w:shd w:val="clear" w:color="auto" w:fill="FFFFFF"/>
              <w:spacing w:after="190"/>
              <w:ind w:firstLine="620" w:firstLineChars="200"/>
              <w:outlineLvl w:val="1"/>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4月19日，国家药监局发布《药品监督管理统计年度数据（2022年）》。</w:t>
            </w:r>
          </w:p>
          <w:p>
            <w:pPr>
              <w:widowControl/>
              <w:shd w:val="clear" w:color="auto" w:fill="FFFFFF"/>
              <w:spacing w:after="190"/>
              <w:ind w:firstLine="620" w:firstLineChars="200"/>
              <w:outlineLvl w:val="1"/>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统计数据显示：截至2022年12 月底，全国共有《药品经营许可证》持证企业 643857家。其中，批发企业13908家，零售连锁总部 6650 家，零售连锁门店 360023家，单体药店 263276 家。</w:t>
            </w:r>
          </w:p>
          <w:p>
            <w:pPr>
              <w:widowControl/>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&gt;&gt;广东、四川、山东药店数量位居top3积极支持定点零售药店开通门诊统筹服务</w:t>
            </w:r>
          </w:p>
          <w:p>
            <w:pPr>
              <w:widowControl/>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&gt;&gt;头部连锁影响力不断增强明确定点零售药店纳入门诊统筹的配套政策</w:t>
            </w:r>
          </w:p>
          <w:p>
            <w:pPr>
              <w:widowControl/>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附：截至 2022 年底各省（区、市）药品经营企业许可情况</w:t>
            </w: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附件3：全国药店数量已突破62.3万（附各省数据）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7088"/>
              </w:tabs>
              <w:jc w:val="center"/>
              <w:rPr>
                <w:b/>
                <w:sz w:val="30"/>
                <w:szCs w:val="30"/>
              </w:rPr>
            </w:pPr>
            <w:r>
              <w:rPr>
                <w:rFonts w:hint="eastAsia"/>
                <w:b/>
                <w:sz w:val="30"/>
                <w:szCs w:val="30"/>
              </w:rPr>
              <w:t>信息04</w:t>
            </w:r>
          </w:p>
        </w:tc>
        <w:tc>
          <w:tcPr>
            <w:tcW w:w="6946" w:type="dxa"/>
            <w:gridSpan w:val="4"/>
            <w:vAlign w:val="center"/>
          </w:tcPr>
          <w:p>
            <w:pPr>
              <w:rPr>
                <w:b/>
                <w:sz w:val="32"/>
                <w:szCs w:val="32"/>
              </w:rPr>
            </w:pPr>
            <w:r>
              <w:rPr>
                <w:rFonts w:hint="eastAsia" w:asciiTheme="minorEastAsia" w:hAnsiTheme="minorEastAsia" w:eastAsiaTheme="minorEastAsia"/>
                <w:b/>
                <w:sz w:val="36"/>
                <w:szCs w:val="36"/>
              </w:rPr>
              <w:t>国控、华润、上药、九州通2022年财报比较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7088"/>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4</w:t>
            </w:r>
            <w:r>
              <w:rPr>
                <w:rFonts w:asciiTheme="minorEastAsia" w:hAnsiTheme="minorEastAsia" w:eastAsiaTheme="minorEastAsia"/>
                <w:sz w:val="28"/>
                <w:szCs w:val="28"/>
              </w:rPr>
              <w:t>-</w:t>
            </w:r>
            <w:r>
              <w:rPr>
                <w:rFonts w:hint="eastAsia" w:asciiTheme="minorEastAsia" w:hAnsiTheme="minorEastAsia" w:eastAsiaTheme="minorEastAsia"/>
                <w:sz w:val="28"/>
                <w:szCs w:val="28"/>
              </w:rPr>
              <w:t>25</w:t>
            </w:r>
          </w:p>
        </w:tc>
        <w:tc>
          <w:tcPr>
            <w:tcW w:w="1985" w:type="dxa"/>
            <w:gridSpan w:val="2"/>
            <w:tcBorders>
              <w:bottom w:val="single" w:color="auto" w:sz="4" w:space="0"/>
            </w:tcBorders>
            <w:vAlign w:val="center"/>
          </w:tcPr>
          <w:p>
            <w:pPr>
              <w:tabs>
                <w:tab w:val="left" w:pos="7088"/>
              </w:tabs>
              <w:jc w:val="center"/>
              <w:rPr>
                <w:b/>
                <w:sz w:val="28"/>
                <w:szCs w:val="28"/>
              </w:rPr>
            </w:pPr>
            <w:r>
              <w:rPr>
                <w:rFonts w:hint="eastAsia"/>
                <w:b/>
                <w:sz w:val="30"/>
                <w:szCs w:val="30"/>
              </w:rPr>
              <w:t>信息来源</w:t>
            </w:r>
          </w:p>
        </w:tc>
        <w:tc>
          <w:tcPr>
            <w:tcW w:w="2693" w:type="dxa"/>
            <w:tcBorders>
              <w:bottom w:val="single" w:color="auto" w:sz="4"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tabs>
                <w:tab w:val="left" w:pos="7088"/>
              </w:tabs>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tabs>
                <w:tab w:val="left" w:pos="7088"/>
              </w:tabs>
              <w:jc w:val="center"/>
              <w:rPr>
                <w:b/>
                <w:sz w:val="28"/>
                <w:szCs w:val="28"/>
              </w:rPr>
            </w:pPr>
            <w:r>
              <w:rPr>
                <w:rFonts w:hint="eastAsia"/>
                <w:b/>
                <w:sz w:val="30"/>
                <w:szCs w:val="30"/>
              </w:rPr>
              <w:t>信息确认</w:t>
            </w:r>
          </w:p>
        </w:tc>
        <w:tc>
          <w:tcPr>
            <w:tcW w:w="2693" w:type="dxa"/>
            <w:tcBorders>
              <w:top w:val="single" w:color="auto" w:sz="4" w:space="0"/>
            </w:tcBorders>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4"/>
            <w:vAlign w:val="center"/>
          </w:tcPr>
          <w:p>
            <w:pPr>
              <w:tabs>
                <w:tab w:val="left" w:pos="7088"/>
              </w:tabs>
              <w:jc w:val="left"/>
              <w:rPr>
                <w:sz w:val="28"/>
                <w:szCs w:val="28"/>
              </w:rPr>
            </w:pPr>
            <w:r>
              <w:rPr>
                <w:rFonts w:hint="eastAsia" w:asciiTheme="minorEastAsia" w:hAnsiTheme="minorEastAsia" w:eastAsiaTheme="minorEastAsia"/>
                <w:sz w:val="28"/>
                <w:szCs w:val="28"/>
              </w:rPr>
              <w:t>来源：赛柏蓝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tabs>
                <w:tab w:val="left" w:pos="7088"/>
              </w:tabs>
              <w:jc w:val="center"/>
              <w:rPr>
                <w:b/>
                <w:sz w:val="30"/>
                <w:szCs w:val="30"/>
              </w:rPr>
            </w:pPr>
            <w:r>
              <w:rPr>
                <w:rFonts w:hint="eastAsia"/>
                <w:b/>
                <w:sz w:val="30"/>
                <w:szCs w:val="30"/>
              </w:rPr>
              <w:t>关键词</w:t>
            </w:r>
          </w:p>
        </w:tc>
        <w:tc>
          <w:tcPr>
            <w:tcW w:w="6946" w:type="dxa"/>
            <w:gridSpan w:val="4"/>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医药商业  营收  业务  带量采购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4"/>
          </w:tcPr>
          <w:p>
            <w:pPr>
              <w:jc w:val="left"/>
              <w:rPr>
                <w:rFonts w:asciiTheme="minorEastAsia" w:hAnsiTheme="minorEastAsia"/>
                <w:sz w:val="28"/>
                <w:szCs w:val="28"/>
                <w:shd w:val="clear" w:color="auto" w:fill="FFFFFF"/>
              </w:rPr>
            </w:pPr>
          </w:p>
          <w:p>
            <w:pPr>
              <w:jc w:val="left"/>
              <w:rPr>
                <w:rFonts w:asciiTheme="minorEastAsia" w:hAnsiTheme="minorEastAsia"/>
                <w:sz w:val="28"/>
                <w:szCs w:val="28"/>
                <w:shd w:val="clear" w:color="auto" w:fill="FFFFFF"/>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四大医药商业公司2022年财报全部出炉，营收、净利全线提升。</w:t>
            </w:r>
          </w:p>
          <w:p>
            <w:pPr>
              <w:pStyle w:val="21"/>
              <w:numPr>
                <w:ilvl w:val="0"/>
                <w:numId w:val="1"/>
              </w:numPr>
              <w:ind w:firstLineChars="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四大药商营收+利润均实现双双增长</w:t>
            </w:r>
          </w:p>
          <w:p>
            <w:pPr>
              <w:pStyle w:val="21"/>
              <w:numPr>
                <w:ilvl w:val="0"/>
                <w:numId w:val="1"/>
              </w:numPr>
              <w:ind w:firstLineChars="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不同业务各家表现不一发力点，亦有侧重</w:t>
            </w:r>
          </w:p>
          <w:p>
            <w:pPr>
              <w:pStyle w:val="21"/>
              <w:numPr>
                <w:ilvl w:val="0"/>
                <w:numId w:val="1"/>
              </w:numPr>
              <w:ind w:firstLineChars="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2022年四大药商如何应对带量采购</w:t>
            </w: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Style w:val="13"/>
                <w:rFonts w:cs="Helvetica"/>
                <w:spacing w:val="15"/>
              </w:rPr>
            </w:pPr>
          </w:p>
          <w:p>
            <w:pPr>
              <w:rPr>
                <w:rFonts w:asciiTheme="minorEastAsia" w:hAnsiTheme="minorEastAsia"/>
                <w:sz w:val="28"/>
                <w:szCs w:val="28"/>
                <w:shd w:val="clear" w:color="auto" w:fill="FFFFFF"/>
              </w:rPr>
            </w:pPr>
          </w:p>
          <w:p>
            <w:pPr>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附件4: 国控、华润、上药、九州通2022年财报比较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信息05</w:t>
            </w:r>
          </w:p>
        </w:tc>
        <w:tc>
          <w:tcPr>
            <w:tcW w:w="6946" w:type="dxa"/>
            <w:gridSpan w:val="4"/>
            <w:tcBorders>
              <w:top w:val="outset" w:color="auto" w:sz="6" w:space="0"/>
              <w:left w:val="outset" w:color="auto" w:sz="6" w:space="0"/>
              <w:bottom w:val="inset" w:color="auto" w:sz="6" w:space="0"/>
              <w:right w:val="inset" w:color="auto" w:sz="6" w:space="0"/>
            </w:tcBorders>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统筹政策满月，影响到底有多大？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4</w:t>
            </w:r>
            <w:r>
              <w:rPr>
                <w:rFonts w:asciiTheme="minorEastAsia" w:hAnsiTheme="minorEastAsia" w:eastAsiaTheme="minorEastAsia"/>
                <w:sz w:val="28"/>
                <w:szCs w:val="28"/>
              </w:rPr>
              <w:t>-</w:t>
            </w:r>
            <w:r>
              <w:rPr>
                <w:rFonts w:hint="eastAsia" w:asciiTheme="minorEastAsia" w:hAnsiTheme="minorEastAsia" w:eastAsiaTheme="minorEastAsia"/>
                <w:sz w:val="28"/>
                <w:szCs w:val="28"/>
              </w:rPr>
              <w:t>19</w:t>
            </w:r>
          </w:p>
        </w:tc>
        <w:tc>
          <w:tcPr>
            <w:tcW w:w="1985" w:type="dxa"/>
            <w:gridSpan w:val="2"/>
            <w:tcBorders>
              <w:top w:val="inset" w:color="auto" w:sz="6" w:space="0"/>
            </w:tcBorders>
            <w:vAlign w:val="center"/>
          </w:tcPr>
          <w:p>
            <w:pPr>
              <w:tabs>
                <w:tab w:val="left" w:pos="7088"/>
              </w:tabs>
              <w:jc w:val="center"/>
              <w:rPr>
                <w:b/>
                <w:sz w:val="28"/>
                <w:szCs w:val="28"/>
              </w:rPr>
            </w:pPr>
            <w:r>
              <w:rPr>
                <w:rFonts w:hint="eastAsia"/>
                <w:b/>
                <w:sz w:val="30"/>
                <w:szCs w:val="30"/>
              </w:rPr>
              <w:t>信息来源</w:t>
            </w:r>
          </w:p>
        </w:tc>
        <w:tc>
          <w:tcPr>
            <w:tcW w:w="2693" w:type="dxa"/>
            <w:tcBorders>
              <w:top w:val="inset" w:color="auto" w:sz="6"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28"/>
                <w:szCs w:val="28"/>
              </w:rPr>
            </w:pPr>
            <w:r>
              <w:rPr>
                <w:rFonts w:hint="eastAsia"/>
                <w:b/>
                <w:sz w:val="30"/>
                <w:szCs w:val="30"/>
              </w:rPr>
              <w:t>信息确认</w:t>
            </w:r>
          </w:p>
        </w:tc>
        <w:tc>
          <w:tcPr>
            <w:tcW w:w="2693"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4"/>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46" w:type="dxa"/>
            <w:gridSpan w:val="4"/>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统筹  医保  药品  价格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9"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4"/>
          </w:tcPr>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1、政策方向是降低个人账户的划拨比例，将其转化为门诊待遇水平的提升</w:t>
            </w:r>
          </w:p>
          <w:p>
            <w:pPr>
              <w:ind w:firstLine="560" w:firstLineChars="200"/>
              <w:jc w:val="left"/>
              <w:rPr>
                <w:rFonts w:asciiTheme="minorEastAsia" w:hAnsiTheme="minorEastAsia"/>
                <w:bCs/>
                <w:sz w:val="28"/>
                <w:szCs w:val="28"/>
                <w:shd w:val="clear" w:color="auto" w:fill="FFFFFF"/>
              </w:rPr>
            </w:pPr>
            <w:r>
              <w:rPr>
                <w:rFonts w:hint="eastAsia" w:asciiTheme="minorEastAsia" w:hAnsiTheme="minorEastAsia"/>
                <w:bCs/>
                <w:sz w:val="28"/>
                <w:szCs w:val="28"/>
                <w:shd w:val="clear" w:color="auto" w:fill="FFFFFF"/>
              </w:rPr>
              <w:t>2、医保支付价执行，最终必然降低药品的零售价</w:t>
            </w:r>
          </w:p>
          <w:p>
            <w:pPr>
              <w:ind w:firstLine="560" w:firstLineChars="200"/>
              <w:jc w:val="left"/>
              <w:rPr>
                <w:rFonts w:asciiTheme="minorEastAsia" w:hAnsiTheme="minorEastAsia"/>
                <w:bCs/>
                <w:sz w:val="28"/>
                <w:szCs w:val="28"/>
                <w:shd w:val="clear" w:color="auto" w:fill="FFFFFF"/>
              </w:rPr>
            </w:pPr>
            <w:r>
              <w:rPr>
                <w:rFonts w:hint="eastAsia" w:asciiTheme="minorEastAsia" w:hAnsiTheme="minorEastAsia"/>
                <w:bCs/>
                <w:sz w:val="28"/>
                <w:szCs w:val="28"/>
                <w:shd w:val="clear" w:color="auto" w:fill="FFFFFF"/>
              </w:rPr>
              <w:t>3、基层社区、医疗机构竞争加剧</w:t>
            </w:r>
          </w:p>
          <w:p>
            <w:pPr>
              <w:ind w:firstLine="560" w:firstLineChars="200"/>
              <w:jc w:val="left"/>
              <w:rPr>
                <w:rFonts w:asciiTheme="minorEastAsia" w:hAnsiTheme="minorEastAsia"/>
                <w:bCs/>
                <w:sz w:val="28"/>
                <w:szCs w:val="28"/>
                <w:shd w:val="clear" w:color="auto" w:fill="FFFFFF"/>
              </w:rPr>
            </w:pPr>
            <w:r>
              <w:rPr>
                <w:rFonts w:hint="eastAsia" w:asciiTheme="minorEastAsia" w:hAnsiTheme="minorEastAsia"/>
                <w:bCs/>
                <w:sz w:val="28"/>
                <w:szCs w:val="28"/>
                <w:shd w:val="clear" w:color="auto" w:fill="FFFFFF"/>
              </w:rPr>
              <w:t>4、处方流转的政策因素尚未明确</w:t>
            </w:r>
          </w:p>
          <w:p>
            <w:pPr>
              <w:ind w:firstLine="482" w:firstLineChars="200"/>
              <w:jc w:val="left"/>
              <w:rPr>
                <w:rStyle w:val="13"/>
                <w:rFonts w:cs="Helvetica"/>
                <w:spacing w:val="15"/>
              </w:rPr>
            </w:pPr>
          </w:p>
          <w:p>
            <w:pPr>
              <w:ind w:firstLine="482" w:firstLineChars="200"/>
              <w:jc w:val="left"/>
              <w:rPr>
                <w:rStyle w:val="13"/>
                <w:rFonts w:cs="Helvetica"/>
                <w:spacing w:val="15"/>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附件5: 统筹政策满月，影响到底有多大？</w:t>
            </w:r>
          </w:p>
        </w:tc>
      </w:tr>
    </w:tbl>
    <w:p>
      <w:pPr>
        <w:jc w:val="left"/>
        <w:rPr>
          <w:rFonts w:ascii="微软雅黑" w:hAnsi="微软雅黑" w:eastAsia="微软雅黑" w:cs="宋体"/>
          <w:b/>
          <w:color w:val="333333"/>
          <w:kern w:val="36"/>
          <w:sz w:val="24"/>
        </w:rPr>
        <w:sectPr>
          <w:footerReference r:id="rId3" w:type="default"/>
          <w:pgSz w:w="11906" w:h="16838"/>
          <w:pgMar w:top="1440" w:right="1797" w:bottom="1134" w:left="1797" w:header="851" w:footer="992" w:gutter="0"/>
          <w:cols w:space="425" w:num="1"/>
          <w:titlePg/>
          <w:docGrid w:type="lines" w:linePitch="312" w:charSpace="0"/>
        </w:sectPr>
      </w:pPr>
    </w:p>
    <w:tbl>
      <w:tblPr>
        <w:tblStyle w:val="11"/>
        <w:tblpPr w:leftFromText="180" w:rightFromText="180" w:vertAnchor="text" w:horzAnchor="margin" w:tblpXSpec="center" w:tblpY="3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8"/>
        <w:gridCol w:w="2341"/>
        <w:gridCol w:w="2341"/>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8" w:type="dxa"/>
            <w:vAlign w:val="center"/>
          </w:tcPr>
          <w:p>
            <w:pPr>
              <w:tabs>
                <w:tab w:val="left" w:pos="7088"/>
              </w:tabs>
              <w:jc w:val="center"/>
              <w:rPr>
                <w:b/>
                <w:sz w:val="30"/>
                <w:szCs w:val="30"/>
              </w:rPr>
            </w:pPr>
            <w:r>
              <w:rPr>
                <w:rFonts w:hint="eastAsia"/>
                <w:b/>
                <w:sz w:val="30"/>
                <w:szCs w:val="30"/>
              </w:rPr>
              <w:t>信息06</w:t>
            </w:r>
          </w:p>
        </w:tc>
        <w:tc>
          <w:tcPr>
            <w:tcW w:w="6951" w:type="dxa"/>
            <w:gridSpan w:val="3"/>
            <w:vAlign w:val="center"/>
          </w:tcPr>
          <w:p>
            <w:pPr>
              <w:widowControl/>
              <w:shd w:val="clear" w:color="auto" w:fill="FFFFFF"/>
              <w:spacing w:after="210"/>
              <w:jc w:val="left"/>
              <w:outlineLvl w:val="1"/>
              <w:rPr>
                <w:b/>
                <w:bCs/>
                <w:sz w:val="32"/>
                <w:szCs w:val="32"/>
              </w:rPr>
            </w:pPr>
            <w:r>
              <w:rPr>
                <w:rFonts w:hint="eastAsia" w:asciiTheme="minorEastAsia" w:hAnsiTheme="minorEastAsia" w:eastAsiaTheme="minorEastAsia"/>
                <w:b/>
                <w:sz w:val="36"/>
                <w:szCs w:val="36"/>
              </w:rPr>
              <w:t>每年流失33%客户，药店如何破局？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088"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3</w:t>
            </w:r>
            <w:r>
              <w:rPr>
                <w:rFonts w:asciiTheme="minorEastAsia" w:hAnsiTheme="minorEastAsia" w:eastAsiaTheme="minorEastAsia"/>
                <w:sz w:val="30"/>
                <w:szCs w:val="30"/>
              </w:rPr>
              <w:t>-</w:t>
            </w:r>
            <w:r>
              <w:rPr>
                <w:rFonts w:hint="eastAsia" w:asciiTheme="minorEastAsia" w:hAnsiTheme="minorEastAsia" w:eastAsiaTheme="minorEastAsia"/>
                <w:sz w:val="30"/>
                <w:szCs w:val="30"/>
              </w:rPr>
              <w:t>4</w:t>
            </w:r>
            <w:r>
              <w:rPr>
                <w:rFonts w:asciiTheme="minorEastAsia" w:hAnsiTheme="minorEastAsia" w:eastAsiaTheme="minorEastAsia"/>
                <w:sz w:val="30"/>
                <w:szCs w:val="30"/>
              </w:rPr>
              <w:t>-</w:t>
            </w:r>
            <w:r>
              <w:rPr>
                <w:rFonts w:hint="eastAsia" w:asciiTheme="minorEastAsia" w:hAnsiTheme="minorEastAsia" w:eastAsiaTheme="minorEastAsia"/>
                <w:sz w:val="30"/>
                <w:szCs w:val="30"/>
              </w:rPr>
              <w:t>1</w:t>
            </w:r>
          </w:p>
        </w:tc>
        <w:tc>
          <w:tcPr>
            <w:tcW w:w="2341" w:type="dxa"/>
            <w:vAlign w:val="center"/>
          </w:tcPr>
          <w:p>
            <w:pPr>
              <w:tabs>
                <w:tab w:val="left" w:pos="7088"/>
              </w:tabs>
              <w:jc w:val="center"/>
              <w:rPr>
                <w:b/>
                <w:sz w:val="30"/>
                <w:szCs w:val="30"/>
              </w:rPr>
            </w:pPr>
            <w:r>
              <w:rPr>
                <w:rFonts w:hint="eastAsia"/>
                <w:b/>
                <w:sz w:val="30"/>
                <w:szCs w:val="30"/>
              </w:rPr>
              <w:t>信息来源</w:t>
            </w:r>
          </w:p>
        </w:tc>
        <w:tc>
          <w:tcPr>
            <w:tcW w:w="2269" w:type="dxa"/>
            <w:vAlign w:val="center"/>
          </w:tcPr>
          <w:p>
            <w:pPr>
              <w:tabs>
                <w:tab w:val="left" w:pos="7088"/>
              </w:tabs>
              <w:jc w:val="center"/>
              <w:rPr>
                <w:sz w:val="28"/>
                <w:szCs w:val="28"/>
              </w:rPr>
            </w:pP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088"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269"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088"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951" w:type="dxa"/>
            <w:gridSpan w:val="3"/>
            <w:tcBorders>
              <w:bottom w:val="single" w:color="auto" w:sz="4" w:space="0"/>
            </w:tcBorders>
            <w:vAlign w:val="center"/>
          </w:tcPr>
          <w:p>
            <w:pPr>
              <w:tabs>
                <w:tab w:val="left" w:pos="7088"/>
              </w:tabs>
              <w:jc w:val="left"/>
              <w:rPr>
                <w:sz w:val="28"/>
                <w:szCs w:val="28"/>
              </w:rPr>
            </w:pPr>
            <w:r>
              <w:rPr>
                <w:rFonts w:hint="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088"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51"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ajorEastAsia" w:hAnsiTheme="majorEastAsia" w:eastAsiaTheme="majorEastAsia"/>
                <w:kern w:val="0"/>
                <w:sz w:val="30"/>
                <w:szCs w:val="30"/>
              </w:rPr>
              <w:t>药店  顾客  管理  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088" w:type="dxa"/>
            <w:vAlign w:val="center"/>
          </w:tcPr>
          <w:p>
            <w:pPr>
              <w:tabs>
                <w:tab w:val="left" w:pos="7088"/>
              </w:tabs>
              <w:jc w:val="center"/>
              <w:rPr>
                <w:b/>
                <w:sz w:val="30"/>
                <w:szCs w:val="30"/>
              </w:rPr>
            </w:pPr>
            <w:r>
              <w:rPr>
                <w:b/>
                <w:sz w:val="30"/>
                <w:szCs w:val="30"/>
              </w:rPr>
              <w:t>内容概要</w:t>
            </w:r>
          </w:p>
        </w:tc>
        <w:tc>
          <w:tcPr>
            <w:tcW w:w="6951" w:type="dxa"/>
            <w:gridSpan w:val="3"/>
            <w:vAlign w:val="center"/>
          </w:tcPr>
          <w:p>
            <w:pPr>
              <w:rPr>
                <w:rFonts w:asciiTheme="minorEastAsia" w:hAnsiTheme="minorEastAsia"/>
                <w:sz w:val="28"/>
                <w:szCs w:val="28"/>
              </w:rPr>
            </w:pPr>
          </w:p>
          <w:p>
            <w:pPr>
              <w:rPr>
                <w:rFonts w:asciiTheme="minorEastAsia" w:hAnsiTheme="minorEastAsia"/>
                <w:sz w:val="28"/>
                <w:szCs w:val="28"/>
              </w:rPr>
            </w:pPr>
          </w:p>
          <w:p>
            <w:pPr>
              <w:spacing w:line="480" w:lineRule="auto"/>
              <w:ind w:firstLine="560" w:firstLineChars="200"/>
              <w:rPr>
                <w:rFonts w:asciiTheme="minorEastAsia" w:hAnsiTheme="minorEastAsia"/>
                <w:sz w:val="28"/>
                <w:szCs w:val="28"/>
              </w:rPr>
            </w:pPr>
            <w:r>
              <w:rPr>
                <w:rFonts w:hint="eastAsia" w:asciiTheme="minorEastAsia" w:hAnsiTheme="minorEastAsia"/>
                <w:sz w:val="28"/>
                <w:szCs w:val="28"/>
              </w:rPr>
              <w:t>线下药店订单数持续下降，“客流保卫战”已然打响。通过重构场景，稳住客流，成为当下连锁药店积极探索的发展路线。</w:t>
            </w: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1、引进店：创造“社交场景”，以顾客黏顾客</w:t>
            </w: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2、走出去：深入社区，强化信任感与品牌力</w:t>
            </w: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3、留下来：从会员分级、服务分级到员工分级</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附件6:</w:t>
            </w:r>
            <w:r>
              <w:rPr>
                <w:rFonts w:hint="eastAsia" w:ascii="宋体" w:hAnsi="宋体" w:cs="宋体"/>
                <w:b/>
                <w:kern w:val="0"/>
                <w:szCs w:val="21"/>
              </w:rPr>
              <w:t xml:space="preserve"> </w:t>
            </w:r>
            <w:r>
              <w:rPr>
                <w:rFonts w:hint="eastAsia"/>
              </w:rPr>
              <w:t>每年流失33%客户，药店如何破局？</w:t>
            </w:r>
          </w:p>
        </w:tc>
      </w:tr>
    </w:tbl>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中康CMH《疫情后时代国民健康趋势洞察报告》</w:t>
      </w:r>
    </w:p>
    <w:p>
      <w:pPr>
        <w:jc w:val="left"/>
      </w:pPr>
    </w:p>
    <w:p>
      <w:r>
        <w:rPr>
          <w:rFonts w:hint="eastAsia"/>
        </w:rPr>
        <w:t>原创 消费者研究中心 第一药店财智 2023-04-21</w:t>
      </w:r>
    </w:p>
    <w:p>
      <w:pPr>
        <w:rPr>
          <w:rStyle w:val="13"/>
          <w:rFonts w:cs="Helvetica" w:asciiTheme="minorEastAsia" w:hAnsiTheme="minorEastAsia"/>
          <w:b w:val="0"/>
          <w:spacing w:val="15"/>
          <w:sz w:val="96"/>
          <w:szCs w:val="28"/>
        </w:rPr>
      </w:pPr>
    </w:p>
    <w:p>
      <w:pPr>
        <w:ind w:firstLine="540" w:firstLineChars="200"/>
        <w:rPr>
          <w:rStyle w:val="14"/>
          <w:rFonts w:ascii="Helvetica" w:hAnsi="Helvetica" w:cs="Helvetica"/>
          <w:i w:val="0"/>
          <w:color w:val="888888"/>
          <w:spacing w:val="30"/>
          <w:szCs w:val="21"/>
          <w:shd w:val="clear" w:color="auto" w:fill="F7F7F7"/>
        </w:rPr>
      </w:pPr>
    </w:p>
    <w:p>
      <w:pPr>
        <w:ind w:firstLine="540" w:firstLineChars="200"/>
        <w:rPr>
          <w:rFonts w:cs="Helvetica" w:asciiTheme="minorEastAsia" w:hAnsiTheme="minorEastAsia"/>
          <w:bCs/>
          <w:i/>
          <w:spacing w:val="15"/>
          <w:szCs w:val="21"/>
        </w:rPr>
      </w:pPr>
      <w:r>
        <w:rPr>
          <w:rStyle w:val="14"/>
          <w:rFonts w:ascii="Helvetica" w:hAnsi="Helvetica" w:cs="Helvetica"/>
          <w:i w:val="0"/>
          <w:color w:val="888888"/>
          <w:spacing w:val="30"/>
          <w:szCs w:val="21"/>
          <w:shd w:val="clear" w:color="auto" w:fill="F7F7F7"/>
        </w:rPr>
        <w:t>疫情后时代，国民健康需求怎么变？中康消费者研究中心重磅发布《疫情后时代国民健康趋势洞察报告》，立足疫情后(2023年)，回顾疫情初期(2021年)，洞见趋势，探索疫情后时代重点策略人群的干预机会。</w:t>
      </w:r>
    </w:p>
    <w:p>
      <w:pPr>
        <w:rPr>
          <w:spacing w:val="30"/>
          <w:sz w:val="23"/>
          <w:szCs w:val="23"/>
        </w:rPr>
      </w:pPr>
      <w:r>
        <w:rPr>
          <w:rFonts w:hint="eastAsia" w:ascii="微软雅黑" w:hAnsi="微软雅黑" w:eastAsia="微软雅黑"/>
          <w:b/>
          <w:bCs/>
          <w:color w:val="CD0202"/>
          <w:spacing w:val="30"/>
          <w:sz w:val="60"/>
          <w:szCs w:val="60"/>
          <w:shd w:val="clear" w:color="auto" w:fill="FFFFFF"/>
        </w:rPr>
        <w:t>01</w:t>
      </w:r>
      <w:r>
        <w:rPr>
          <w:rStyle w:val="13"/>
          <w:spacing w:val="30"/>
          <w:sz w:val="28"/>
        </w:rPr>
        <w:t>新周期：复苏与变局并存</w:t>
      </w:r>
    </w:p>
    <w:p>
      <w:pPr>
        <w:ind w:firstLine="680" w:firstLineChars="200"/>
        <w:rPr>
          <w:rFonts w:asciiTheme="minorEastAsia" w:hAnsiTheme="minorEastAsia"/>
          <w:spacing w:val="30"/>
          <w:sz w:val="28"/>
          <w:szCs w:val="28"/>
        </w:rPr>
      </w:pPr>
      <w:r>
        <w:rPr>
          <w:rFonts w:asciiTheme="minorEastAsia" w:hAnsiTheme="minorEastAsia"/>
          <w:spacing w:val="30"/>
          <w:sz w:val="28"/>
          <w:szCs w:val="28"/>
        </w:rPr>
        <w:t>2023年2月以来新冠长期处于低水平流行状态，预示中国从“后疫情时代”更迭，进入复苏与变局并存的全新周期——“疫情后时代”。</w:t>
      </w:r>
    </w:p>
    <w:p>
      <w:pPr>
        <w:ind w:firstLine="680" w:firstLineChars="200"/>
        <w:rPr>
          <w:rFonts w:asciiTheme="minorEastAsia" w:hAnsiTheme="minorEastAsia"/>
          <w:spacing w:val="30"/>
          <w:sz w:val="28"/>
          <w:szCs w:val="28"/>
        </w:rPr>
      </w:pPr>
      <w:r>
        <w:rPr>
          <w:rStyle w:val="13"/>
          <w:rFonts w:asciiTheme="minorEastAsia" w:hAnsiTheme="minorEastAsia"/>
          <w:b w:val="0"/>
          <w:spacing w:val="30"/>
          <w:sz w:val="28"/>
          <w:szCs w:val="28"/>
        </w:rPr>
        <w:t>宏观经济复苏，医药健康景气延续。</w:t>
      </w:r>
      <w:r>
        <w:rPr>
          <w:rFonts w:asciiTheme="minorEastAsia" w:hAnsiTheme="minorEastAsia"/>
          <w:spacing w:val="30"/>
          <w:sz w:val="28"/>
          <w:szCs w:val="28"/>
        </w:rPr>
        <w:t>春节后，出行、餐饮、文旅等多行业消费在春节后显著复苏；据亚洲开发银行预测2023年中国经济增长率有望达到5%。聚焦医药健康行业，2023年1-2月医药健康行业各渠道仍保持向上活力：医院诊疗人次基本恢复到疫情前水平，药店和B2C受益于滋补保健、免疫品类驱动同比双位数增长。而据中康CMH预测，全民健康浪潮、政策支撑、疫后恢复的多重背景下，行业景气仍将延续，2023年药品全渠道同比仍将保持稳健增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外部多变的健康环境是变局之一。甲流等流行病再起风波、而据张文宏等专家预测，个体免疫力在6个月内将下降至低值，2023Q2新冠仍有大流行可能。</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变局更来源于消费者心智及需求迭代。疫情三年期间健康成为国民头等大事，消费者对健康的关注度、购药需求、资讯关注度显著提升，并促进线上购药渗透提速；而随着疫情淡去，消费者的健康习惯是否会持续，成为疫情后时代医药健康市场的最大不确定性，亦对药企C端策略、媒介资源投入、品种和渠道布局提出更多挑战。</w:t>
      </w:r>
    </w:p>
    <w:p>
      <w:pPr>
        <w:rPr>
          <w:rStyle w:val="13"/>
          <w:rFonts w:cs="Helvetica" w:asciiTheme="minorEastAsia" w:hAnsiTheme="minorEastAsia"/>
          <w:b w:val="0"/>
          <w:spacing w:val="15"/>
          <w:sz w:val="28"/>
          <w:szCs w:val="28"/>
        </w:rPr>
      </w:pPr>
    </w:p>
    <w:p>
      <w:pPr>
        <w:rPr>
          <w:spacing w:val="30"/>
          <w:sz w:val="23"/>
          <w:szCs w:val="23"/>
        </w:rPr>
      </w:pPr>
      <w:r>
        <w:rPr>
          <w:rFonts w:hint="eastAsia" w:ascii="微软雅黑" w:hAnsi="微软雅黑" w:eastAsia="微软雅黑"/>
          <w:b/>
          <w:bCs/>
          <w:color w:val="CD0202"/>
          <w:spacing w:val="30"/>
          <w:sz w:val="60"/>
          <w:szCs w:val="60"/>
          <w:shd w:val="clear" w:color="auto" w:fill="FFFFFF"/>
        </w:rPr>
        <w:t>02</w:t>
      </w:r>
      <w:r>
        <w:rPr>
          <w:rStyle w:val="13"/>
          <w:spacing w:val="30"/>
          <w:sz w:val="28"/>
        </w:rPr>
        <w:t>疫情后时代健康趋势洞察</w:t>
      </w:r>
    </w:p>
    <w:p>
      <w:pPr>
        <w:ind w:firstLine="680" w:firstLineChars="200"/>
        <w:rPr>
          <w:rFonts w:asciiTheme="minorEastAsia" w:hAnsiTheme="minorEastAsia"/>
          <w:spacing w:val="30"/>
          <w:sz w:val="28"/>
          <w:szCs w:val="28"/>
        </w:rPr>
      </w:pPr>
      <w:r>
        <w:rPr>
          <w:rFonts w:asciiTheme="minorEastAsia" w:hAnsiTheme="minorEastAsia"/>
          <w:spacing w:val="30"/>
          <w:sz w:val="28"/>
          <w:szCs w:val="28"/>
        </w:rPr>
        <w:t>《疫情后时代国民健康趋势洞察报告（2023年）》中，</w:t>
      </w:r>
      <w:r>
        <w:rPr>
          <w:rStyle w:val="13"/>
          <w:rFonts w:asciiTheme="minorEastAsia" w:hAnsiTheme="minorEastAsia"/>
          <w:b w:val="0"/>
          <w:spacing w:val="30"/>
          <w:sz w:val="28"/>
          <w:szCs w:val="28"/>
        </w:rPr>
        <w:t>中康消费者研究中心</w:t>
      </w:r>
      <w:r>
        <w:rPr>
          <w:rFonts w:asciiTheme="minorEastAsia" w:hAnsiTheme="minorEastAsia"/>
          <w:spacing w:val="30"/>
          <w:sz w:val="28"/>
          <w:szCs w:val="28"/>
        </w:rPr>
        <w:t>从消费观念、健康需求、健康产品、购药和触媒渠道多个角度，揭示疫情后时代消费者的真实需求和心智变化。</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2.1消费观念更新</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尽管国内经济释放复苏信号，但大多数国民对未来收入预期仍不乐观；而消极的收入预期将直接影响居民消费支出、消费观念，消费者将在日常衣食住行、文旅、医疗保健、家庭支出等各项消费上做出权衡。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医疗保健是疫情后时代的稳健消费趋势。报告调研显示，仍有47.3%的受访者未来考虑增加健康消费支出。但稳健之中仍有变化，疫情冲击下消费者品类需求、品牌选择考虑因素、支付观念亦在发生转变。</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2.2健康需求进阶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封控、新冠感染，既改变了人们的生活方式，也深刻影响国民健康意识、现状和需求。睡眠困扰、情绪/心理困扰、眼部不适、呼吸道不适、泌尿系统疾病等与新冠高度相关的健康问题，在疫情后时代更多被关注到。国民高度关注健康，对健康的认知跃迁，疾病图谱改变，国民健康需求从“不容易生病”向全面的健康进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2.3健康产品新潮</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疫情期间消费者养成大量囤积药械的习惯，而在疫情后，提升免疫力又成为国民普遍共识；短短几个月内消费者的需求创造了一个又一个品类销售奇迹。在疫情后时代，火热一时的防疫药物需求是否回归理性？又有哪些细分品类处于风口？将是疫情后时代药企产品布局和品牌传播的关键。</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2.4渠道格局重塑</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疫情期间医疗资源挤兑，零售药店和线上电商渠道购药迎来快速增长；同时，消费者养成了密切关注疫情资讯的习惯，短视频依托平台流量跃居疫情时期的最大健康信息窗口。在疫情后时代，消费者院外和线上购药习惯是否延续？面对海量信息，哪些平台、什么类型的信息更受消费者信赖？跟随消费者购药、触媒渠道的新选择，将决定品牌资源投入、销售变现的成败。</w:t>
      </w:r>
    </w:p>
    <w:p>
      <w:pPr>
        <w:rPr>
          <w:rStyle w:val="13"/>
          <w:spacing w:val="30"/>
          <w:sz w:val="28"/>
        </w:rPr>
      </w:pPr>
      <w:r>
        <w:rPr>
          <w:rFonts w:hint="eastAsia" w:ascii="微软雅黑" w:hAnsi="微软雅黑" w:eastAsia="微软雅黑"/>
          <w:b/>
          <w:bCs/>
          <w:color w:val="CD0202"/>
          <w:spacing w:val="30"/>
          <w:sz w:val="60"/>
          <w:szCs w:val="60"/>
          <w:shd w:val="clear" w:color="auto" w:fill="FFFFFF"/>
        </w:rPr>
        <w:t>03</w:t>
      </w:r>
      <w:r>
        <w:rPr>
          <w:rStyle w:val="13"/>
          <w:spacing w:val="30"/>
          <w:sz w:val="28"/>
        </w:rPr>
        <w:t>“一老一少”重点人群洞察</w:t>
      </w:r>
    </w:p>
    <w:p>
      <w:pPr>
        <w:rPr>
          <w:rStyle w:val="13"/>
          <w:spacing w:val="30"/>
          <w:sz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银发一族、儿童及青少年作为疫情后时代的易感人群，对健康的需求尤为旺盛；更好满足一老一少的健康需求，成为药企疫情后时代的机遇与挑战。</w:t>
      </w:r>
    </w:p>
    <w:p>
      <w:pPr>
        <w:rPr>
          <w:rStyle w:val="13"/>
          <w:rFonts w:cs="Helvetica" w:asciiTheme="minorEastAsia" w:hAnsiTheme="minorEastAsia"/>
          <w:b w:val="0"/>
          <w:spacing w:val="15"/>
          <w:sz w:val="28"/>
          <w:szCs w:val="28"/>
        </w:rPr>
      </w:pPr>
    </w:p>
    <w:p>
      <w:pPr>
        <w:rPr>
          <w:rFonts w:ascii="微软雅黑" w:hAnsi="微软雅黑" w:eastAsia="微软雅黑" w:cs="宋体"/>
          <w:color w:val="333333"/>
          <w:spacing w:val="8"/>
          <w:kern w:val="0"/>
          <w:sz w:val="28"/>
          <w:szCs w:val="33"/>
        </w:rPr>
      </w:pPr>
      <w:r>
        <w:rPr>
          <w:rStyle w:val="13"/>
          <w:rFonts w:hint="eastAsia" w:cs="Helvetica" w:asciiTheme="minorEastAsia" w:hAnsiTheme="minorEastAsia"/>
          <w:b w:val="0"/>
          <w:spacing w:val="15"/>
          <w:sz w:val="28"/>
          <w:szCs w:val="28"/>
        </w:rPr>
        <w:t>附：</w:t>
      </w:r>
      <w:r>
        <w:rPr>
          <w:rFonts w:hint="eastAsia" w:cs="宋体" w:asciiTheme="minorEastAsia" w:hAnsiTheme="minorEastAsia"/>
          <w:color w:val="333333"/>
          <w:spacing w:val="8"/>
          <w:kern w:val="0"/>
          <w:sz w:val="28"/>
          <w:szCs w:val="33"/>
        </w:rPr>
        <w:t>中康CMH《疫情后时代国民健康趋势洞察报告》预览版</w:t>
      </w:r>
    </w:p>
    <w:p>
      <w:pPr>
        <w:rPr>
          <w:rStyle w:val="13"/>
          <w:rFonts w:cs="Helvetica" w:asciiTheme="minorEastAsia" w:hAnsiTheme="minorEastAsia"/>
          <w:b w:val="0"/>
          <w:spacing w:val="15"/>
          <w:sz w:val="48"/>
          <w:szCs w:val="48"/>
        </w:rPr>
      </w:pPr>
    </w:p>
    <w:p>
      <w:pPr>
        <w:rPr>
          <w:rStyle w:val="13"/>
          <w:rFonts w:cs="Helvetica" w:asciiTheme="minorEastAsia" w:hAnsiTheme="minorEastAsia"/>
          <w:b w:val="0"/>
          <w:spacing w:val="15"/>
          <w:sz w:val="48"/>
          <w:szCs w:val="48"/>
        </w:rPr>
      </w:pPr>
    </w:p>
    <w:p>
      <w:pPr>
        <w:rPr>
          <w:rStyle w:val="13"/>
          <w:rFonts w:cs="Helvetica" w:asciiTheme="minorEastAsia" w:hAnsiTheme="minorEastAsia"/>
          <w:b w:val="0"/>
          <w:spacing w:val="15"/>
          <w:sz w:val="48"/>
          <w:szCs w:val="48"/>
        </w:rPr>
        <w:sectPr>
          <w:pgSz w:w="11906" w:h="16838"/>
          <w:pgMar w:top="1440" w:right="1800" w:bottom="1440" w:left="1800" w:header="851" w:footer="992" w:gutter="0"/>
          <w:cols w:space="425" w:num="1"/>
          <w:docGrid w:type="lines" w:linePitch="312" w:charSpace="0"/>
        </w:sectPr>
      </w:pPr>
      <w:bookmarkStart w:id="0" w:name="_GoBack"/>
      <w:bookmarkEnd w:id="0"/>
    </w:p>
    <w:p>
      <w:pPr>
        <w:rPr>
          <w:rFonts w:ascii="微软雅黑" w:hAnsi="微软雅黑" w:eastAsia="微软雅黑" w:cs="宋体"/>
          <w:b/>
          <w:color w:val="333333"/>
          <w:kern w:val="36"/>
          <w:sz w:val="24"/>
        </w:rPr>
        <w:sectPr>
          <w:pgSz w:w="16838" w:h="11906" w:orient="landscape"/>
          <w:pgMar w:top="1797" w:right="1134" w:bottom="1797" w:left="1440" w:header="851" w:footer="992" w:gutter="0"/>
          <w:cols w:space="425" w:num="1"/>
          <w:titlePg/>
          <w:docGrid w:type="lines" w:linePitch="312" w:charSpace="0"/>
        </w:sect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w:t>
      </w:r>
      <w:r>
        <w:rPr>
          <w:rFonts w:ascii="微软雅黑" w:hAnsi="微软雅黑" w:eastAsia="微软雅黑" w:cs="宋体"/>
          <w:b/>
          <w:color w:val="333333"/>
          <w:kern w:val="36"/>
          <w:sz w:val="24"/>
        </w:rPr>
        <w:t>3</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全国药店数量已突破62.3万（附各省数据）</w:t>
      </w:r>
    </w:p>
    <w:p>
      <w:pPr>
        <w:jc w:val="left"/>
      </w:pPr>
    </w:p>
    <w:p>
      <w:pPr>
        <w:widowControl/>
        <w:jc w:val="left"/>
        <w:rPr>
          <w:rFonts w:ascii="宋体" w:hAnsi="宋体" w:cs="宋体"/>
          <w:b/>
          <w:bCs/>
          <w:kern w:val="0"/>
          <w:sz w:val="24"/>
          <w:szCs w:val="24"/>
        </w:rPr>
      </w:pPr>
      <w:r>
        <w:rPr>
          <w:rFonts w:hint="eastAsia"/>
        </w:rPr>
        <w:t>谷丰观点 2023-04-20</w:t>
      </w:r>
    </w:p>
    <w:p>
      <w:pPr>
        <w:rPr>
          <w:rStyle w:val="13"/>
          <w:rFonts w:cs="Helvetica" w:asciiTheme="minorEastAsia" w:hAnsiTheme="minorEastAsia"/>
          <w:b w:val="0"/>
          <w:spacing w:val="15"/>
          <w:sz w:val="96"/>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4月19日，国家药监局发布《药品监督管理统计年度数据（2022年）》。</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统计数据显示：截至2022年12 月底，全国共有《药品经营许可证》持证企业 643857家。其中，批发企业13908家，零售连锁总部 6650 家，零售连锁门店 360023家，单体药店 263276 家。</w:t>
      </w:r>
    </w:p>
    <w:p>
      <w:pPr>
        <w:ind w:firstLine="622" w:firstLineChars="200"/>
        <w:rPr>
          <w:rStyle w:val="13"/>
          <w:rFonts w:cs="Helvetica" w:asciiTheme="minorEastAsia" w:hAnsiTheme="minorEastAsia"/>
          <w:spacing w:val="15"/>
          <w:sz w:val="28"/>
          <w:szCs w:val="28"/>
        </w:rPr>
      </w:pPr>
      <w:r>
        <w:rPr>
          <w:rStyle w:val="13"/>
          <w:rFonts w:hint="eastAsia" w:cs="Helvetica" w:asciiTheme="minorEastAsia" w:hAnsiTheme="minorEastAsia"/>
          <w:spacing w:val="15"/>
          <w:sz w:val="28"/>
          <w:szCs w:val="28"/>
        </w:rPr>
        <w:t>&gt;&gt;广东、四川、山东药店数量位居top3</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2022年，全国药店数量继续保持增长态势，达到 62.33万家，比2021年的58.96万家，增加了近3.37万家；连锁率由57.2%提升至57.8％；连锁企业数量由6596家增加至6650家，增加了54家。</w:t>
      </w:r>
    </w:p>
    <w:p>
      <w:pPr>
        <w:jc w:val="cente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4248150" cy="1781175"/>
            <wp:effectExtent l="0" t="0" r="0" b="9525"/>
            <wp:docPr id="32" name="图片 32" descr="C:\Users\Administrator\Documents\WeChat Files\ppdeboke\FileStorage\Temp\e6f839b7b5e653c86dd0d5da12558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ocuments\WeChat Files\ppdeboke\FileStorage\Temp\e6f839b7b5e653c86dd0d5da12558a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48150" cy="1781175"/>
                    </a:xfrm>
                    <a:prstGeom prst="rect">
                      <a:avLst/>
                    </a:prstGeom>
                    <a:noFill/>
                    <a:ln>
                      <a:noFill/>
                    </a:ln>
                  </pic:spPr>
                </pic:pic>
              </a:graphicData>
            </a:graphic>
          </wp:inline>
        </w:drawing>
      </w:r>
    </w:p>
    <w:p>
      <w:pPr>
        <w:jc w:val="cente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2"/>
          <w:szCs w:val="28"/>
        </w:rPr>
        <w:t>2020-2022年全国药店数量增长情况</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连锁门店与单体药店齐增长，连锁门店的增长率为6.7%， 数量由2021年底的33.74万家增加至36 万家；单体门店的增长率为4.4%，数量从2021年底的25.23 万家增加至26.33 万家。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从数量上看，广东、四川、山东的药店数最多，分别为62197家、49876家、47240家。连锁率方面，上海、四川最高，上海为91.9%，四川为86.2%。</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整体来看，多数省（区、市）的药店数量呈现增长的态势。从广东、山东、江苏等相对发达地区的情况来看，连锁门店基本是正增长的态势。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2022年底山东连锁门店数量为34218家，相比2021年底的33073家增长了1145家，单体药店由2021年底的12020家增长至13022家；江苏连锁门店数量三季度增加了1385家为18387家，单体药店则增加了近1000家。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广东的开店步伐十分热烈，连锁门店数量为28282家，相对于2021年底的23092家，增加了5190家，增长率达到18.4％。北京则出现了连锁门店与单体药店此消彼长的情况，连锁门店从2021年底的2583家减少至2488家，单体药店从2333家增加至2450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全国的范围来看，在山西、吉林、江西、福建、广东、贵州、陕西、甘肃、重庆、天津等省、直辖市，单体药店的数量多于连锁门店数量。不过相较于2021年底，天津、山西、吉林、江西、湖北、四川以及云南等省（区、市）的单体药店数量均有所下降。</w:t>
      </w:r>
    </w:p>
    <w:p>
      <w:pPr>
        <w:ind w:firstLine="622" w:firstLineChars="200"/>
        <w:rPr>
          <w:rStyle w:val="13"/>
          <w:rFonts w:cs="Helvetica" w:asciiTheme="minorEastAsia" w:hAnsiTheme="minorEastAsia"/>
          <w:spacing w:val="15"/>
          <w:sz w:val="28"/>
          <w:szCs w:val="28"/>
        </w:rPr>
      </w:pPr>
      <w:r>
        <w:rPr>
          <w:rStyle w:val="13"/>
          <w:rFonts w:hint="eastAsia" w:cs="Helvetica" w:asciiTheme="minorEastAsia" w:hAnsiTheme="minorEastAsia"/>
          <w:spacing w:val="15"/>
          <w:sz w:val="28"/>
          <w:szCs w:val="28"/>
        </w:rPr>
        <w:t>&gt;&gt;头部连锁影响力不断增强</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一方面，药店门店数量屡创新高，与此同时，行业集中度进入加速提升状态。</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商务部发布的关于“十四五”时期促进药品流通行业高质量发展的指导意见提出，到2025年培育形成5-10家超五百亿元的专业化、多元化药品零售连锁企业，药品零售百强企业年销售额占药品零售市场总额65%以上；药品零售连锁率接近70%。</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具体到地方监管部门，一系列文件的出台为连锁药店的扩张提供了有利的政策环境。如海南药监局在《关于印发激发市场活力促进药品流通企业高质量发展实施意见的通知》支持药品零售连锁企业通过兼并、重组、加盟等方式，整合其他药品零售企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政策红利叠加扩张需求，头部连锁的市场影响力正不断加强。老百姓在日前举行的机构投资者交流活动会上认为，在医保改革政策的持续推进下，龙头连锁药店优势较中小药店更为明显；中小药店抗风险能力相对较低；在规模效应、议价能力、商品调配能力方面连锁龙头药店优势更为明显。</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去年率先突破万家门店规模的老百姓表态，2023年公司门店依然会保持快速扩张趋势，聚焦”9+7“战略，其中加盟方式增长会加快。</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同样跻身”万店俱乐部“的大参林也明确了增长目标。机构调研纪要显示，大参林预计，今年整体门店增长不会低于3000家。近期披露的募资公告表明，未来三年将在广东、广西、河南、黑龙江、江苏、陕西、重庆等地区选址投资开设3600家医药连锁门店。</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健之佳此前接受机构调研时表示，2023年计划新增门店不低于1000家，增速预计超2021年900多家、2022年1000多家的水平，其中自建门店700余家，收购项目将聚焦于公司空白、薄弱区域。漱玉平民近期也有并购大动作，如若能够取得辽宁天士力以及济南平嘉的控制权，辽宁省域以及山东济的南医药零售市场将进一步被漱玉平民“掌控”。</w:t>
      </w:r>
    </w:p>
    <w:p>
      <w:pPr>
        <w:rPr>
          <w:rStyle w:val="13"/>
          <w:rFonts w:ascii="微软雅黑" w:hAnsi="微软雅黑" w:eastAsia="微软雅黑"/>
          <w:color w:val="3F3F3F"/>
          <w:spacing w:val="15"/>
          <w:sz w:val="23"/>
          <w:szCs w:val="23"/>
        </w:rPr>
      </w:pPr>
    </w:p>
    <w:p>
      <w:pPr>
        <w:rPr>
          <w:rStyle w:val="13"/>
          <w:rFonts w:cs="Helvetica" w:asciiTheme="minorEastAsia" w:hAnsiTheme="minorEastAsia"/>
          <w:b w:val="0"/>
          <w:spacing w:val="15"/>
          <w:sz w:val="28"/>
          <w:szCs w:val="28"/>
        </w:rPr>
      </w:pPr>
      <w:r>
        <w:rPr>
          <w:rStyle w:val="13"/>
          <w:rFonts w:hint="eastAsia" w:ascii="微软雅黑" w:hAnsi="微软雅黑" w:eastAsia="微软雅黑"/>
          <w:color w:val="3F3F3F"/>
          <w:spacing w:val="15"/>
          <w:sz w:val="23"/>
          <w:szCs w:val="23"/>
        </w:rPr>
        <w:t>附：截至 2022 年底各省（区、市）药品经营企业许可情况</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7587615"/>
            <wp:effectExtent l="0" t="0" r="2540" b="0"/>
            <wp:docPr id="8" name="图片 8" descr="C:\Users\Administrator\Documents\WeChat Files\ppdeboke\FileStorage\Temp\f5a824b6c281b2a22a9aa7e98b7a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ppdeboke\FileStorage\Temp\f5a824b6c281b2a22a9aa7e98b7a454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7588083"/>
                    </a:xfrm>
                    <a:prstGeom prst="rect">
                      <a:avLst/>
                    </a:prstGeom>
                    <a:noFill/>
                    <a:ln>
                      <a:noFill/>
                    </a:ln>
                  </pic:spPr>
                </pic:pic>
              </a:graphicData>
            </a:graphic>
          </wp:inline>
        </w:drawing>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w:t>
      </w:r>
      <w:r>
        <w:rPr>
          <w:rFonts w:ascii="微软雅黑" w:hAnsi="微软雅黑" w:eastAsia="微软雅黑" w:cs="宋体"/>
          <w:b/>
          <w:color w:val="333333"/>
          <w:kern w:val="36"/>
          <w:sz w:val="24"/>
        </w:rPr>
        <w:t>4</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最新！四大药商业绩比拼：国控、华润、上药、九州通（附图表）</w:t>
      </w:r>
    </w:p>
    <w:p>
      <w:pPr>
        <w:jc w:val="left"/>
      </w:pPr>
    </w:p>
    <w:p>
      <w:r>
        <w:rPr>
          <w:rFonts w:hint="eastAsia"/>
        </w:rPr>
        <w:t>原创 遥望 陈芋 赛柏蓝 2023-04-25</w:t>
      </w:r>
    </w:p>
    <w:p>
      <w:pPr>
        <w:rPr>
          <w:rStyle w:val="13"/>
          <w:rFonts w:cs="Helvetica" w:asciiTheme="minorEastAsia" w:hAnsiTheme="minorEastAsia"/>
          <w:b w:val="0"/>
          <w:spacing w:val="15"/>
          <w:sz w:val="96"/>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四大医药商业公司2022年财报全部出炉，营收、净利全线提升。</w:t>
      </w:r>
    </w:p>
    <w:p>
      <w:pPr>
        <w:widowControl/>
        <w:jc w:val="left"/>
        <w:rPr>
          <w:rFonts w:ascii="宋体" w:hAnsi="宋体" w:cs="宋体"/>
          <w:b/>
          <w:bCs/>
          <w:color w:val="FFFFFF"/>
          <w:kern w:val="0"/>
          <w:sz w:val="48"/>
          <w:szCs w:val="36"/>
          <w:shd w:val="clear" w:color="auto" w:fill="002FA7"/>
        </w:rPr>
      </w:pPr>
    </w:p>
    <w:p>
      <w:pPr>
        <w:widowControl/>
        <w:jc w:val="left"/>
        <w:rPr>
          <w:rFonts w:ascii="宋体" w:hAnsi="宋体" w:cs="宋体"/>
          <w:kern w:val="0"/>
          <w:sz w:val="32"/>
          <w:szCs w:val="24"/>
        </w:rPr>
      </w:pPr>
      <w:r>
        <w:rPr>
          <w:rFonts w:ascii="宋体" w:hAnsi="宋体" w:cs="宋体"/>
          <w:b/>
          <w:bCs/>
          <w:color w:val="FFFFFF"/>
          <w:kern w:val="0"/>
          <w:sz w:val="44"/>
          <w:szCs w:val="36"/>
          <w:shd w:val="clear" w:color="auto" w:fill="002FA7"/>
        </w:rPr>
        <w:t>01</w:t>
      </w:r>
      <w:r>
        <w:rPr>
          <w:rFonts w:ascii="PingFangSC-light" w:hAnsi="PingFangSC-light" w:cs="宋体"/>
          <w:b/>
          <w:bCs/>
          <w:color w:val="002FA7"/>
          <w:spacing w:val="15"/>
          <w:kern w:val="0"/>
          <w:sz w:val="28"/>
          <w:szCs w:val="23"/>
        </w:rPr>
        <w:t>四大药商营收+利润均实现双双增长</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3190875"/>
            <wp:effectExtent l="0" t="0" r="2540" b="9525"/>
            <wp:docPr id="33" name="图片 33" descr="C:\Users\Administrator\Documents\WeChat Files\ppdeboke\FileStorage\Temp\9516bf8ff94ca494c6dc701b5eeac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ocuments\WeChat Files\ppdeboke\FileStorage\Temp\9516bf8ff94ca494c6dc701b5eeac72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191179"/>
                    </a:xfrm>
                    <a:prstGeom prst="rect">
                      <a:avLst/>
                    </a:prstGeom>
                    <a:noFill/>
                    <a:ln>
                      <a:noFill/>
                    </a:ln>
                  </pic:spPr>
                </pic:pic>
              </a:graphicData>
            </a:graphic>
          </wp:inline>
        </w:drawing>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国药控股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2022年，国控实现营业收入人民币5521.4755亿元，比上年同期增加人民币310.9631亿元，同比增长5.97%，主要是医药分销业务、医药零售业务及医疗器械业务收入提升所致。</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净利润和归母净利润实现双增长，全年实现净利润人民币143.4544亿元，同比增长9.80%，归母净利润达到人民币85.2566亿元，同比增长9.89%。</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华润医药</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华润医药2022年总收益达港币2541.064亿元 ，较2021年总收益港币2368.062亿元增长7.3%。</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2022年，制药 、医药分销 、药品零售三个主要业务分部的收益占比分别为15.8% 、80.7% 以及3.5%。</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2022年，华润医药实现净利润港币78.433亿元 ，较2021年的净利润港币66.474亿元增长 18.0%。</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上海医药</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2022年，上药实现营业收入2319.81亿元，同比增长7.49%。实现归属于上市公司股东的净利润56.17亿元，同比增长10.28%。</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九州通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2022年，九州通营业收入到1404.24亿元，较上年同期增长14.72%；扣非归母净利润达17.34亿元，同比增速达23.56%。</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九州通表示，2022年，营业收入和扣非归母净利润加速双增长的主要原因是其在保持医药分销业务增长（15.57%）的基础上，实现总代品牌推广、医药工业自产及OEM、医药新零售与加盟、 三方物流等新兴业务的快速增长。</w:t>
      </w:r>
    </w:p>
    <w:p>
      <w:pP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5274310" cy="3378200"/>
            <wp:effectExtent l="0" t="0" r="2540" b="0"/>
            <wp:docPr id="2" name="图片 2" descr="C:\Users\Administrator\Documents\WeChat Files\ppdeboke\FileStorage\Temp\7bef51ca68ba419dadfdf361cba957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ppdeboke\FileStorage\Temp\7bef51ca68ba419dadfdf361cba957f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378382"/>
                    </a:xfrm>
                    <a:prstGeom prst="rect">
                      <a:avLst/>
                    </a:prstGeom>
                    <a:noFill/>
                    <a:ln>
                      <a:noFill/>
                    </a:ln>
                  </pic:spPr>
                </pic:pic>
              </a:graphicData>
            </a:graphic>
          </wp:inline>
        </w:drawing>
      </w:r>
    </w:p>
    <w:p>
      <w:pPr>
        <w:widowControl/>
        <w:jc w:val="left"/>
        <w:rPr>
          <w:rFonts w:ascii="宋体" w:hAnsi="宋体" w:cs="宋体"/>
          <w:kern w:val="0"/>
          <w:sz w:val="32"/>
          <w:szCs w:val="24"/>
        </w:rPr>
      </w:pPr>
      <w:r>
        <w:rPr>
          <w:rFonts w:ascii="宋体" w:hAnsi="宋体" w:cs="宋体"/>
          <w:b/>
          <w:bCs/>
          <w:color w:val="FFFFFF"/>
          <w:kern w:val="0"/>
          <w:sz w:val="44"/>
          <w:szCs w:val="36"/>
          <w:shd w:val="clear" w:color="auto" w:fill="002FA7"/>
        </w:rPr>
        <w:t>02</w:t>
      </w:r>
      <w:r>
        <w:rPr>
          <w:rFonts w:ascii="PingFangSC-light" w:hAnsi="PingFangSC-light" w:cs="宋体"/>
          <w:b/>
          <w:bCs/>
          <w:color w:val="002FA7"/>
          <w:spacing w:val="15"/>
          <w:kern w:val="0"/>
          <w:sz w:val="28"/>
          <w:szCs w:val="23"/>
        </w:rPr>
        <w:t>不同业务各家表现不一发力点，亦有侧重</w:t>
      </w:r>
    </w:p>
    <w:p>
      <w:pPr>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纵观四大医药商业公司2022年年报，在体量大、子公司多、业务覆盖广泛的基础上，它们从医药工业到医药分销，再到医药零售均有覆盖，产品类别也跨越西药、中药、器械等，只是具体的占比不同，未来发力重点也有一定分化，比如华润医药、上海医药涉及的工业比重较高，国控、九州通则医药商业板块的业务份额更大。</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从四家医药商业巨头的2022年报来看，它们多看好中药未来的发展，且在持续加注，上药耕耘创新中药，华润关注OTC市场中成药表现，九州通聚焦偏上游的中药材、中药饮片。</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国控</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1、分销板块收入高达4000亿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2022年，国控医药分销板块的业务收入达到人民币4066.0353亿元，同比增长4.27%。国控重点区域和市场实现稳定增长，在两广、华中、长三角以及华北等重点区域的增速和收入占比进一步提升。</w:t>
      </w:r>
    </w:p>
    <w:p>
      <w:pP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5274310" cy="3340100"/>
            <wp:effectExtent l="0" t="0" r="2540" b="0"/>
            <wp:docPr id="34" name="图片 34" descr="C:\Users\Administrator\Documents\WeChat Files\ppdeboke\FileStorage\Temp\6c9f1ff81a72a3df8252817954e0b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ocuments\WeChat Files\ppdeboke\FileStorage\Temp\6c9f1ff81a72a3df8252817954e0b1c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340396"/>
                    </a:xfrm>
                    <a:prstGeom prst="rect">
                      <a:avLst/>
                    </a:prstGeom>
                    <a:noFill/>
                    <a:ln>
                      <a:noFill/>
                    </a:ln>
                  </pic:spPr>
                </pic:pic>
              </a:graphicData>
            </a:graphic>
          </wp:inline>
        </w:drawing>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2、创新药行销成新增长点</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值得注意的是，国控开始拓展新的增长点，逐步完善“医药患险”、“批零一体”的服务生态。针对创新和原研类产品，制定个性化的行销推广方案。截至2022年末，已经与诺华中国、参天制药、辉瑞、勃林格等合作。</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3、医疗器械板块连续三年增长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医疗器械部分，国控市场份额进一步提升。2022年，医疗器械板块录得业务收入人民币1208.5148亿元，同比增长11.77%，连续三年增长超过10% ，其中防疫物资产品需求下推动体外诊断试剂及耗材业务收入占比提升。</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4、药品零售增速高于行业平均水平</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2022年，国控加大资源配置，大力推动专业药房和传统药房的均衡发展。截至2022年末，药品零售业务实现收入人民币329.7934亿元，同比增长13.49% ，高于行业平均增长水平。药品零售板块的业务收入占比达到5.78%，同比提高0.37个百分点。</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国控，重点加强零售业态的网络布局和区域覆盖，重点提升对全国业务空白地区以及面向医院业务的覆盖率。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截至2022年末，零售板块新增门店共计494家——其中SPS+专业药房减少21家，国大药房新增515家；2022年，国控加速“双通道”等统筹医保资质的获取，“双通道”资质的门店总数较2021年末增长约120%，达到了883家——其中，国大药房309家，专业化药房574家，报告期内净增480家，已覆盖约全国90%开放“双通道”业务资质的城市和地区。</w:t>
      </w:r>
    </w:p>
    <w:p>
      <w:pPr>
        <w:jc w:val="cente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4589780" cy="2686050"/>
            <wp:effectExtent l="0" t="0" r="1270" b="0"/>
            <wp:docPr id="4" name="图片 4" descr="C:\Users\Administrator\Documents\WeChat Files\ppdeboke\FileStorage\Temp\3a94663b46e91aea7d7fbddf88a589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ppdeboke\FileStorage\Temp\3a94663b46e91aea7d7fbddf88a589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88903" cy="2685469"/>
                    </a:xfrm>
                    <a:prstGeom prst="rect">
                      <a:avLst/>
                    </a:prstGeom>
                    <a:noFill/>
                    <a:ln>
                      <a:noFill/>
                    </a:ln>
                  </pic:spPr>
                </pic:pic>
              </a:graphicData>
            </a:graphic>
          </wp:inline>
        </w:drawing>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华润医药</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1、制药业务，增长表现良好</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华润医药制药业务实现分部收益港币442.958亿元 ，较2021年增长14.7%，其中，生物药、中药以及化药各业务板块收入普遍实现增长。不过，制药业务毛利率为57.3%，较2021年微降0.3个百分点 。</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华润医药的产品覆盖化药、生物药、中药和营养保健品，2022年，其共生产626种产品，同时旗下各制药公司具有专业化销售推广团队，覆盖十余万家医疗机构。</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具体来看，中药业务录得收益港币212.369亿元，较上年同期增长12.2%，其中：中药非处方药业务收入同比增长19.8%，主要因为阿胶系列产品、感冒、胃肠及骨科业务的收入稳健增长；中药处方药业务收入同比微降3.0%，中药饮片、抗肿瘤业务收入实现增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化药业务录得收益港币180.301亿元，较上年同期增长12.3%，其中：化药非处方药业务收入同比显著增长44.0%——主要受益于皮肤、儿科、生殖健康业务收入增长；化药处方药业务收入同比增长4.6%，大输液、抗感染、降糖等业务收入增长明显；原料药业务收入同比实现增长10.2%，生物药业务实现收益港币22.19.0亿元，较2021年高速增长405.9%——主要是因为，2021下半年完成对华润博雅生物以及海斯制药的并购。</w:t>
      </w:r>
    </w:p>
    <w:p>
      <w:pP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5274310" cy="2909570"/>
            <wp:effectExtent l="0" t="0" r="2540" b="5080"/>
            <wp:docPr id="5" name="图片 5" descr="C:\Users\Administrator\Documents\WeChat Files\ppdeboke\FileStorage\Temp\7dd7ba9f19d4755286f29101e4da1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ppdeboke\FileStorage\Temp\7dd7ba9f19d4755286f29101e4da1b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10142"/>
                    </a:xfrm>
                    <a:prstGeom prst="rect">
                      <a:avLst/>
                    </a:prstGeom>
                    <a:noFill/>
                    <a:ln>
                      <a:noFill/>
                    </a:ln>
                  </pic:spPr>
                </pic:pic>
              </a:graphicData>
            </a:graphic>
          </wp:inline>
        </w:drawing>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2、医药分销业务毛利保持稳定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2022年，华润医药积极推进医药分销业务转型，医药分销业务实现分部收益港币2112.885亿元，较2021年增长6.1%，毛利率为6.2%，较上年保持稳定。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2022年，华润医药积极参与带量采购，对集采产品开展一体化分级分类获取，在第六批胰岛素集采中其区域平均产品获取率达81%。同时华润医药，2022年累计引进总销总代品规 超过70个。此外，华润医药器械分销业务快速拓展，实现收益约港币354亿元，同比增长超 过35%，其中IVD诊断试剂、骨科业务、介入业务收益均实现高速增长——华润医药已建立30家独立医疗器械公司，业务覆盖29个省份，上游与超过3000家器械生产企业建立业务联系，下游覆盖20000家医院。</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3、医药零售业务：DTP专业药店总数已达228家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2022年，华润医药医药零售业务录得收益港币88.368亿元，较2021年增长16.2%，主要受益于抗疫产品销售增加。其中，华润医药的DTP业务实现收益约港币59亿元，同比增长14%，零售业务毛利率为8.1% ，较去年同期下降1.1个百分点，主要因为产品结构变动影响。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截至2022年末，华润医药共有793家自营零售药房，其中DTP专业药店总数已达228家(包括“双通道”药店138家) ，同时其积极推进药店数字化转型、提高线上化率，推动线上线下一体化商业模式。</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上药</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1、医药工业：48个品种销售过亿，中药板块表现亮眼</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围绕大品种聚焦战略，上药实现全年工业销售收入过亿产品数量48个，较去年增加4个，覆盖心血管、消化系统、免疫代谢、全身抗感染、精神神经和抗肿瘤等领域。60个重点品种销售收入157.27亿元，同比上升13.12%。</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六神丸、替格瑞洛系列原料药、注射用硫酸黏菌素、注射用胰蛋白酶、异维A酸软胶囊等过亿品种通过提升终端覆盖、优化商业布局、开发海外市场、拓展销售渠道、数字化营销等手段，实现销售收入快速增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上药在2022年报中还表示，将努力造就下一个中药巨人——依托旗下中成药企业、中药保密配方以及超过十个的过亿大品种群，2022年中药板块销售收入增速亮眼，占医药工业收入比重继续提升。</w:t>
      </w:r>
    </w:p>
    <w:p>
      <w:pP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5274310" cy="3265170"/>
            <wp:effectExtent l="0" t="0" r="2540" b="0"/>
            <wp:docPr id="6" name="图片 6" descr="C:\Users\Administrator\Documents\WeChat Files\ppdeboke\FileStorage\Temp\e8e9281d37ac35c09dc8a5a5dd5d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ppdeboke\FileStorage\Temp\e8e9281d37ac35c09dc8a5a5dd5de3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265540"/>
                    </a:xfrm>
                    <a:prstGeom prst="rect">
                      <a:avLst/>
                    </a:prstGeom>
                    <a:noFill/>
                    <a:ln>
                      <a:noFill/>
                    </a:ln>
                  </pic:spPr>
                </pic:pic>
              </a:graphicData>
            </a:graphic>
          </wp:inline>
        </w:drawing>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2、医药商业规模首破2千亿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上药2022年，加快新品引进，创新药板块销售同比增幅约15%，全年成功引入20+个进口总代品种。进口疫苗代理方面，实现销售收入约44亿元，基本与去年持平，总体保持了全国进口药和创新药服务龙头地位。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2022年，上药器械、大健康等非药业务销售约341亿，同比增长约40%。同时其还积极探索器械、医美、健康食品等非药新业务拓展。</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3、加速布局分销全网络覆盖</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上药在各区域布点空白地市，通过并购方式加速国内分销网络覆盖，同时推动省平台股权整合，提升区域市场竞争力。其完成了重庆市、云南省等多个省份地级市的商业并购项目，拓展了甘肃等空白省份的空白区域布局，同时积极推进大型商业并购项目。</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4、上药云健康全年处方量破亿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上药云健康截至2022年底，体系内拥有203家DTP药房及授权院边店，累计已与300多家新特药企达成合作，报告期内，上药云健康自营一体化互联网医院轻问诊平台月均处方量超10万张。</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同时，以院边店、双通道为重心，上药加快专业药房布局。</w:t>
      </w:r>
    </w:p>
    <w:p>
      <w:pPr>
        <w:ind w:firstLine="622" w:firstLineChars="200"/>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九州通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九州通围绕六大主营业务，在数字化医药分销、总代品牌推广、工业自产及OEM、万店加盟、电商B/C端总代总销、“幂健康”服务、互联网医疗、“Bb/BC仓配一体化”等各项业务上均取得成果。</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1、药九九B2B电商平台，年收入规模达116.42亿元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九州通加快推进面向单体药店、诊所等客户的数字化分销业务，药九九</w:t>
      </w:r>
      <w:r>
        <w:rPr>
          <w:rStyle w:val="13"/>
          <w:rFonts w:cs="Helvetica" w:asciiTheme="minorEastAsia" w:hAnsiTheme="minorEastAsia"/>
          <w:b w:val="0"/>
          <w:spacing w:val="15"/>
          <w:sz w:val="28"/>
          <w:szCs w:val="28"/>
        </w:rPr>
        <w:t>B2B</w:t>
      </w:r>
      <w:r>
        <w:rPr>
          <w:rStyle w:val="13"/>
          <w:rFonts w:hint="eastAsia" w:cs="Helvetica" w:asciiTheme="minorEastAsia" w:hAnsiTheme="minorEastAsia"/>
          <w:b w:val="0"/>
          <w:spacing w:val="15"/>
          <w:sz w:val="28"/>
          <w:szCs w:val="28"/>
        </w:rPr>
        <w:t>电商平台自营交易收入规模已达</w:t>
      </w:r>
      <w:r>
        <w:rPr>
          <w:rStyle w:val="13"/>
          <w:rFonts w:cs="Helvetica" w:asciiTheme="minorEastAsia" w:hAnsiTheme="minorEastAsia"/>
          <w:b w:val="0"/>
          <w:spacing w:val="15"/>
          <w:sz w:val="28"/>
          <w:szCs w:val="28"/>
        </w:rPr>
        <w:t>116.42</w:t>
      </w:r>
      <w:r>
        <w:rPr>
          <w:rStyle w:val="13"/>
          <w:rFonts w:hint="eastAsia" w:cs="Helvetica" w:asciiTheme="minorEastAsia" w:hAnsiTheme="minorEastAsia"/>
          <w:b w:val="0"/>
          <w:spacing w:val="15"/>
          <w:sz w:val="28"/>
          <w:szCs w:val="28"/>
        </w:rPr>
        <w:t>亿元，占其主营业务收入比例为</w:t>
      </w:r>
      <w:r>
        <w:rPr>
          <w:rStyle w:val="13"/>
          <w:rFonts w:cs="Helvetica" w:asciiTheme="minorEastAsia" w:hAnsiTheme="minorEastAsia"/>
          <w:b w:val="0"/>
          <w:spacing w:val="15"/>
          <w:sz w:val="28"/>
          <w:szCs w:val="28"/>
        </w:rPr>
        <w:t>8.30%</w:t>
      </w:r>
      <w:r>
        <w:rPr>
          <w:rStyle w:val="13"/>
          <w:rFonts w:hint="eastAsia" w:cs="Helvetica" w:asciiTheme="minorEastAsia" w:hAnsiTheme="minorEastAsia"/>
          <w:b w:val="0"/>
          <w:spacing w:val="15"/>
          <w:sz w:val="28"/>
          <w:szCs w:val="28"/>
        </w:rPr>
        <w:t>；目前平台拥有注册用户</w:t>
      </w:r>
      <w:r>
        <w:rPr>
          <w:rStyle w:val="13"/>
          <w:rFonts w:cs="Helvetica" w:asciiTheme="minorEastAsia" w:hAnsiTheme="minorEastAsia"/>
          <w:b w:val="0"/>
          <w:spacing w:val="15"/>
          <w:sz w:val="28"/>
          <w:szCs w:val="28"/>
        </w:rPr>
        <w:t>40</w:t>
      </w:r>
      <w:r>
        <w:rPr>
          <w:rStyle w:val="13"/>
          <w:rFonts w:hint="eastAsia" w:cs="Helvetica" w:asciiTheme="minorEastAsia" w:hAnsiTheme="minorEastAsia"/>
          <w:b w:val="0"/>
          <w:spacing w:val="15"/>
          <w:sz w:val="28"/>
          <w:szCs w:val="28"/>
        </w:rPr>
        <w:t>万</w:t>
      </w:r>
      <w:r>
        <w:rPr>
          <w:rStyle w:val="13"/>
          <w:rFonts w:hint="eastAsia" w:ascii="MS Mincho" w:hAnsi="MS Mincho" w:eastAsia="MS Mincho" w:cs="MS Mincho"/>
          <w:b w:val="0"/>
          <w:spacing w:val="15"/>
          <w:sz w:val="28"/>
          <w:szCs w:val="28"/>
        </w:rPr>
        <w:t>⁺</w:t>
      </w:r>
      <w:r>
        <w:rPr>
          <w:rStyle w:val="13"/>
          <w:rFonts w:hint="eastAsia" w:cs="Helvetica" w:asciiTheme="minorEastAsia" w:hAnsiTheme="minorEastAsia"/>
          <w:b w:val="0"/>
          <w:spacing w:val="15"/>
          <w:sz w:val="28"/>
          <w:szCs w:val="28"/>
        </w:rPr>
        <w:t>，活跃用户</w:t>
      </w:r>
      <w:r>
        <w:rPr>
          <w:rStyle w:val="13"/>
          <w:rFonts w:cs="Helvetica" w:asciiTheme="minorEastAsia" w:hAnsiTheme="minorEastAsia"/>
          <w:b w:val="0"/>
          <w:spacing w:val="15"/>
          <w:sz w:val="28"/>
          <w:szCs w:val="28"/>
        </w:rPr>
        <w:t>35</w:t>
      </w:r>
      <w:r>
        <w:rPr>
          <w:rStyle w:val="13"/>
          <w:rFonts w:hint="eastAsia" w:cs="Helvetica" w:asciiTheme="minorEastAsia" w:hAnsiTheme="minorEastAsia"/>
          <w:b w:val="0"/>
          <w:spacing w:val="15"/>
          <w:sz w:val="28"/>
          <w:szCs w:val="28"/>
        </w:rPr>
        <w:t>万</w:t>
      </w:r>
      <w:r>
        <w:rPr>
          <w:rStyle w:val="13"/>
          <w:rFonts w:hint="eastAsia" w:ascii="MS Mincho" w:hAnsi="MS Mincho" w:eastAsia="MS Mincho" w:cs="MS Mincho"/>
          <w:b w:val="0"/>
          <w:spacing w:val="15"/>
          <w:sz w:val="28"/>
          <w:szCs w:val="28"/>
        </w:rPr>
        <w:t>⁺</w:t>
      </w:r>
      <w:r>
        <w:rPr>
          <w:rStyle w:val="13"/>
          <w:rFonts w:hint="eastAsia" w:cs="Helvetica" w:asciiTheme="minorEastAsia" w:hAnsiTheme="minorEastAsia"/>
          <w:b w:val="0"/>
          <w:spacing w:val="15"/>
          <w:sz w:val="28"/>
          <w:szCs w:val="28"/>
        </w:rPr>
        <w:t>，覆盖全国</w:t>
      </w:r>
      <w:r>
        <w:rPr>
          <w:rStyle w:val="13"/>
          <w:rFonts w:cs="Helvetica" w:asciiTheme="minorEastAsia" w:hAnsiTheme="minorEastAsia"/>
          <w:b w:val="0"/>
          <w:spacing w:val="15"/>
          <w:sz w:val="28"/>
          <w:szCs w:val="28"/>
        </w:rPr>
        <w:t>99%</w:t>
      </w:r>
      <w:r>
        <w:rPr>
          <w:rStyle w:val="13"/>
          <w:rFonts w:hint="eastAsia" w:cs="Helvetica" w:asciiTheme="minorEastAsia" w:hAnsiTheme="minorEastAsia"/>
          <w:b w:val="0"/>
          <w:spacing w:val="15"/>
          <w:sz w:val="28"/>
          <w:szCs w:val="28"/>
        </w:rPr>
        <w:t>的行政区域。</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药九九B2B电商平台是原九州通医药网B2B交易平台的升级版，专门为小连锁、单体药店、诊所等客户提供B2B电商业务服务。</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2、零售电商服务业务，年收入规模达54.59亿元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继续开展对京东、阿里、美团、叮当、平安、抖音、快手、百度等大型医药零售电商平台的健康产品供应链业务，销售收入规模已达54.59亿元，较上年同期增长36.46%，其中销售给京东、阿里自营平台的药品已突破40亿元，九州通凭借覆盖全国的仓储物流网络和供应链优势，与电商平台系统打通，可以实现自动下单、自动询价、同城即配、统一结算、全平台控价等多项服务。</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3、总代品牌推广业务，利润增长“第二曲线”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2022年末，九州通共代理品种1371个，实现销售收入134.13亿元，毛利率提升至13.64%，毛利额为18.29亿元，较2021年同期增长31.80%，对九州通绩贡献度逐年提升。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其中，药品总代品牌推广业务实现销售收入66.51亿元，较2021年同期增长34.90%；毛利率提升至22.01%，毛利额为14.64亿元，较上年同期大幅增长76.51%；其中可威、倍平、康王等系列重点品种销量大幅增长，带动终端销售收入及毛利大幅提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截至2022年末，其药品总代品规数达1025个（其中销量过亿品规14个），包括浙江华海、浙江京新、正大天晴、东阳光、宜昌人福等厂家的集采中标产品。九州通目前已形成较为成熟的总代品牌推广业务模式，包括集采原研落标产品院外代理、集采中标产品院外代理、品牌产品连锁控销、品牌产品院外代理、独家产品院外代理五大模式。</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2022年，九州通医疗器械总代品牌推广业务实现销售收入67.63亿元，已代理强生、理诺珐、雅培、费森尤斯（血透）等品牌厂家的品规共计346个。</w:t>
      </w:r>
    </w:p>
    <w:p>
      <w:pPr>
        <w:jc w:val="cente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3886200" cy="346329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89879" cy="3466934"/>
                    </a:xfrm>
                    <a:prstGeom prst="rect">
                      <a:avLst/>
                    </a:prstGeom>
                    <a:noFill/>
                  </pic:spPr>
                </pic:pic>
              </a:graphicData>
            </a:graphic>
          </wp:inline>
        </w:drawing>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4、医药工业自产及OEM（代加工）业务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九州通积极开发西药工业、中药工业自产及OEM业务，全年销售收入达24.10亿元，较上年同期增长23.48%，毛利率为23.17%，毛利额为5.59亿元。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西药工业上，旗下北京京丰制药，全年实现营业收入4.69亿元，较上年同期增长51.48%；在中药工业方面，九州通旗下九信中药实现自产品种销售收入18.40亿元，九信中药目前可生产普通饮片、精制饮片、直接口服饮片、毒性饮片、参茸贵细、药食同源等多品类品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在OEM产品方面，九州通医疗器械OEM新增品规数50个，合计155个，覆盖健康监测、呼吸支持、康复理疗、辅具出行、护理耗材、个护感控6个品类；药品OEM包括片剂、胶囊、口服液、复方颗粒等288个品规。</w:t>
      </w:r>
    </w:p>
    <w:p>
      <w:pPr>
        <w:ind w:firstLine="622" w:firstLineChars="200"/>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5、好药师“万店加盟”业务，门店数已突破13000家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2022年，九州通推进“万店加盟”计划，截至年底已实现自营及加盟药店突破13000家，门店遍布全国31个省市自治区，覆盖1122个城市，预计2025年门店数量将超过30000家。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同时好药师的B2C电商总代总销业务——为药械企业提供线上一站式、全网化服务，全年销售收入近10亿元。</w:t>
      </w:r>
    </w:p>
    <w:p>
      <w:pPr>
        <w:rPr>
          <w:rStyle w:val="13"/>
          <w:rFonts w:cs="Helvetica" w:asciiTheme="minorEastAsia" w:hAnsiTheme="minorEastAsia"/>
          <w:b w:val="0"/>
          <w:spacing w:val="15"/>
          <w:sz w:val="52"/>
          <w:szCs w:val="28"/>
        </w:rPr>
      </w:pPr>
      <w:r>
        <w:rPr>
          <w:rFonts w:cs="Helvetica" w:asciiTheme="minorEastAsia" w:hAnsiTheme="minorEastAsia"/>
          <w:bCs/>
          <w:spacing w:val="15"/>
          <w:sz w:val="52"/>
          <w:szCs w:val="28"/>
        </w:rPr>
        <w:drawing>
          <wp:inline distT="0" distB="0" distL="0" distR="0">
            <wp:extent cx="5274945" cy="5867400"/>
            <wp:effectExtent l="0" t="0" r="1905" b="0"/>
            <wp:docPr id="36" name="图片 36" descr="C:\Users\Administrator\Documents\WeChat Files\ppdeboke\FileStorage\Temp\395231879d6953cd31114843cadda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ocuments\WeChat Files\ppdeboke\FileStorage\Temp\395231879d6953cd31114843caddab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5866482"/>
                    </a:xfrm>
                    <a:prstGeom prst="rect">
                      <a:avLst/>
                    </a:prstGeom>
                    <a:noFill/>
                    <a:ln>
                      <a:noFill/>
                    </a:ln>
                  </pic:spPr>
                </pic:pic>
              </a:graphicData>
            </a:graphic>
          </wp:inline>
        </w:drawing>
      </w:r>
    </w:p>
    <w:p>
      <w:pPr>
        <w:widowControl/>
        <w:jc w:val="left"/>
        <w:rPr>
          <w:rFonts w:ascii="宋体" w:hAnsi="宋体" w:cs="宋体"/>
          <w:kern w:val="0"/>
          <w:sz w:val="32"/>
          <w:szCs w:val="24"/>
        </w:rPr>
      </w:pPr>
      <w:r>
        <w:rPr>
          <w:rFonts w:ascii="宋体" w:hAnsi="宋体" w:cs="宋体"/>
          <w:b/>
          <w:bCs/>
          <w:color w:val="FFFFFF"/>
          <w:kern w:val="0"/>
          <w:sz w:val="44"/>
          <w:szCs w:val="36"/>
          <w:shd w:val="clear" w:color="auto" w:fill="002FA7"/>
        </w:rPr>
        <w:t>03</w:t>
      </w:r>
      <w:r>
        <w:rPr>
          <w:rFonts w:ascii="PingFangSC-light" w:hAnsi="PingFangSC-light" w:cs="宋体"/>
          <w:b/>
          <w:bCs/>
          <w:color w:val="002FA7"/>
          <w:spacing w:val="15"/>
          <w:kern w:val="0"/>
          <w:sz w:val="28"/>
          <w:szCs w:val="23"/>
        </w:rPr>
        <w:t>2022年四大药商如何应对带量采购</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最后，针对带量采购等政策变化，四大药商均有相关表述与回应，其中九州通的篇幅最大，态度最为积极，华润医药也在积极承接带量采购品种相关业务。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国药控股表示，带量采购等相关政策不断推动药品流通服务向全国一体化和规模化的模式转型，国控将积极承接带量采购配送项目、生产企业的直接配送项目和基层医疗服务项目，提升各等级医院的销售份额，补充完善地级市、县级医疗机构的业务布局。</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华润医药认为，带量采购政策，品种范围扩面到医用高值耗材、中药以及生物药，带量采购等多重因素对医药企业竞争力提出了更高的要求，也将进一步加快医药行业的整合和集中度的提升，企业需优化管理体系，提升管理能力，有效应对常态化、制度化实施的药品集中带量采购等政策影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上海医药指出，带量采购等政策推动药企创新转型。仿制药以价换量，药企更加注重院外市场的开发，同时药企也逐步向壁垒较高、竞争格局较好的品种倾斜，完善研发创新模式，进一步提升研发投入产出的效率，接轨国际，加速向创新转型。</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九州通认为，带量采购政策的落地实施对九州通业务影响利大于弊：在国家开始集采之前，九州通除在少数几个省、市的公立医院有开户，并开展业务之外，在大部分地区的公立医院业务乏善可陈，甚至一些区域九州通尚未在公立医院开户；国家开始集采之后，九州通下属分子公司都不同程度地获得了生产厂家中标产品的配送权，从而分别在各地公立医院开立了户头，也不同程度地获得了各地医院的配送业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集采政策不仅使九州通获得了从事医院业务的机会，而且也为院外市场及总代品牌推广业务等带来难得的发展机遇。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数据显示，九州通近三年在等级公立医院渠道（含城市和县级公立医院）的销售收入年复合增长率达13.37%，在等级公立医院的有效客户数快速增长至1.28万家，客户覆盖率进一步提升，明显受益于带量采购政策的影响。</w:t>
      </w:r>
    </w:p>
    <w:p>
      <w:pPr>
        <w:ind w:firstLine="620" w:firstLineChars="200"/>
        <w:rPr>
          <w:rStyle w:val="13"/>
          <w:rFonts w:cs="Helvetica" w:asciiTheme="minorEastAsia" w:hAnsiTheme="minorEastAsia"/>
          <w:b w:val="0"/>
          <w:spacing w:val="15"/>
          <w:sz w:val="52"/>
          <w:szCs w:val="28"/>
        </w:rPr>
      </w:pPr>
      <w:r>
        <w:rPr>
          <w:rStyle w:val="13"/>
          <w:rFonts w:hint="eastAsia" w:cs="Helvetica" w:asciiTheme="minorEastAsia" w:hAnsiTheme="minorEastAsia"/>
          <w:b w:val="0"/>
          <w:spacing w:val="15"/>
          <w:sz w:val="28"/>
          <w:szCs w:val="28"/>
        </w:rPr>
        <w:t>回顾2022年，医药商业领域强者恒强、集中度提高，头部药商普遍看好零售板块业务发展，带量采购既带来机遇也带来挑战，工业与商业某种程度上也在同频共振。</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w:t>
      </w:r>
      <w:r>
        <w:rPr>
          <w:rFonts w:ascii="微软雅黑" w:hAnsi="微软雅黑" w:eastAsia="微软雅黑" w:cs="宋体"/>
          <w:b/>
          <w:color w:val="333333"/>
          <w:kern w:val="36"/>
          <w:sz w:val="24"/>
        </w:rPr>
        <w:t>5</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统筹政策满月，影响到底有多大？</w:t>
      </w:r>
    </w:p>
    <w:p>
      <w:pPr>
        <w:jc w:val="left"/>
      </w:pPr>
    </w:p>
    <w:p>
      <w:r>
        <w:rPr>
          <w:rFonts w:hint="eastAsia"/>
        </w:rPr>
        <w:t>原创 陈正芳 中国药店 2023-04-19</w:t>
      </w:r>
    </w:p>
    <w:p>
      <w:pPr>
        <w:rPr>
          <w:rStyle w:val="13"/>
          <w:rFonts w:cs="Helvetica" w:asciiTheme="minorEastAsia" w:hAnsiTheme="minorEastAsia"/>
          <w:b w:val="0"/>
          <w:spacing w:val="15"/>
          <w:sz w:val="96"/>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统筹支付向医保门店开放，药店零售行业似乎得到了一个重大的利好。</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随着业内业外的交流增多，加之历时一个月的实战体验，笔者认为，这项政策将打破连锁药店原有的高毛主推盈利模式，迫使药店寻找新的道路。</w:t>
      </w:r>
    </w:p>
    <w:p>
      <w:pPr>
        <w:rPr>
          <w:rStyle w:val="13"/>
          <w:rFonts w:cs="Helvetica" w:asciiTheme="minorEastAsia" w:hAnsiTheme="minorEastAsia"/>
          <w:b w:val="0"/>
          <w:spacing w:val="15"/>
          <w:sz w:val="36"/>
          <w:szCs w:val="28"/>
        </w:rPr>
      </w:pPr>
      <w:r>
        <w:rPr>
          <w:rStyle w:val="13"/>
          <w:rFonts w:hint="eastAsia" w:ascii="微软雅黑" w:hAnsi="微软雅黑" w:eastAsia="微软雅黑"/>
          <w:color w:val="000000"/>
          <w:sz w:val="24"/>
          <w:shd w:val="clear" w:color="auto" w:fill="EAF2FF"/>
        </w:rPr>
        <w:t>01政策方向是降低个人账户的划拨比例，将其转化为门诊待遇水平的提升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个人账户在短期内将按照权益置换的思路逐步转化，甚或在未来将淡出历史舞台。简单理解便是，个人账户余额将逐步减少。在这个过程中，原本有支付优势的医保门店的优势将减弱。</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药店经营者定然了解一个事实：在可以医保支付的前提下，消费者的价格敏感度较低，相比现金销售同类产品，医保支付更利于生成传统的高毛利产品的销售。</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随着个人账户余额减少，部分地区医保个人账户按月打款，卡内余额只有七八十元的情况下，仅感冒就能产生百元以上销售的难度明显增大。不妨认为，这也是疫情之后，“四大类”动销慢的原因之一。</w:t>
      </w:r>
    </w:p>
    <w:p>
      <w:pPr>
        <w:rPr>
          <w:rStyle w:val="13"/>
          <w:rFonts w:ascii="微软雅黑" w:hAnsi="微软雅黑" w:eastAsia="微软雅黑"/>
          <w:color w:val="000000"/>
          <w:sz w:val="24"/>
          <w:shd w:val="clear" w:color="auto" w:fill="EAF2FF"/>
        </w:rPr>
      </w:pPr>
      <w:r>
        <w:rPr>
          <w:rStyle w:val="13"/>
          <w:rFonts w:hint="eastAsia" w:ascii="微软雅黑" w:hAnsi="微软雅黑" w:eastAsia="微软雅黑"/>
          <w:color w:val="000000"/>
          <w:sz w:val="24"/>
          <w:shd w:val="clear" w:color="auto" w:fill="EAF2FF"/>
        </w:rPr>
        <w:t>02医保支付价执行，最终必然降低药品的零售价</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从国谈、集采可以看出，医药产品的成本不断增加，零售价降低必定伴随毛利的降低。目前存在的部分同名高医保支付价的品种，厂家一定抱着物以稀为贵的原则收紧政策，以往常见20扣、30扣恐怕难觅踪影。</w:t>
      </w:r>
    </w:p>
    <w:p>
      <w:pPr>
        <w:rPr>
          <w:rStyle w:val="13"/>
          <w:rFonts w:ascii="微软雅黑" w:hAnsi="微软雅黑" w:eastAsia="微软雅黑"/>
          <w:color w:val="000000"/>
          <w:sz w:val="24"/>
          <w:shd w:val="clear" w:color="auto" w:fill="EAF2FF"/>
        </w:rPr>
      </w:pPr>
      <w:r>
        <w:rPr>
          <w:rStyle w:val="13"/>
          <w:rFonts w:hint="eastAsia" w:ascii="微软雅黑" w:hAnsi="微软雅黑" w:eastAsia="微软雅黑"/>
          <w:color w:val="000000"/>
          <w:sz w:val="24"/>
          <w:shd w:val="clear" w:color="auto" w:fill="EAF2FF"/>
        </w:rPr>
        <w:t>03基层社区、医疗机构竞争加剧</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医疗板块的竞争，实际上自首次“4+7”集采落地便已经开始。不过，医疗机构心理上不配合、三年疫情影响、连锁药店不肯放弃原有利润，配合部分未中选厂家在政策上的推动，让竞争看似还没开始……但随着本次医保政策改革的推进，竞争会快速凸显而出。</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集采低价药货源无法遍及每家药店，在价格维度就失去了一部分客户，特别是长期服用心脑血管类的老年顾客（这些恰恰是目前药店最大的客群）。</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国家医保推行分级诊疗，对统筹支付比例也对应医疗机构分级设置区别。在顾客发现同一药品在社区医院的自费费用比药店更低时，客流便会不断流入社区医院。事实上，部分区域的社区医院门诊已经初显人手不足了。</w:t>
      </w:r>
    </w:p>
    <w:p>
      <w:pPr>
        <w:rPr>
          <w:rStyle w:val="13"/>
          <w:rFonts w:ascii="微软雅黑" w:hAnsi="微软雅黑" w:eastAsia="微软雅黑"/>
          <w:color w:val="000000"/>
          <w:sz w:val="24"/>
          <w:shd w:val="clear" w:color="auto" w:fill="EAF2FF"/>
        </w:rPr>
      </w:pPr>
      <w:r>
        <w:rPr>
          <w:rStyle w:val="13"/>
          <w:rFonts w:hint="eastAsia" w:ascii="微软雅黑" w:hAnsi="微软雅黑" w:eastAsia="微软雅黑"/>
          <w:color w:val="000000"/>
          <w:sz w:val="24"/>
          <w:shd w:val="clear" w:color="auto" w:fill="EAF2FF"/>
        </w:rPr>
        <w:t>04处方流转的政策因素尚未明确</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就江苏省而言，原意见稿中对统筹的描述是“将会把符合条件的定点零售药店纳入门诊范围，允许持门诊处方到定点零售药店买药和结算”。</w:t>
      </w:r>
    </w:p>
    <w:p>
      <w:pPr>
        <w:ind w:firstLine="620" w:firstLineChars="200"/>
        <w:rPr>
          <w:rStyle w:val="13"/>
          <w:rFonts w:cs="Helvetica" w:asciiTheme="minorEastAsia" w:hAnsiTheme="minorEastAsia"/>
          <w:b w:val="0"/>
          <w:spacing w:val="15"/>
          <w:sz w:val="52"/>
          <w:szCs w:val="28"/>
        </w:rPr>
      </w:pPr>
      <w:r>
        <w:rPr>
          <w:rStyle w:val="13"/>
          <w:rFonts w:hint="eastAsia" w:cs="Helvetica" w:asciiTheme="minorEastAsia" w:hAnsiTheme="minorEastAsia"/>
          <w:b w:val="0"/>
          <w:spacing w:val="15"/>
          <w:sz w:val="28"/>
          <w:szCs w:val="28"/>
        </w:rPr>
        <w:t>一旦政策要求统筹需要处方，药店的处方来源在哪，符合统筹资质的门诊处方如何实现……这些会是更大的问题。而且，即使实现处方成功流转，流转的费用最终大部分也会是连锁药店买单。</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w:t>
      </w:r>
      <w:r>
        <w:rPr>
          <w:rFonts w:ascii="微软雅黑" w:hAnsi="微软雅黑" w:eastAsia="微软雅黑" w:cs="宋体"/>
          <w:b/>
          <w:color w:val="333333"/>
          <w:kern w:val="36"/>
          <w:sz w:val="24"/>
        </w:rPr>
        <w:t>6</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每年流失33%客户，药店如何破局？</w:t>
      </w:r>
    </w:p>
    <w:p>
      <w:pPr>
        <w:jc w:val="left"/>
      </w:pPr>
    </w:p>
    <w:p>
      <w:r>
        <w:rPr>
          <w:rFonts w:hint="eastAsia"/>
        </w:rPr>
        <w:t>原创 阿田 第一药店财智 2023-04-01</w:t>
      </w:r>
    </w:p>
    <w:p>
      <w:pPr>
        <w:rPr>
          <w:rStyle w:val="13"/>
          <w:rFonts w:cs="Helvetica" w:asciiTheme="minorEastAsia" w:hAnsiTheme="minorEastAsia"/>
          <w:b w:val="0"/>
          <w:spacing w:val="15"/>
          <w:sz w:val="96"/>
          <w:szCs w:val="28"/>
        </w:rPr>
      </w:pPr>
    </w:p>
    <w:p>
      <w:pPr>
        <w:ind w:firstLine="580" w:firstLineChars="200"/>
        <w:rPr>
          <w:rStyle w:val="14"/>
          <w:rFonts w:ascii="微软雅黑" w:hAnsi="微软雅黑" w:eastAsia="微软雅黑"/>
          <w:i w:val="0"/>
          <w:color w:val="888888"/>
          <w:spacing w:val="30"/>
          <w:sz w:val="23"/>
          <w:szCs w:val="23"/>
        </w:rPr>
      </w:pPr>
      <w:r>
        <w:rPr>
          <w:rStyle w:val="14"/>
          <w:rFonts w:hint="eastAsia" w:ascii="微软雅黑" w:hAnsi="微软雅黑" w:eastAsia="微软雅黑"/>
          <w:i w:val="0"/>
          <w:color w:val="888888"/>
          <w:spacing w:val="30"/>
          <w:sz w:val="23"/>
          <w:szCs w:val="23"/>
        </w:rPr>
        <w:t>线下药店订单数持续下降，“客流保卫战”已然打响。通过重构场景，稳住客流，成为当下连锁药店积极探索的发展路线。</w:t>
      </w:r>
    </w:p>
    <w:p>
      <w:pPr>
        <w:rPr>
          <w:rStyle w:val="13"/>
          <w:rFonts w:cs="Helvetica" w:asciiTheme="minorEastAsia" w:hAnsiTheme="minorEastAsia"/>
          <w:b w:val="0"/>
          <w:i/>
          <w:spacing w:val="15"/>
          <w:sz w:val="28"/>
          <w:szCs w:val="28"/>
        </w:rPr>
      </w:pPr>
      <w:r>
        <w:rPr>
          <w:rStyle w:val="13"/>
          <w:rFonts w:hint="eastAsia" w:ascii="微软雅黑" w:hAnsi="微软雅黑" w:eastAsia="微软雅黑"/>
          <w:color w:val="CD0202"/>
          <w:spacing w:val="8"/>
          <w:sz w:val="60"/>
          <w:szCs w:val="60"/>
        </w:rPr>
        <w:t>01</w:t>
      </w:r>
      <w:r>
        <w:rPr>
          <w:rStyle w:val="13"/>
          <w:spacing w:val="30"/>
        </w:rPr>
        <w:t>引进店：创造“社交场景”，以顾客黏顾客</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送鸡蛋”几乎是药店永不过时的引流方式，它成本不高，操作简单，且所带来的“人气”是有目共睹的。但不可忽视的是，排队免费领鸡蛋的市民并不一定会进店购药，火热的“人气”很难转化成实实在在的“客流”。</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首先，要让顾客真正进店。</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顾客一般领完赠品就走，他们没有拿着赠品还进店逛一圈的理由，店里的其他产品和活动也就无法传递给顾客。”南昌邦健投资管理有限公司董事长、零售药店实战运营专家陈益在2023西鼎会做主题分享时直言，药店首先要改变顾客领赠品的流程，尽可能提高顾客店内停留时间：“店门口领东西没有问题，但领东西前一定有个场景是进店，比如在店里参加完某个体验性活动，再到门口领东西，这样才真正解决到店率问题。”</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此外，药店还需要具备社交属性，强化顾客与顾客之间的互动。</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拼多多的“帮我砍一刀”就是互联网上最为典型的例子，而在线下，病友交流会就是非常合适药店搭建的社交场景。陈益认为，社交的场景营销就是利用顾客间的信任度，让他们黏成一团：“黏成一团他们就不容易流走，再以老顾客影响新顾客，实现高转化率。药店如果不能以顾客黏住顾客，那么药店与顾客的黏性也很难做起来。”</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总体而言，药店需要搭建一个具有强体验感，且相对低专业要求，能够让顾客在门店停留较长时间的，具有社交属性的场景。例如健康属性较强的筋膜枪体验、趣味性较强的宝妈俱乐部及小朋友画画涂鸦比赛、社交属性较强的病友交流会等，借此不断强化店员与顾客的信任度。</w:t>
      </w:r>
    </w:p>
    <w:p>
      <w:pPr>
        <w:rPr>
          <w:rStyle w:val="13"/>
          <w:spacing w:val="30"/>
        </w:rPr>
      </w:pPr>
      <w:r>
        <w:rPr>
          <w:rStyle w:val="13"/>
          <w:rFonts w:hint="eastAsia" w:ascii="微软雅黑" w:hAnsi="微软雅黑" w:eastAsia="微软雅黑"/>
          <w:color w:val="CD0202"/>
          <w:spacing w:val="8"/>
          <w:sz w:val="60"/>
          <w:szCs w:val="60"/>
        </w:rPr>
        <w:t>02</w:t>
      </w:r>
      <w:r>
        <w:rPr>
          <w:rStyle w:val="13"/>
          <w:spacing w:val="30"/>
        </w:rPr>
        <w:t>走出去：深入社区，强化信任感与品牌力</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尽管在疫情后“免疫力经济”的驱动下，越来越多人开始注重养生保健，但绝大部分人仍处于“自觉不适再进药店”的状态。其中，以三高为代表的慢性病不仅知晓率低，患者用药依从性也差。对于药店来说，除了把自主上门的顾客留住，还要主动出去挖掘潜在客户，深入社区进行健康公益活动，不仅具有社会价值，也有助于药店树立专业化形象，与患者建立信任。</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2023西鼎会上，围绕“场景营销稳客流”话题，四川格瑞人康药房连锁有限公司副总经理、湘麓医药学校教研员曾广同博士分享了离店促销的实践经验。在四川格瑞人康药房，离店营销主要分为健康科普教育、社区义诊以及节气活动三个板块。</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健康科普讲座是药店可以重点关注的板块，这一方面有助于提升药店与品牌的专业形象，同时一对几十的讲座效率更高，密闭的环境更容易增加专业度及顾客信赖度，有效提升转化率。在具体项目上，曾广同举例，当前，四川格瑞人康药房的社区讲座以“三减三健”为基础，即健康骨骼、健康口腔、健康体重，减油、减盐、减糖。“离店营销花样不需要多，把一个项目长期做、持久做，能够帮助药店在专业化和品牌化上不断加深加厚。”</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对于多数药店来说，迈不出离店营销的脚步，往往有几大原因：担心社区、物业合作赞助费增加成本；离店营销结束后既不做复盘，也不再宣传；离店营销只交给门店做，总部没有给予相应的支持等等。</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针对当下药店存在的种种误区，曾广同表示，实际上，不管是社区居委会还是物业公司，都有自身考核KPI，他们也需要专业的团队去为居民提供专业性服务，这是互助互利的合作。在策划阶段，由于门店的沟通能力有限，总部需要适时出面去跟居委会/物业沟通，在活动过程中积极宣传，在活动结束后及时复盘。“这是老板工程，是全公司从上而下为稳定客流而做的事情。”</w:t>
      </w:r>
    </w:p>
    <w:p>
      <w:pPr>
        <w:rPr>
          <w:rStyle w:val="13"/>
          <w:spacing w:val="30"/>
        </w:rPr>
      </w:pPr>
      <w:r>
        <w:rPr>
          <w:rStyle w:val="13"/>
          <w:rFonts w:hint="eastAsia" w:ascii="微软雅黑" w:hAnsi="微软雅黑" w:eastAsia="微软雅黑"/>
          <w:color w:val="CD0202"/>
          <w:spacing w:val="8"/>
          <w:sz w:val="60"/>
          <w:szCs w:val="60"/>
        </w:rPr>
        <w:t>03</w:t>
      </w:r>
      <w:r>
        <w:rPr>
          <w:rStyle w:val="13"/>
          <w:spacing w:val="30"/>
        </w:rPr>
        <w:t>留下来：从会员分级、服务分级到员工分级</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吸引客户，稳定客流之后，则需要锁定关键会员，熟用“二八法则”是药店管理好会员的基本。</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我们每年差不多会流失35%的客户，其中2%的人去世了，剩下的33%的人是到别的店去了。”山东立健药店连锁有限公司副董事长黄小鼎分享了一组经营数据，他表示这里面包含了头部会员，药店要做好会员分级、服务分级，避免这部分高净值人群流失。</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对于药店而言，顾客分级可以参考两个维度的数据。第一是按照销售占比分等级，例如满一年的会员可以按销售额排序；第二是按年度销售金额分等级，将年消费大于5000元的、3000-5000元的、2000-3000元等等不同人群区分开。在线下药店，前5%的头部会员销售占比通常在40%左右，而这5%的人群又有约75%是慢病人群，复购率最高、贡献率最大，是核心头部会员。</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当各级会员销售占比清晰之后，服务对象就更加聚焦，药店要设置相应等级的权益，包括普惠的基础权益、中间等级的升级权益以及5%头部会员的“惊喜”权益。</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头部会员享受的优惠金额额度，可以给到平均会员额度的八倍。”黄小鼎表示，同时，对头部会员要强调长期独享权益，要建立一对一五分钟的响应机制，把专员和店长的电话号码给他们，确保他们有需求时随时可以找到人。</w:t>
      </w:r>
    </w:p>
    <w:p>
      <w:pPr>
        <w:ind w:firstLine="620" w:firstLineChars="200"/>
        <w:rPr>
          <w:rFonts w:cs="Helvetica" w:asciiTheme="minorEastAsia" w:hAnsiTheme="minorEastAsia"/>
          <w:bCs/>
          <w:spacing w:val="15"/>
          <w:sz w:val="52"/>
          <w:szCs w:val="28"/>
        </w:rPr>
      </w:pPr>
      <w:r>
        <w:rPr>
          <w:rStyle w:val="13"/>
          <w:rFonts w:hint="eastAsia" w:cs="Helvetica" w:asciiTheme="minorEastAsia" w:hAnsiTheme="minorEastAsia"/>
          <w:b w:val="0"/>
          <w:spacing w:val="15"/>
          <w:sz w:val="28"/>
          <w:szCs w:val="28"/>
        </w:rPr>
        <w:t>尤其值得注意的是，对于药店而言，除了顾客，优质员工也是重要资产。在设置服务分级时，员工也要进行分级：根据员工的能力，可以分为实习员工、合格员工、执业药师、专员、员工导师等，去适配相应等级的会员，给予服务头部会员的员工相应的授权，这样既有利于药店留住顾客，也有利于留住优质员工。</w:t>
      </w:r>
    </w:p>
    <w:sectPr>
      <w:pgSz w:w="11906" w:h="16838"/>
      <w:pgMar w:top="1440" w:right="1797" w:bottom="1134"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Calibri"/>
    <w:panose1 w:val="00000000000000000000"/>
    <w:charset w:val="50"/>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PingFangSC-light">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sdtPr>
    <w:sdtContent>
      <w:p>
        <w:pPr>
          <w:pStyle w:val="7"/>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4297F"/>
    <w:multiLevelType w:val="multilevel"/>
    <w:tmpl w:val="5904297F"/>
    <w:lvl w:ilvl="0" w:tentative="0">
      <w:start w:val="1"/>
      <w:numFmt w:val="japaneseCounting"/>
      <w:lvlText w:val="%1、"/>
      <w:lvlJc w:val="left"/>
      <w:pPr>
        <w:ind w:left="1340" w:hanging="720"/>
      </w:pPr>
      <w:rPr>
        <w:rFonts w:hint="default"/>
      </w:r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yYzMyZjhjZWI0MmYzYWUxYzE2YThlOTgxY2RjYTIifQ=="/>
  </w:docVars>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6AB2"/>
    <w:rsid w:val="000175C9"/>
    <w:rsid w:val="00017C59"/>
    <w:rsid w:val="00017FF3"/>
    <w:rsid w:val="000208A4"/>
    <w:rsid w:val="0002159E"/>
    <w:rsid w:val="00022B29"/>
    <w:rsid w:val="00022D08"/>
    <w:rsid w:val="0002356D"/>
    <w:rsid w:val="0002364C"/>
    <w:rsid w:val="0002670E"/>
    <w:rsid w:val="0002785C"/>
    <w:rsid w:val="00027E7A"/>
    <w:rsid w:val="00027F86"/>
    <w:rsid w:val="00031218"/>
    <w:rsid w:val="0003140E"/>
    <w:rsid w:val="00031F9A"/>
    <w:rsid w:val="000323D0"/>
    <w:rsid w:val="00032702"/>
    <w:rsid w:val="00032748"/>
    <w:rsid w:val="00032D3A"/>
    <w:rsid w:val="00032F39"/>
    <w:rsid w:val="00033524"/>
    <w:rsid w:val="00033888"/>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2A8D"/>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01C"/>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4"/>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37FA"/>
    <w:rsid w:val="000D44E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9A2"/>
    <w:rsid w:val="000F1D22"/>
    <w:rsid w:val="000F2C6A"/>
    <w:rsid w:val="000F32F6"/>
    <w:rsid w:val="000F33C1"/>
    <w:rsid w:val="000F43A9"/>
    <w:rsid w:val="000F55D2"/>
    <w:rsid w:val="000F6444"/>
    <w:rsid w:val="000F6846"/>
    <w:rsid w:val="000F6ACA"/>
    <w:rsid w:val="000F6D53"/>
    <w:rsid w:val="000F724C"/>
    <w:rsid w:val="000F7299"/>
    <w:rsid w:val="00101647"/>
    <w:rsid w:val="001016A6"/>
    <w:rsid w:val="00101B15"/>
    <w:rsid w:val="001031AF"/>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74"/>
    <w:rsid w:val="00114185"/>
    <w:rsid w:val="00114802"/>
    <w:rsid w:val="001149F4"/>
    <w:rsid w:val="001173FB"/>
    <w:rsid w:val="00117A35"/>
    <w:rsid w:val="0012030B"/>
    <w:rsid w:val="00120A62"/>
    <w:rsid w:val="00121C29"/>
    <w:rsid w:val="00122376"/>
    <w:rsid w:val="00122583"/>
    <w:rsid w:val="001225B1"/>
    <w:rsid w:val="001228C5"/>
    <w:rsid w:val="001228E1"/>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5D5"/>
    <w:rsid w:val="001407D8"/>
    <w:rsid w:val="0014087D"/>
    <w:rsid w:val="001424A8"/>
    <w:rsid w:val="0014298A"/>
    <w:rsid w:val="00142E3F"/>
    <w:rsid w:val="0014384A"/>
    <w:rsid w:val="001440EE"/>
    <w:rsid w:val="00144ECC"/>
    <w:rsid w:val="001455A2"/>
    <w:rsid w:val="00145DB1"/>
    <w:rsid w:val="001460BB"/>
    <w:rsid w:val="001466DA"/>
    <w:rsid w:val="00146CD9"/>
    <w:rsid w:val="00146F74"/>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4946"/>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2E23"/>
    <w:rsid w:val="001B3741"/>
    <w:rsid w:val="001B3846"/>
    <w:rsid w:val="001B4721"/>
    <w:rsid w:val="001B544A"/>
    <w:rsid w:val="001B5720"/>
    <w:rsid w:val="001B62B5"/>
    <w:rsid w:val="001B6A65"/>
    <w:rsid w:val="001B6C75"/>
    <w:rsid w:val="001B7965"/>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91C"/>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1D6D"/>
    <w:rsid w:val="00272A57"/>
    <w:rsid w:val="00272DD6"/>
    <w:rsid w:val="00272DD8"/>
    <w:rsid w:val="0027315C"/>
    <w:rsid w:val="00273666"/>
    <w:rsid w:val="00274D0C"/>
    <w:rsid w:val="00275C4C"/>
    <w:rsid w:val="002761C2"/>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3DB5"/>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665A"/>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067"/>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6472"/>
    <w:rsid w:val="00317276"/>
    <w:rsid w:val="0031733F"/>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765"/>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5B8"/>
    <w:rsid w:val="00364EDB"/>
    <w:rsid w:val="00365092"/>
    <w:rsid w:val="003656A7"/>
    <w:rsid w:val="00365C24"/>
    <w:rsid w:val="003662F1"/>
    <w:rsid w:val="00366589"/>
    <w:rsid w:val="00366A50"/>
    <w:rsid w:val="00366F4D"/>
    <w:rsid w:val="0036711D"/>
    <w:rsid w:val="00367305"/>
    <w:rsid w:val="0036751A"/>
    <w:rsid w:val="003679CE"/>
    <w:rsid w:val="00370103"/>
    <w:rsid w:val="003712D6"/>
    <w:rsid w:val="00371710"/>
    <w:rsid w:val="003724C8"/>
    <w:rsid w:val="003730BD"/>
    <w:rsid w:val="00373967"/>
    <w:rsid w:val="00373A5F"/>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6661"/>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7B6"/>
    <w:rsid w:val="003F09D8"/>
    <w:rsid w:val="003F11DF"/>
    <w:rsid w:val="003F12FB"/>
    <w:rsid w:val="003F1864"/>
    <w:rsid w:val="003F1C89"/>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16B7"/>
    <w:rsid w:val="00412203"/>
    <w:rsid w:val="00412CF6"/>
    <w:rsid w:val="00413FA9"/>
    <w:rsid w:val="004142CB"/>
    <w:rsid w:val="004145E0"/>
    <w:rsid w:val="0041468C"/>
    <w:rsid w:val="00414706"/>
    <w:rsid w:val="00415BFA"/>
    <w:rsid w:val="00415F69"/>
    <w:rsid w:val="00416421"/>
    <w:rsid w:val="00416997"/>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37A50"/>
    <w:rsid w:val="00440712"/>
    <w:rsid w:val="004407B0"/>
    <w:rsid w:val="0044084C"/>
    <w:rsid w:val="00441126"/>
    <w:rsid w:val="00442071"/>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251"/>
    <w:rsid w:val="004865AE"/>
    <w:rsid w:val="0048680C"/>
    <w:rsid w:val="0048796A"/>
    <w:rsid w:val="00487EF9"/>
    <w:rsid w:val="00490155"/>
    <w:rsid w:val="00490629"/>
    <w:rsid w:val="00490B34"/>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5511"/>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2D54"/>
    <w:rsid w:val="004C3CBE"/>
    <w:rsid w:val="004C3CE4"/>
    <w:rsid w:val="004C4274"/>
    <w:rsid w:val="004C7281"/>
    <w:rsid w:val="004C7C97"/>
    <w:rsid w:val="004D0092"/>
    <w:rsid w:val="004D0111"/>
    <w:rsid w:val="004D084D"/>
    <w:rsid w:val="004D2686"/>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2FD"/>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5219"/>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0EC8"/>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3DD9"/>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2817"/>
    <w:rsid w:val="005F3812"/>
    <w:rsid w:val="005F4451"/>
    <w:rsid w:val="005F4590"/>
    <w:rsid w:val="005F52CE"/>
    <w:rsid w:val="005F6C87"/>
    <w:rsid w:val="005F73C2"/>
    <w:rsid w:val="005F7AE0"/>
    <w:rsid w:val="0060019F"/>
    <w:rsid w:val="006002B9"/>
    <w:rsid w:val="00600D7E"/>
    <w:rsid w:val="00603094"/>
    <w:rsid w:val="00603466"/>
    <w:rsid w:val="006036D2"/>
    <w:rsid w:val="0060464E"/>
    <w:rsid w:val="00604FC7"/>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474"/>
    <w:rsid w:val="00660A24"/>
    <w:rsid w:val="00660B52"/>
    <w:rsid w:val="006614A1"/>
    <w:rsid w:val="0066206F"/>
    <w:rsid w:val="00662406"/>
    <w:rsid w:val="00662DE2"/>
    <w:rsid w:val="006633BC"/>
    <w:rsid w:val="006640EE"/>
    <w:rsid w:val="006646B8"/>
    <w:rsid w:val="006651AD"/>
    <w:rsid w:val="00666B51"/>
    <w:rsid w:val="00670A54"/>
    <w:rsid w:val="00671103"/>
    <w:rsid w:val="00672426"/>
    <w:rsid w:val="006724A5"/>
    <w:rsid w:val="006726E6"/>
    <w:rsid w:val="00673A1B"/>
    <w:rsid w:val="0067431C"/>
    <w:rsid w:val="006745F3"/>
    <w:rsid w:val="0067485E"/>
    <w:rsid w:val="00674E6A"/>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28DF"/>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0F83"/>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3EC"/>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3E3"/>
    <w:rsid w:val="00733A24"/>
    <w:rsid w:val="00735361"/>
    <w:rsid w:val="0073586B"/>
    <w:rsid w:val="00735990"/>
    <w:rsid w:val="00737585"/>
    <w:rsid w:val="0073787C"/>
    <w:rsid w:val="0074024A"/>
    <w:rsid w:val="007415D4"/>
    <w:rsid w:val="00742514"/>
    <w:rsid w:val="00743CDA"/>
    <w:rsid w:val="00744E86"/>
    <w:rsid w:val="007460CB"/>
    <w:rsid w:val="007465EF"/>
    <w:rsid w:val="0074697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5C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5274"/>
    <w:rsid w:val="00775F84"/>
    <w:rsid w:val="00776326"/>
    <w:rsid w:val="0077636E"/>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64C"/>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173"/>
    <w:rsid w:val="007C7ECB"/>
    <w:rsid w:val="007D1B06"/>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80"/>
    <w:rsid w:val="007E675B"/>
    <w:rsid w:val="007E67DF"/>
    <w:rsid w:val="007E7290"/>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4FF"/>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3B9B"/>
    <w:rsid w:val="00826013"/>
    <w:rsid w:val="0082627D"/>
    <w:rsid w:val="00826C11"/>
    <w:rsid w:val="00827962"/>
    <w:rsid w:val="00827E97"/>
    <w:rsid w:val="00830713"/>
    <w:rsid w:val="00832A3B"/>
    <w:rsid w:val="008330EF"/>
    <w:rsid w:val="0083399D"/>
    <w:rsid w:val="00833A9C"/>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BCC"/>
    <w:rsid w:val="00856FC1"/>
    <w:rsid w:val="008570DA"/>
    <w:rsid w:val="00857CC7"/>
    <w:rsid w:val="00857D4C"/>
    <w:rsid w:val="00857DD7"/>
    <w:rsid w:val="008605DF"/>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0FE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969"/>
    <w:rsid w:val="008B6C1E"/>
    <w:rsid w:val="008B7C77"/>
    <w:rsid w:val="008B7DF6"/>
    <w:rsid w:val="008C0A58"/>
    <w:rsid w:val="008C1535"/>
    <w:rsid w:val="008C18C7"/>
    <w:rsid w:val="008C1B3D"/>
    <w:rsid w:val="008C4DCF"/>
    <w:rsid w:val="008C5DDB"/>
    <w:rsid w:val="008C6853"/>
    <w:rsid w:val="008C73C2"/>
    <w:rsid w:val="008C78BC"/>
    <w:rsid w:val="008C7A23"/>
    <w:rsid w:val="008D0520"/>
    <w:rsid w:val="008D0CFE"/>
    <w:rsid w:val="008D0F76"/>
    <w:rsid w:val="008D11C0"/>
    <w:rsid w:val="008D194F"/>
    <w:rsid w:val="008D2FE8"/>
    <w:rsid w:val="008D35ED"/>
    <w:rsid w:val="008D4328"/>
    <w:rsid w:val="008D4801"/>
    <w:rsid w:val="008D60D0"/>
    <w:rsid w:val="008D7C67"/>
    <w:rsid w:val="008E0F93"/>
    <w:rsid w:val="008E11A3"/>
    <w:rsid w:val="008E284F"/>
    <w:rsid w:val="008E2B11"/>
    <w:rsid w:val="008E2C35"/>
    <w:rsid w:val="008E332B"/>
    <w:rsid w:val="008E33D6"/>
    <w:rsid w:val="008E4EA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000F"/>
    <w:rsid w:val="00911372"/>
    <w:rsid w:val="009113F4"/>
    <w:rsid w:val="00911E31"/>
    <w:rsid w:val="00911F96"/>
    <w:rsid w:val="00912091"/>
    <w:rsid w:val="009121AE"/>
    <w:rsid w:val="009126F0"/>
    <w:rsid w:val="0091338F"/>
    <w:rsid w:val="009134C8"/>
    <w:rsid w:val="00914D4E"/>
    <w:rsid w:val="00915499"/>
    <w:rsid w:val="009171AD"/>
    <w:rsid w:val="00917213"/>
    <w:rsid w:val="009175A9"/>
    <w:rsid w:val="00920C58"/>
    <w:rsid w:val="00921525"/>
    <w:rsid w:val="0092155F"/>
    <w:rsid w:val="00921F76"/>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1969"/>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2C4E"/>
    <w:rsid w:val="009A316A"/>
    <w:rsid w:val="009A3900"/>
    <w:rsid w:val="009A3AEF"/>
    <w:rsid w:val="009A410B"/>
    <w:rsid w:val="009A426B"/>
    <w:rsid w:val="009A5C27"/>
    <w:rsid w:val="009A5F5C"/>
    <w:rsid w:val="009A63AB"/>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61A"/>
    <w:rsid w:val="009C3A47"/>
    <w:rsid w:val="009C4922"/>
    <w:rsid w:val="009C58CA"/>
    <w:rsid w:val="009C5E0F"/>
    <w:rsid w:val="009C6689"/>
    <w:rsid w:val="009C6DED"/>
    <w:rsid w:val="009C718C"/>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9F73B9"/>
    <w:rsid w:val="009F78CA"/>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9A8"/>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429B"/>
    <w:rsid w:val="00A35A71"/>
    <w:rsid w:val="00A35C38"/>
    <w:rsid w:val="00A36446"/>
    <w:rsid w:val="00A36D74"/>
    <w:rsid w:val="00A36EC6"/>
    <w:rsid w:val="00A37B99"/>
    <w:rsid w:val="00A4034A"/>
    <w:rsid w:val="00A4089B"/>
    <w:rsid w:val="00A41593"/>
    <w:rsid w:val="00A4183E"/>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ED0"/>
    <w:rsid w:val="00A63C89"/>
    <w:rsid w:val="00A65750"/>
    <w:rsid w:val="00A658BB"/>
    <w:rsid w:val="00A66A3A"/>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5B77"/>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A61"/>
    <w:rsid w:val="00AD6D61"/>
    <w:rsid w:val="00AD6F6B"/>
    <w:rsid w:val="00AD721F"/>
    <w:rsid w:val="00AD7985"/>
    <w:rsid w:val="00AE126B"/>
    <w:rsid w:val="00AE1757"/>
    <w:rsid w:val="00AE1811"/>
    <w:rsid w:val="00AE1AEA"/>
    <w:rsid w:val="00AE2237"/>
    <w:rsid w:val="00AE289B"/>
    <w:rsid w:val="00AE2B82"/>
    <w:rsid w:val="00AE326C"/>
    <w:rsid w:val="00AE3954"/>
    <w:rsid w:val="00AE3E63"/>
    <w:rsid w:val="00AE3EE7"/>
    <w:rsid w:val="00AE4A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6D9E"/>
    <w:rsid w:val="00B078A4"/>
    <w:rsid w:val="00B106BB"/>
    <w:rsid w:val="00B10FC3"/>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6B6F"/>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361"/>
    <w:rsid w:val="00B475F1"/>
    <w:rsid w:val="00B502AD"/>
    <w:rsid w:val="00B5037A"/>
    <w:rsid w:val="00B5037E"/>
    <w:rsid w:val="00B50DDE"/>
    <w:rsid w:val="00B52941"/>
    <w:rsid w:val="00B5304E"/>
    <w:rsid w:val="00B539FA"/>
    <w:rsid w:val="00B540BD"/>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7D"/>
    <w:rsid w:val="00B658FE"/>
    <w:rsid w:val="00B66539"/>
    <w:rsid w:val="00B66632"/>
    <w:rsid w:val="00B673D8"/>
    <w:rsid w:val="00B67436"/>
    <w:rsid w:val="00B708AF"/>
    <w:rsid w:val="00B71262"/>
    <w:rsid w:val="00B73014"/>
    <w:rsid w:val="00B740D5"/>
    <w:rsid w:val="00B746CD"/>
    <w:rsid w:val="00B747DF"/>
    <w:rsid w:val="00B753EC"/>
    <w:rsid w:val="00B75BFD"/>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6E6A"/>
    <w:rsid w:val="00BA7A8B"/>
    <w:rsid w:val="00BA7E8A"/>
    <w:rsid w:val="00BB0826"/>
    <w:rsid w:val="00BB0FDB"/>
    <w:rsid w:val="00BB1700"/>
    <w:rsid w:val="00BB2A6D"/>
    <w:rsid w:val="00BB3376"/>
    <w:rsid w:val="00BB34F9"/>
    <w:rsid w:val="00BB38D1"/>
    <w:rsid w:val="00BB3EB4"/>
    <w:rsid w:val="00BB4C13"/>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373C"/>
    <w:rsid w:val="00BE39DB"/>
    <w:rsid w:val="00BE41B7"/>
    <w:rsid w:val="00BE5441"/>
    <w:rsid w:val="00BE5D8D"/>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9B8"/>
    <w:rsid w:val="00BF7F9E"/>
    <w:rsid w:val="00C001F1"/>
    <w:rsid w:val="00C004C1"/>
    <w:rsid w:val="00C00B5D"/>
    <w:rsid w:val="00C00C20"/>
    <w:rsid w:val="00C00DFC"/>
    <w:rsid w:val="00C01736"/>
    <w:rsid w:val="00C01911"/>
    <w:rsid w:val="00C01E27"/>
    <w:rsid w:val="00C02228"/>
    <w:rsid w:val="00C02307"/>
    <w:rsid w:val="00C02DAD"/>
    <w:rsid w:val="00C042DF"/>
    <w:rsid w:val="00C04FFC"/>
    <w:rsid w:val="00C05414"/>
    <w:rsid w:val="00C079FE"/>
    <w:rsid w:val="00C10778"/>
    <w:rsid w:val="00C10AD5"/>
    <w:rsid w:val="00C11D61"/>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1C13"/>
    <w:rsid w:val="00C43DFF"/>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87D"/>
    <w:rsid w:val="00C53C85"/>
    <w:rsid w:val="00C54BDB"/>
    <w:rsid w:val="00C55F17"/>
    <w:rsid w:val="00C56532"/>
    <w:rsid w:val="00C56ACF"/>
    <w:rsid w:val="00C571BC"/>
    <w:rsid w:val="00C57B8D"/>
    <w:rsid w:val="00C60807"/>
    <w:rsid w:val="00C60A1C"/>
    <w:rsid w:val="00C615DA"/>
    <w:rsid w:val="00C621A0"/>
    <w:rsid w:val="00C62AB8"/>
    <w:rsid w:val="00C62CF3"/>
    <w:rsid w:val="00C64576"/>
    <w:rsid w:val="00C6491C"/>
    <w:rsid w:val="00C64D1E"/>
    <w:rsid w:val="00C650F0"/>
    <w:rsid w:val="00C65542"/>
    <w:rsid w:val="00C65FF2"/>
    <w:rsid w:val="00C667F6"/>
    <w:rsid w:val="00C670F1"/>
    <w:rsid w:val="00C67FAC"/>
    <w:rsid w:val="00C70A22"/>
    <w:rsid w:val="00C70E62"/>
    <w:rsid w:val="00C71581"/>
    <w:rsid w:val="00C717C1"/>
    <w:rsid w:val="00C722BD"/>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F3"/>
    <w:rsid w:val="00C767F0"/>
    <w:rsid w:val="00C76A08"/>
    <w:rsid w:val="00C76DAB"/>
    <w:rsid w:val="00C803CF"/>
    <w:rsid w:val="00C808F9"/>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696D"/>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262"/>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20C"/>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B7C"/>
    <w:rsid w:val="00D86C94"/>
    <w:rsid w:val="00D90FDA"/>
    <w:rsid w:val="00D917F9"/>
    <w:rsid w:val="00D92564"/>
    <w:rsid w:val="00D926FA"/>
    <w:rsid w:val="00D93556"/>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0A7"/>
    <w:rsid w:val="00E00431"/>
    <w:rsid w:val="00E00507"/>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1F5F"/>
    <w:rsid w:val="00E3284A"/>
    <w:rsid w:val="00E32B86"/>
    <w:rsid w:val="00E32F8A"/>
    <w:rsid w:val="00E3450F"/>
    <w:rsid w:val="00E35150"/>
    <w:rsid w:val="00E35603"/>
    <w:rsid w:val="00E36441"/>
    <w:rsid w:val="00E40A55"/>
    <w:rsid w:val="00E40BD9"/>
    <w:rsid w:val="00E41A3C"/>
    <w:rsid w:val="00E427EA"/>
    <w:rsid w:val="00E42915"/>
    <w:rsid w:val="00E43501"/>
    <w:rsid w:val="00E436CF"/>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0B86"/>
    <w:rsid w:val="00E81029"/>
    <w:rsid w:val="00E814A1"/>
    <w:rsid w:val="00E814F0"/>
    <w:rsid w:val="00E827B2"/>
    <w:rsid w:val="00E83678"/>
    <w:rsid w:val="00E83F3C"/>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3F9D"/>
    <w:rsid w:val="00ED439F"/>
    <w:rsid w:val="00ED526A"/>
    <w:rsid w:val="00ED543B"/>
    <w:rsid w:val="00ED55C0"/>
    <w:rsid w:val="00ED5ECD"/>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4C9"/>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3CD6"/>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3DF"/>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402D"/>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56"/>
    <w:rsid w:val="00F67F8C"/>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030"/>
    <w:rsid w:val="00FA641D"/>
    <w:rsid w:val="00FA6F79"/>
    <w:rsid w:val="00FA71F0"/>
    <w:rsid w:val="00FB02FF"/>
    <w:rsid w:val="00FB0AF5"/>
    <w:rsid w:val="00FB25C5"/>
    <w:rsid w:val="00FB2C5B"/>
    <w:rsid w:val="00FB2FBC"/>
    <w:rsid w:val="00FB4813"/>
    <w:rsid w:val="00FB4AF7"/>
    <w:rsid w:val="00FB5965"/>
    <w:rsid w:val="00FB5A0E"/>
    <w:rsid w:val="00FB71AA"/>
    <w:rsid w:val="00FC01F5"/>
    <w:rsid w:val="00FC0E9A"/>
    <w:rsid w:val="00FC2426"/>
    <w:rsid w:val="00FC2D25"/>
    <w:rsid w:val="00FC30B1"/>
    <w:rsid w:val="00FC3259"/>
    <w:rsid w:val="00FC3DF3"/>
    <w:rsid w:val="00FC4084"/>
    <w:rsid w:val="00FC4453"/>
    <w:rsid w:val="00FC556D"/>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71F"/>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469"/>
    <w:rsid w:val="00FF47F6"/>
    <w:rsid w:val="00FF4A83"/>
    <w:rsid w:val="00FF4D31"/>
    <w:rsid w:val="00FF52CF"/>
    <w:rsid w:val="00FF5CC9"/>
    <w:rsid w:val="00FF6D43"/>
    <w:rsid w:val="00FF73E8"/>
    <w:rsid w:val="00FF796E"/>
    <w:rsid w:val="02E62627"/>
    <w:rsid w:val="09D05DEC"/>
    <w:rsid w:val="09F63639"/>
    <w:rsid w:val="19F71C34"/>
    <w:rsid w:val="1BFA1A53"/>
    <w:rsid w:val="1C2B0EAC"/>
    <w:rsid w:val="1FE91A8A"/>
    <w:rsid w:val="2277389B"/>
    <w:rsid w:val="259439FC"/>
    <w:rsid w:val="26A356EF"/>
    <w:rsid w:val="270D6402"/>
    <w:rsid w:val="30075F2D"/>
    <w:rsid w:val="349E3B22"/>
    <w:rsid w:val="353C4DCD"/>
    <w:rsid w:val="3CCA65A0"/>
    <w:rsid w:val="3D9E769D"/>
    <w:rsid w:val="3FA61DD6"/>
    <w:rsid w:val="43025857"/>
    <w:rsid w:val="476D6BB3"/>
    <w:rsid w:val="53CE29C2"/>
    <w:rsid w:val="5C2C297C"/>
    <w:rsid w:val="5CFE08AF"/>
    <w:rsid w:val="5FE572A1"/>
    <w:rsid w:val="60723523"/>
    <w:rsid w:val="633A50B8"/>
    <w:rsid w:val="64662CCF"/>
    <w:rsid w:val="650A7614"/>
    <w:rsid w:val="6D341690"/>
    <w:rsid w:val="6DC87FAF"/>
    <w:rsid w:val="724C158B"/>
    <w:rsid w:val="72D4487B"/>
    <w:rsid w:val="74B7525B"/>
    <w:rsid w:val="750E6C6B"/>
    <w:rsid w:val="79814931"/>
    <w:rsid w:val="7B70048C"/>
    <w:rsid w:val="7C4B484E"/>
    <w:rsid w:val="7E38645A"/>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23"/>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1"/>
    <w:next w:val="1"/>
    <w:link w:val="24"/>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34"/>
    <w:semiHidden/>
    <w:unhideWhenUsed/>
    <w:qFormat/>
    <w:uiPriority w:val="0"/>
    <w:pPr>
      <w:ind w:left="100" w:leftChars="2500"/>
    </w:pPr>
  </w:style>
  <w:style w:type="paragraph" w:styleId="6">
    <w:name w:val="Balloon Text"/>
    <w:basedOn w:val="1"/>
    <w:link w:val="16"/>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Strong"/>
    <w:basedOn w:val="12"/>
    <w:qFormat/>
    <w:uiPriority w:val="22"/>
    <w:rPr>
      <w:b/>
      <w:bCs/>
    </w:rPr>
  </w:style>
  <w:style w:type="character" w:styleId="14">
    <w:name w:val="Emphasis"/>
    <w:basedOn w:val="12"/>
    <w:qFormat/>
    <w:uiPriority w:val="20"/>
    <w:rPr>
      <w:i/>
      <w:iCs/>
    </w:rPr>
  </w:style>
  <w:style w:type="character" w:styleId="15">
    <w:name w:val="Hyperlink"/>
    <w:basedOn w:val="12"/>
    <w:unhideWhenUsed/>
    <w:qFormat/>
    <w:uiPriority w:val="99"/>
    <w:rPr>
      <w:color w:val="0000FF"/>
      <w:u w:val="single"/>
    </w:rPr>
  </w:style>
  <w:style w:type="character" w:customStyle="1" w:styleId="16">
    <w:name w:val="批注框文本 字符"/>
    <w:basedOn w:val="12"/>
    <w:link w:val="6"/>
    <w:semiHidden/>
    <w:qFormat/>
    <w:uiPriority w:val="99"/>
    <w:rPr>
      <w:sz w:val="18"/>
      <w:szCs w:val="18"/>
    </w:rPr>
  </w:style>
  <w:style w:type="character" w:customStyle="1" w:styleId="17">
    <w:name w:val="页眉 字符"/>
    <w:basedOn w:val="12"/>
    <w:link w:val="8"/>
    <w:semiHidden/>
    <w:qFormat/>
    <w:uiPriority w:val="99"/>
    <w:rPr>
      <w:sz w:val="18"/>
      <w:szCs w:val="18"/>
    </w:rPr>
  </w:style>
  <w:style w:type="character" w:customStyle="1" w:styleId="18">
    <w:name w:val="页脚 字符"/>
    <w:basedOn w:val="12"/>
    <w:link w:val="7"/>
    <w:qFormat/>
    <w:uiPriority w:val="99"/>
    <w:rPr>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字符"/>
    <w:basedOn w:val="12"/>
    <w:link w:val="19"/>
    <w:qFormat/>
    <w:uiPriority w:val="1"/>
    <w:rPr>
      <w:rFonts w:asciiTheme="minorHAnsi" w:hAnsiTheme="minorHAnsi" w:eastAsiaTheme="minorEastAsia" w:cstheme="minorBidi"/>
      <w:sz w:val="22"/>
      <w:szCs w:val="22"/>
    </w:rPr>
  </w:style>
  <w:style w:type="paragraph" w:styleId="21">
    <w:name w:val="List Paragraph"/>
    <w:basedOn w:val="1"/>
    <w:unhideWhenUsed/>
    <w:qFormat/>
    <w:uiPriority w:val="34"/>
    <w:pPr>
      <w:ind w:firstLine="420" w:firstLineChars="200"/>
    </w:pPr>
  </w:style>
  <w:style w:type="paragraph" w:customStyle="1" w:styleId="22">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标题 2 字符"/>
    <w:basedOn w:val="12"/>
    <w:link w:val="3"/>
    <w:qFormat/>
    <w:uiPriority w:val="9"/>
    <w:rPr>
      <w:rFonts w:ascii="宋体" w:hAnsi="宋体" w:cs="宋体"/>
      <w:sz w:val="36"/>
      <w:szCs w:val="36"/>
    </w:rPr>
  </w:style>
  <w:style w:type="character" w:customStyle="1" w:styleId="24">
    <w:name w:val="标题 4 字符"/>
    <w:basedOn w:val="12"/>
    <w:link w:val="4"/>
    <w:qFormat/>
    <w:uiPriority w:val="9"/>
    <w:rPr>
      <w:rFonts w:ascii="宋体" w:hAnsi="宋体" w:cs="宋体"/>
      <w:sz w:val="24"/>
      <w:szCs w:val="24"/>
    </w:rPr>
  </w:style>
  <w:style w:type="paragraph" w:customStyle="1" w:styleId="25">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6">
    <w:name w:val="articlel"/>
    <w:basedOn w:val="12"/>
    <w:qFormat/>
    <w:uiPriority w:val="0"/>
  </w:style>
  <w:style w:type="character" w:customStyle="1" w:styleId="27">
    <w:name w:val="articler"/>
    <w:basedOn w:val="12"/>
    <w:qFormat/>
    <w:uiPriority w:val="0"/>
  </w:style>
  <w:style w:type="paragraph" w:customStyle="1" w:styleId="28">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9">
    <w:name w:val="rich_media_meta1"/>
    <w:basedOn w:val="12"/>
    <w:qFormat/>
    <w:uiPriority w:val="0"/>
    <w:rPr>
      <w:sz w:val="24"/>
      <w:szCs w:val="24"/>
    </w:rPr>
  </w:style>
  <w:style w:type="character" w:customStyle="1" w:styleId="30">
    <w:name w:val="profile_meta_value1"/>
    <w:basedOn w:val="12"/>
    <w:qFormat/>
    <w:uiPriority w:val="0"/>
    <w:rPr>
      <w:color w:val="ADADAD"/>
    </w:rPr>
  </w:style>
  <w:style w:type="character" w:customStyle="1" w:styleId="31">
    <w:name w:val="apple-converted-space"/>
    <w:basedOn w:val="12"/>
    <w:qFormat/>
    <w:uiPriority w:val="0"/>
  </w:style>
  <w:style w:type="character" w:customStyle="1" w:styleId="32">
    <w:name w:val="rich_media_meta"/>
    <w:basedOn w:val="12"/>
    <w:qFormat/>
    <w:uiPriority w:val="0"/>
  </w:style>
  <w:style w:type="character" w:customStyle="1" w:styleId="33">
    <w:name w:val="blue"/>
    <w:basedOn w:val="12"/>
    <w:qFormat/>
    <w:uiPriority w:val="0"/>
  </w:style>
  <w:style w:type="character" w:customStyle="1" w:styleId="34">
    <w:name w:val="日期 字符"/>
    <w:basedOn w:val="12"/>
    <w:link w:val="5"/>
    <w:semiHidden/>
    <w:qFormat/>
    <w:uiPriority w:val="0"/>
    <w:rPr>
      <w:rFonts w:ascii="Calibri" w:hAnsi="Calibri"/>
      <w:kern w:val="2"/>
      <w:sz w:val="21"/>
      <w:szCs w:val="22"/>
    </w:rPr>
  </w:style>
  <w:style w:type="character" w:customStyle="1" w:styleId="35">
    <w:name w:val="标题 1 字符"/>
    <w:basedOn w:val="12"/>
    <w:link w:val="2"/>
    <w:qFormat/>
    <w:uiPriority w:val="9"/>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D9CE16-4158-421C-A1DE-5FD6EDC1EE47}">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122</Pages>
  <Words>12268</Words>
  <Characters>13482</Characters>
  <Lines>101</Lines>
  <Paragraphs>28</Paragraphs>
  <TotalTime>837</TotalTime>
  <ScaleCrop>false</ScaleCrop>
  <LinksUpToDate>false</LinksUpToDate>
  <CharactersWithSpaces>13632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王麒懿</cp:lastModifiedBy>
  <cp:lastPrinted>2018-09-29T05:55:00Z</cp:lastPrinted>
  <dcterms:modified xsi:type="dcterms:W3CDTF">2023-05-10T02:35:57Z</dcterms:modified>
  <dc:subject>2015年7月29日</dc:subject>
  <dc:title>2015年第一期</dc:title>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DF5037EDC2C7415DBA1FF4609A99298F</vt:lpwstr>
  </property>
</Properties>
</file>