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sdt>
      <w:sdtPr>
        <w:id w:val="11921172"/>
      </w:sdtPr>
      <w:sdtContent>
        <w:p>
          <w:r>
            <w:drawing>
              <wp:anchor distT="0" distB="0" distL="114300" distR="114300" simplePos="0" relativeHeight="251659264" behindDoc="1" locked="0" layoutInCell="1" allowOverlap="1">
                <wp:simplePos x="0" y="0"/>
                <wp:positionH relativeFrom="column">
                  <wp:posOffset>-1188720</wp:posOffset>
                </wp:positionH>
                <wp:positionV relativeFrom="paragraph">
                  <wp:posOffset>-914400</wp:posOffset>
                </wp:positionV>
                <wp:extent cx="7686675" cy="10873105"/>
                <wp:effectExtent l="0" t="0" r="0" b="0"/>
                <wp:wrapNone/>
                <wp:docPr id="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pic:cNvPicPr>
                          <a:picLocks noChangeAspect="1" noChangeArrowheads="1"/>
                        </pic:cNvPicPr>
                      </pic:nvPicPr>
                      <pic:blipFill>
                        <a:blip r:embed="rId5" cstate="print">
                          <a:extLst>
                            <a:ext uri="{28A0092B-C50C-407E-A947-70E740481C1C}">
                              <a14:useLocalDpi xmlns:a14="http://schemas.microsoft.com/office/drawing/2010/main" val="0"/>
                            </a:ext>
                          </a:extLst>
                        </a:blip>
                        <a:stretch>
                          <a:fillRect/>
                        </a:stretch>
                      </pic:blipFill>
                      <pic:spPr>
                        <a:xfrm>
                          <a:off x="0" y="0"/>
                          <a:ext cx="7686674" cy="10872925"/>
                        </a:xfrm>
                        <a:prstGeom prst="rect">
                          <a:avLst/>
                        </a:prstGeom>
                        <a:noFill/>
                        <a:ln w="9525">
                          <a:noFill/>
                          <a:miter lim="800000"/>
                          <a:headEnd/>
                          <a:tailEnd/>
                        </a:ln>
                      </pic:spPr>
                    </pic:pic>
                  </a:graphicData>
                </a:graphic>
              </wp:anchor>
            </w:drawing>
          </w:r>
        </w:p>
        <w:p/>
        <w:tbl>
          <w:tblPr>
            <w:tblStyle w:val="10"/>
            <w:tblpPr w:leftFromText="187" w:rightFromText="187" w:horzAnchor="margin" w:tblpXSpec="center" w:tblpYSpec="bottom"/>
            <w:tblW w:w="4000" w:type="pct"/>
            <w:tblInd w:w="0" w:type="dxa"/>
            <w:tblLayout w:type="autofit"/>
            <w:tblCellMar>
              <w:top w:w="0" w:type="dxa"/>
              <w:left w:w="108" w:type="dxa"/>
              <w:bottom w:w="0" w:type="dxa"/>
              <w:right w:w="108" w:type="dxa"/>
            </w:tblCellMar>
          </w:tblPr>
          <w:tblGrid>
            <w:gridCol w:w="6834"/>
          </w:tblGrid>
          <w:tr>
            <w:tblPrEx>
              <w:tblCellMar>
                <w:top w:w="0" w:type="dxa"/>
                <w:left w:w="108" w:type="dxa"/>
                <w:bottom w:w="0" w:type="dxa"/>
                <w:right w:w="108" w:type="dxa"/>
              </w:tblCellMar>
            </w:tblPrEx>
            <w:tc>
              <w:tcPr>
                <w:tcW w:w="7672" w:type="dxa"/>
                <w:tcMar>
                  <w:top w:w="216" w:type="dxa"/>
                  <w:left w:w="115" w:type="dxa"/>
                  <w:bottom w:w="216" w:type="dxa"/>
                  <w:right w:w="115" w:type="dxa"/>
                </w:tcMar>
              </w:tcPr>
              <w:p>
                <w:pPr>
                  <w:pStyle w:val="19"/>
                  <w:rPr>
                    <w:color w:val="4F81BD" w:themeColor="accent1"/>
                    <w14:textFill>
                      <w14:solidFill>
                        <w14:schemeClr w14:val="accent1"/>
                      </w14:solidFill>
                    </w14:textFill>
                  </w:rPr>
                </w:pPr>
              </w:p>
            </w:tc>
          </w:tr>
        </w:tbl>
        <w:p/>
        <w:p/>
        <w:p/>
        <w:p/>
        <w:p>
          <w:r>
            <w:rPr>
              <w:rFonts w:hint="eastAsia"/>
            </w:rPr>
            <w:t xml:space="preserve">   </w:t>
          </w:r>
        </w:p>
        <w:p/>
        <w:p/>
        <w:p/>
        <w:p/>
        <w:p/>
        <w:p/>
        <w:p/>
        <w:p/>
        <w:p>
          <w:pPr>
            <w:tabs>
              <w:tab w:val="left" w:pos="7050"/>
            </w:tabs>
          </w:pPr>
          <w:r>
            <w:tab/>
          </w:r>
        </w:p>
        <w:p/>
        <w:p/>
        <w:p/>
        <w:p/>
        <w:p>
          <w:pPr>
            <w:jc w:val="center"/>
            <w:rPr>
              <w:rFonts w:ascii="Heiti SC Light" w:eastAsia="Heiti SC Light"/>
              <w:color w:val="FFFFFF"/>
              <w:sz w:val="32"/>
              <w:szCs w:val="32"/>
            </w:rPr>
          </w:pPr>
          <w:r>
            <w:rPr>
              <w:rFonts w:hint="eastAsia" w:ascii="Heiti SC Light" w:eastAsia="Heiti SC Light"/>
              <w:color w:val="FFFFFF"/>
              <w:sz w:val="32"/>
              <w:szCs w:val="32"/>
            </w:rPr>
            <w:t>（2023年第8期） 2023年8月2</w:t>
          </w:r>
          <w:r>
            <w:rPr>
              <w:rFonts w:hint="eastAsia" w:ascii="Heiti SC Light"/>
              <w:color w:val="FFFFFF"/>
              <w:sz w:val="32"/>
              <w:szCs w:val="32"/>
              <w:lang w:val="en-US" w:eastAsia="zh-CN"/>
            </w:rPr>
            <w:t>9</w:t>
          </w:r>
          <w:r>
            <w:rPr>
              <w:rFonts w:hint="eastAsia" w:ascii="Heiti SC Light" w:eastAsia="Heiti SC Light"/>
              <w:color w:val="FFFFFF"/>
              <w:sz w:val="32"/>
              <w:szCs w:val="32"/>
            </w:rPr>
            <w:t>日</w:t>
          </w:r>
        </w:p>
        <w:p/>
        <w:p/>
        <w:p/>
        <w:p/>
        <w:p/>
        <w:p>
          <w:r>
            <w:rPr>
              <w:rFonts w:hint="eastAsia"/>
            </w:rPr>
            <w:t xml:space="preserve"> </w:t>
          </w:r>
        </w:p>
        <w:p/>
        <w:p/>
        <w:p/>
        <w:p/>
        <w:p/>
        <w:p/>
        <w:p/>
        <w:p/>
        <w:p/>
        <w:p/>
        <w:p/>
        <w:p/>
        <w:p>
          <w:pPr>
            <w:tabs>
              <w:tab w:val="left" w:pos="5245"/>
            </w:tabs>
          </w:pPr>
        </w:p>
        <w:p>
          <w:pPr>
            <w:tabs>
              <w:tab w:val="left" w:pos="5245"/>
            </w:tabs>
          </w:pPr>
        </w:p>
        <w:p>
          <w:pPr>
            <w:widowControl/>
            <w:tabs>
              <w:tab w:val="left" w:pos="5245"/>
            </w:tabs>
            <w:jc w:val="left"/>
          </w:pPr>
        </w:p>
        <w:p>
          <w:pPr>
            <w:widowControl/>
            <w:tabs>
              <w:tab w:val="left" w:pos="5245"/>
            </w:tabs>
            <w:jc w:val="left"/>
          </w:pPr>
        </w:p>
        <w:p>
          <w:pPr>
            <w:widowControl/>
            <w:tabs>
              <w:tab w:val="left" w:pos="5245"/>
            </w:tabs>
            <w:jc w:val="left"/>
          </w:pPr>
        </w:p>
      </w:sdtContent>
    </w:sdt>
    <w:p>
      <w:pPr>
        <w:tabs>
          <w:tab w:val="left" w:pos="5245"/>
        </w:tabs>
      </w:pPr>
      <w:r>
        <mc:AlternateContent>
          <mc:Choice Requires="wps">
            <w:drawing>
              <wp:anchor distT="0" distB="0" distL="114300" distR="114300" simplePos="0" relativeHeight="251660288" behindDoc="0" locked="0" layoutInCell="1" allowOverlap="1">
                <wp:simplePos x="0" y="0"/>
                <wp:positionH relativeFrom="column">
                  <wp:posOffset>-857250</wp:posOffset>
                </wp:positionH>
                <wp:positionV relativeFrom="paragraph">
                  <wp:posOffset>9525</wp:posOffset>
                </wp:positionV>
                <wp:extent cx="6848475" cy="635"/>
                <wp:effectExtent l="0" t="19050" r="9525" b="37465"/>
                <wp:wrapNone/>
                <wp:docPr id="52" name="Straight Connector 2"/>
                <wp:cNvGraphicFramePr/>
                <a:graphic xmlns:a="http://schemas.openxmlformats.org/drawingml/2006/main">
                  <a:graphicData uri="http://schemas.microsoft.com/office/word/2010/wordprocessingShape">
                    <wps:wsp>
                      <wps:cNvCnPr/>
                      <wps:spPr>
                        <a:xfrm>
                          <a:off x="0" y="0"/>
                          <a:ext cx="6848475" cy="635"/>
                        </a:xfrm>
                        <a:prstGeom prst="straightConnector1">
                          <a:avLst/>
                        </a:prstGeom>
                        <a:ln w="38100" cap="flat" cmpd="sng">
                          <a:solidFill>
                            <a:srgbClr val="548DD4"/>
                          </a:solidFill>
                          <a:prstDash val="solid"/>
                          <a:headEnd type="none" w="med" len="med"/>
                          <a:tailEnd type="none" w="med" len="med"/>
                        </a:ln>
                      </wps:spPr>
                      <wps:bodyPr/>
                    </wps:wsp>
                  </a:graphicData>
                </a:graphic>
              </wp:anchor>
            </w:drawing>
          </mc:Choice>
          <mc:Fallback>
            <w:pict>
              <v:shape id="Straight Connector 2" o:spid="_x0000_s1026" o:spt="32" type="#_x0000_t32" style="position:absolute;left:0pt;margin-left:-67.5pt;margin-top:0.75pt;height:0.05pt;width:539.25pt;z-index:251660288;mso-width-relative:page;mso-height-relative:page;" filled="f" stroked="t" coordsize="21600,21600" o:gfxdata="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JvGPpbWAAAA&#10;CAEAAA8AAAAAAAAAAQAgAAAAIgAAAGRycy9kb3ducmV2LnhtbFBLAQIUABQAAAAIAIdO4kB2rrkF&#10;5gEAAO0DAAAOAAAAAAAAAAEAIAAAACUBAABkcnMvZTJvRG9jLnhtbFBLBQYAAAAABgAGAFkBAAB9&#10;BQAAAAA=&#10;">
                <v:fill on="f" focussize="0,0"/>
                <v:stroke weight="3pt" color="#548DD4" joinstyle="round"/>
                <v:imagedata o:title=""/>
                <o:lock v:ext="edit" aspectratio="f"/>
              </v:shape>
            </w:pict>
          </mc:Fallback>
        </mc:AlternateContent>
      </w:r>
      <w:r>
        <mc:AlternateContent>
          <mc:Choice Requires="wps">
            <w:drawing>
              <wp:anchor distT="0" distB="0" distL="114300" distR="114300" simplePos="0" relativeHeight="251661312" behindDoc="0" locked="0" layoutInCell="1" allowOverlap="1">
                <wp:simplePos x="0" y="0"/>
                <wp:positionH relativeFrom="column">
                  <wp:posOffset>1295400</wp:posOffset>
                </wp:positionH>
                <wp:positionV relativeFrom="paragraph">
                  <wp:posOffset>10160</wp:posOffset>
                </wp:positionV>
                <wp:extent cx="635" cy="8800465"/>
                <wp:effectExtent l="19050" t="0" r="37465" b="635"/>
                <wp:wrapNone/>
                <wp:docPr id="51" name="Straight Connector 3"/>
                <wp:cNvGraphicFramePr/>
                <a:graphic xmlns:a="http://schemas.openxmlformats.org/drawingml/2006/main">
                  <a:graphicData uri="http://schemas.microsoft.com/office/word/2010/wordprocessingShape">
                    <wps:wsp>
                      <wps:cNvCnPr/>
                      <wps:spPr>
                        <a:xfrm>
                          <a:off x="0" y="0"/>
                          <a:ext cx="635" cy="8800465"/>
                        </a:xfrm>
                        <a:prstGeom prst="straightConnector1">
                          <a:avLst/>
                        </a:prstGeom>
                        <a:ln w="31750" cap="flat" cmpd="sng">
                          <a:solidFill>
                            <a:srgbClr val="548DD4"/>
                          </a:solidFill>
                          <a:prstDash val="solid"/>
                          <a:headEnd type="none" w="med" len="med"/>
                          <a:tailEnd type="none" w="med" len="med"/>
                        </a:ln>
                      </wps:spPr>
                      <wps:bodyPr/>
                    </wps:wsp>
                  </a:graphicData>
                </a:graphic>
              </wp:anchor>
            </w:drawing>
          </mc:Choice>
          <mc:Fallback>
            <w:pict>
              <v:shape id="Straight Connector 3" o:spid="_x0000_s1026" o:spt="32" type="#_x0000_t32" style="position:absolute;left:0pt;margin-left:102pt;margin-top:0.8pt;height:692.95pt;width:0.05pt;z-index:251661312;mso-width-relative:page;mso-height-relative:page;" filled="f" stroked="t" coordsize="21600,21600" o:gfxdata="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OupmvDZ&#10;AAAACgEAAA8AAAAAAAAAAQAgAAAAIgAAAGRycy9kb3ducmV2LnhtbFBLAQIUABQAAAAIAIdO4kCn&#10;5Q7J5gEAAO0DAAAOAAAAAAAAAAEAIAAAACgBAABkcnMvZTJvRG9jLnhtbFBLBQYAAAAABgAGAFkB&#10;AACABQAAAAA=&#10;">
                <v:fill on="f" focussize="0,0"/>
                <v:stroke weight="2.5pt" color="#548DD4" joinstyle="round"/>
                <v:imagedata o:title=""/>
                <o:lock v:ext="edit" aspectratio="f"/>
              </v:shape>
            </w:pict>
          </mc:Fallback>
        </mc:AlternateContent>
      </w:r>
      <w:r>
        <w:rPr>
          <w:rFonts w:hint="eastAsia"/>
        </w:rPr>
        <w:t xml:space="preserve"> </w:t>
      </w:r>
    </w:p>
    <w:p>
      <w:pPr>
        <w:tabs>
          <w:tab w:val="center" w:pos="4156"/>
        </w:tabs>
      </w:pPr>
      <w:r>
        <mc:AlternateContent>
          <mc:Choice Requires="wps">
            <w:drawing>
              <wp:anchor distT="0" distB="0" distL="114300" distR="114300" simplePos="0" relativeHeight="251666432" behindDoc="0" locked="0" layoutInCell="1" allowOverlap="1">
                <wp:simplePos x="0" y="0"/>
                <wp:positionH relativeFrom="column">
                  <wp:posOffset>1554480</wp:posOffset>
                </wp:positionH>
                <wp:positionV relativeFrom="paragraph">
                  <wp:posOffset>127635</wp:posOffset>
                </wp:positionV>
                <wp:extent cx="4210050" cy="8143875"/>
                <wp:effectExtent l="0" t="0" r="0" b="0"/>
                <wp:wrapNone/>
                <wp:docPr id="3" name="文本框 14"/>
                <wp:cNvGraphicFramePr/>
                <a:graphic xmlns:a="http://schemas.openxmlformats.org/drawingml/2006/main">
                  <a:graphicData uri="http://schemas.microsoft.com/office/word/2010/wordprocessingShape">
                    <wps:wsp>
                      <wps:cNvSpPr txBox="1"/>
                      <wps:spPr>
                        <a:xfrm>
                          <a:off x="0" y="0"/>
                          <a:ext cx="4210050" cy="8143875"/>
                        </a:xfrm>
                        <a:prstGeom prst="rect">
                          <a:avLst/>
                        </a:prstGeom>
                        <a:noFill/>
                        <a:ln w="15875">
                          <a:noFill/>
                        </a:ln>
                      </wps:spPr>
                      <wps:txbx>
                        <w:txbxContent>
                          <w:p>
                            <w:pPr>
                              <w:widowControl/>
                              <w:shd w:val="clear" w:color="auto" w:fill="FFFFFF"/>
                              <w:spacing w:after="210"/>
                              <w:jc w:val="left"/>
                              <w:outlineLvl w:val="1"/>
                              <w:rPr>
                                <w:rFonts w:asciiTheme="minorEastAsia" w:hAnsiTheme="minorEastAsia" w:eastAsiaTheme="minorEastAsia"/>
                                <w:b/>
                                <w:sz w:val="36"/>
                                <w:szCs w:val="36"/>
                              </w:rPr>
                            </w:pPr>
                            <w:r>
                              <w:rPr>
                                <w:rFonts w:hint="eastAsia" w:asciiTheme="minorEastAsia" w:hAnsiTheme="minorEastAsia" w:eastAsiaTheme="minorEastAsia"/>
                                <w:b/>
                                <w:sz w:val="36"/>
                                <w:szCs w:val="36"/>
                              </w:rPr>
                              <w:t>1.</w:t>
                            </w:r>
                            <w:r>
                              <w:rPr>
                                <w:rFonts w:hint="eastAsia"/>
                              </w:rPr>
                              <w:t xml:space="preserve"> </w:t>
                            </w:r>
                            <w:r>
                              <w:rPr>
                                <w:rFonts w:hint="eastAsia" w:asciiTheme="minorEastAsia" w:hAnsiTheme="minorEastAsia" w:eastAsiaTheme="minorEastAsia"/>
                                <w:b/>
                                <w:sz w:val="36"/>
                                <w:szCs w:val="36"/>
                              </w:rPr>
                              <w:t>黑龙江调整医保政策！</w:t>
                            </w:r>
                          </w:p>
                          <w:p>
                            <w:pPr>
                              <w:widowControl/>
                              <w:shd w:val="clear" w:color="auto" w:fill="FFFFFF"/>
                              <w:spacing w:after="210" w:line="480" w:lineRule="auto"/>
                              <w:jc w:val="left"/>
                              <w:outlineLvl w:val="1"/>
                              <w:rPr>
                                <w:rFonts w:asciiTheme="minorEastAsia" w:hAnsiTheme="minorEastAsia" w:eastAsiaTheme="minorEastAsia"/>
                                <w:b/>
                                <w:sz w:val="72"/>
                                <w:szCs w:val="84"/>
                              </w:rPr>
                            </w:pPr>
                          </w:p>
                          <w:p>
                            <w:pPr>
                              <w:widowControl/>
                              <w:shd w:val="clear" w:color="auto" w:fill="FFFFFF"/>
                              <w:spacing w:after="210"/>
                              <w:jc w:val="left"/>
                              <w:outlineLvl w:val="1"/>
                              <w:rPr>
                                <w:rFonts w:asciiTheme="minorEastAsia" w:hAnsiTheme="minorEastAsia" w:eastAsiaTheme="minorEastAsia"/>
                                <w:b/>
                                <w:sz w:val="36"/>
                                <w:szCs w:val="36"/>
                              </w:rPr>
                            </w:pPr>
                            <w:r>
                              <w:rPr>
                                <w:rFonts w:hint="eastAsia" w:asciiTheme="minorEastAsia" w:hAnsiTheme="minorEastAsia" w:eastAsiaTheme="minorEastAsia"/>
                                <w:b/>
                                <w:sz w:val="36"/>
                                <w:szCs w:val="36"/>
                              </w:rPr>
                              <w:t>2.</w:t>
                            </w:r>
                            <w:r>
                              <w:rPr>
                                <w:rFonts w:hint="eastAsia"/>
                              </w:rPr>
                              <w:t xml:space="preserve"> </w:t>
                            </w:r>
                            <w:r>
                              <w:rPr>
                                <w:rFonts w:hint="eastAsia" w:asciiTheme="minorEastAsia" w:hAnsiTheme="minorEastAsia" w:eastAsiaTheme="minorEastAsia"/>
                                <w:b/>
                                <w:sz w:val="36"/>
                                <w:szCs w:val="36"/>
                              </w:rPr>
                              <w:t>四大医药流通巨头着力能力提升</w:t>
                            </w:r>
                          </w:p>
                          <w:p>
                            <w:pPr>
                              <w:widowControl/>
                              <w:shd w:val="clear" w:color="auto" w:fill="FFFFFF"/>
                              <w:spacing w:after="210" w:line="480" w:lineRule="auto"/>
                              <w:jc w:val="left"/>
                              <w:outlineLvl w:val="1"/>
                              <w:rPr>
                                <w:rFonts w:asciiTheme="minorEastAsia" w:hAnsiTheme="minorEastAsia" w:eastAsiaTheme="minorEastAsia"/>
                                <w:b/>
                                <w:sz w:val="72"/>
                                <w:szCs w:val="84"/>
                              </w:rPr>
                            </w:pPr>
                          </w:p>
                          <w:p>
                            <w:pPr>
                              <w:widowControl/>
                              <w:shd w:val="clear" w:color="auto" w:fill="FFFFFF"/>
                              <w:spacing w:after="210"/>
                              <w:jc w:val="left"/>
                              <w:outlineLvl w:val="1"/>
                              <w:rPr>
                                <w:rFonts w:asciiTheme="minorEastAsia" w:hAnsiTheme="minorEastAsia" w:eastAsiaTheme="minorEastAsia"/>
                                <w:b/>
                                <w:sz w:val="36"/>
                                <w:szCs w:val="36"/>
                              </w:rPr>
                            </w:pPr>
                            <w:r>
                              <w:rPr>
                                <w:rFonts w:hint="eastAsia" w:asciiTheme="minorEastAsia" w:hAnsiTheme="minorEastAsia" w:eastAsiaTheme="minorEastAsia"/>
                                <w:b/>
                                <w:sz w:val="36"/>
                                <w:szCs w:val="36"/>
                              </w:rPr>
                              <w:t>3.</w:t>
                            </w:r>
                            <w:r>
                              <w:rPr>
                                <w:rFonts w:hint="eastAsia"/>
                              </w:rPr>
                              <w:t xml:space="preserve"> </w:t>
                            </w:r>
                            <w:r>
                              <w:rPr>
                                <w:rFonts w:hint="eastAsia" w:asciiTheme="minorEastAsia" w:hAnsiTheme="minorEastAsia" w:eastAsiaTheme="minorEastAsia"/>
                                <w:b/>
                                <w:sz w:val="36"/>
                                <w:szCs w:val="36"/>
                              </w:rPr>
                              <w:t>销售规模超2600亿！网上药店“地盘”持续扩张，全域融合时代来临</w:t>
                            </w:r>
                          </w:p>
                          <w:p>
                            <w:pPr>
                              <w:widowControl/>
                              <w:shd w:val="clear" w:color="auto" w:fill="FFFFFF"/>
                              <w:spacing w:after="210"/>
                              <w:jc w:val="left"/>
                              <w:outlineLvl w:val="1"/>
                              <w:rPr>
                                <w:rFonts w:asciiTheme="minorEastAsia" w:hAnsiTheme="minorEastAsia" w:eastAsiaTheme="minorEastAsia"/>
                                <w:b/>
                                <w:sz w:val="72"/>
                                <w:szCs w:val="84"/>
                              </w:rPr>
                            </w:pPr>
                          </w:p>
                          <w:p>
                            <w:pPr>
                              <w:widowControl/>
                              <w:shd w:val="clear" w:color="auto" w:fill="FFFFFF"/>
                              <w:spacing w:after="210"/>
                              <w:jc w:val="left"/>
                              <w:outlineLvl w:val="1"/>
                              <w:rPr>
                                <w:rFonts w:asciiTheme="minorEastAsia" w:hAnsiTheme="minorEastAsia" w:eastAsiaTheme="minorEastAsia"/>
                                <w:b/>
                                <w:sz w:val="36"/>
                                <w:szCs w:val="36"/>
                              </w:rPr>
                            </w:pPr>
                            <w:r>
                              <w:rPr>
                                <w:rFonts w:hint="eastAsia" w:asciiTheme="minorEastAsia" w:hAnsiTheme="minorEastAsia" w:eastAsiaTheme="minorEastAsia"/>
                                <w:b/>
                                <w:sz w:val="36"/>
                                <w:szCs w:val="36"/>
                              </w:rPr>
                              <w:t>4.</w:t>
                            </w:r>
                            <w:r>
                              <w:rPr>
                                <w:rFonts w:hint="eastAsia"/>
                              </w:rPr>
                              <w:t xml:space="preserve"> </w:t>
                            </w:r>
                            <w:r>
                              <w:rPr>
                                <w:rFonts w:hint="eastAsia" w:asciiTheme="minorEastAsia" w:hAnsiTheme="minorEastAsia" w:eastAsiaTheme="minorEastAsia"/>
                                <w:b/>
                                <w:sz w:val="36"/>
                                <w:szCs w:val="36"/>
                              </w:rPr>
                              <w:t>2030中国健康产业全景预测</w:t>
                            </w:r>
                          </w:p>
                          <w:p>
                            <w:pPr>
                              <w:widowControl/>
                              <w:shd w:val="clear" w:color="auto" w:fill="FFFFFF"/>
                              <w:spacing w:after="210" w:line="600" w:lineRule="auto"/>
                              <w:jc w:val="left"/>
                              <w:outlineLvl w:val="1"/>
                              <w:rPr>
                                <w:rFonts w:asciiTheme="minorEastAsia" w:hAnsiTheme="minorEastAsia" w:eastAsiaTheme="minorEastAsia"/>
                                <w:b/>
                                <w:sz w:val="72"/>
                                <w:szCs w:val="84"/>
                              </w:rPr>
                            </w:pPr>
                          </w:p>
                          <w:p>
                            <w:pPr>
                              <w:widowControl/>
                              <w:shd w:val="clear" w:color="auto" w:fill="FFFFFF"/>
                              <w:spacing w:after="210"/>
                              <w:jc w:val="left"/>
                              <w:outlineLvl w:val="1"/>
                              <w:rPr>
                                <w:rFonts w:asciiTheme="minorEastAsia" w:hAnsiTheme="minorEastAsia" w:eastAsiaTheme="minorEastAsia"/>
                                <w:b/>
                                <w:sz w:val="36"/>
                                <w:szCs w:val="36"/>
                              </w:rPr>
                            </w:pPr>
                            <w:r>
                              <w:rPr>
                                <w:rFonts w:hint="eastAsia" w:asciiTheme="minorEastAsia" w:hAnsiTheme="minorEastAsia" w:eastAsiaTheme="minorEastAsia"/>
                                <w:b/>
                                <w:sz w:val="36"/>
                                <w:szCs w:val="36"/>
                              </w:rPr>
                              <w:t>5.</w:t>
                            </w:r>
                            <w:r>
                              <w:rPr>
                                <w:rFonts w:hint="eastAsia"/>
                              </w:rPr>
                              <w:t xml:space="preserve"> </w:t>
                            </w:r>
                            <w:r>
                              <w:rPr>
                                <w:rFonts w:hint="eastAsia" w:asciiTheme="minorEastAsia" w:hAnsiTheme="minorEastAsia" w:eastAsiaTheme="minorEastAsia"/>
                                <w:b/>
                                <w:sz w:val="36"/>
                                <w:szCs w:val="36"/>
                              </w:rPr>
                              <w:t>九洲大药房如何实现三年市占翻三倍！</w:t>
                            </w:r>
                          </w:p>
                          <w:p>
                            <w:pPr>
                              <w:widowControl/>
                              <w:shd w:val="clear" w:color="auto" w:fill="FFFFFF"/>
                              <w:spacing w:after="210" w:line="600" w:lineRule="auto"/>
                              <w:jc w:val="left"/>
                              <w:outlineLvl w:val="1"/>
                              <w:rPr>
                                <w:rFonts w:asciiTheme="minorEastAsia" w:hAnsiTheme="minorEastAsia" w:eastAsiaTheme="minorEastAsia"/>
                                <w:b/>
                                <w:sz w:val="36"/>
                                <w:szCs w:val="36"/>
                              </w:rPr>
                            </w:pPr>
                          </w:p>
                          <w:p>
                            <w:pPr>
                              <w:widowControl/>
                              <w:shd w:val="clear" w:color="auto" w:fill="FFFFFF"/>
                              <w:spacing w:after="210"/>
                              <w:jc w:val="left"/>
                              <w:outlineLvl w:val="1"/>
                              <w:rPr>
                                <w:rFonts w:asciiTheme="minorEastAsia" w:hAnsiTheme="minorEastAsia" w:eastAsiaTheme="minorEastAsia"/>
                                <w:b/>
                                <w:sz w:val="36"/>
                                <w:szCs w:val="36"/>
                              </w:rPr>
                            </w:pPr>
                            <w:r>
                              <w:rPr>
                                <w:rFonts w:hint="eastAsia" w:asciiTheme="minorEastAsia" w:hAnsiTheme="minorEastAsia" w:eastAsiaTheme="minorEastAsia"/>
                                <w:b/>
                                <w:sz w:val="36"/>
                                <w:szCs w:val="36"/>
                              </w:rPr>
                              <w:t>6.</w:t>
                            </w:r>
                            <w:r>
                              <w:rPr>
                                <w:rFonts w:hint="eastAsia"/>
                              </w:rPr>
                              <w:t xml:space="preserve"> </w:t>
                            </w:r>
                            <w:r>
                              <w:rPr>
                                <w:rFonts w:hint="eastAsia" w:asciiTheme="minorEastAsia" w:hAnsiTheme="minorEastAsia" w:eastAsiaTheme="minorEastAsia"/>
                                <w:b/>
                                <w:sz w:val="36"/>
                                <w:szCs w:val="36"/>
                              </w:rPr>
                              <w:t>中国医药物流发展报告（2023）</w:t>
                            </w:r>
                          </w:p>
                        </w:txbxContent>
                      </wps:txbx>
                      <wps:bodyPr upright="1"/>
                    </wps:wsp>
                  </a:graphicData>
                </a:graphic>
              </wp:anchor>
            </w:drawing>
          </mc:Choice>
          <mc:Fallback>
            <w:pict>
              <v:shape id="文本框 14" o:spid="_x0000_s1026" o:spt="202" type="#_x0000_t202" style="position:absolute;left:0pt;margin-left:122.4pt;margin-top:10.05pt;height:641.25pt;width:331.5pt;z-index:251666432;mso-width-relative:page;mso-height-relative:page;" filled="f" stroked="f" coordsize="21600,21600" o:gfxdata="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DsQ32U3AAAAAsBAAAPAAAAAAAAAAEAIAAAACIAAABkcnMvZG93bnJldi54bWxQSwECFAAU&#10;AAAACACHTuJAZa8ySrQBAABaAwAADgAAAAAAAAABACAAAAArAQAAZHJzL2Uyb0RvYy54bWxQSwUG&#10;AAAAAAYABgBZAQAAUQUAAAAA&#10;">
                <v:fill on="f" focussize="0,0"/>
                <v:stroke on="f" weight="1.25pt"/>
                <v:imagedata o:title=""/>
                <o:lock v:ext="edit" aspectratio="f"/>
                <v:textbox>
                  <w:txbxContent>
                    <w:p>
                      <w:pPr>
                        <w:widowControl/>
                        <w:shd w:val="clear" w:color="auto" w:fill="FFFFFF"/>
                        <w:spacing w:after="210"/>
                        <w:jc w:val="left"/>
                        <w:outlineLvl w:val="1"/>
                        <w:rPr>
                          <w:rFonts w:asciiTheme="minorEastAsia" w:hAnsiTheme="minorEastAsia" w:eastAsiaTheme="minorEastAsia"/>
                          <w:b/>
                          <w:sz w:val="36"/>
                          <w:szCs w:val="36"/>
                        </w:rPr>
                      </w:pPr>
                      <w:r>
                        <w:rPr>
                          <w:rFonts w:hint="eastAsia" w:asciiTheme="minorEastAsia" w:hAnsiTheme="minorEastAsia" w:eastAsiaTheme="minorEastAsia"/>
                          <w:b/>
                          <w:sz w:val="36"/>
                          <w:szCs w:val="36"/>
                        </w:rPr>
                        <w:t>1.</w:t>
                      </w:r>
                      <w:r>
                        <w:rPr>
                          <w:rFonts w:hint="eastAsia"/>
                        </w:rPr>
                        <w:t xml:space="preserve"> </w:t>
                      </w:r>
                      <w:r>
                        <w:rPr>
                          <w:rFonts w:hint="eastAsia" w:asciiTheme="minorEastAsia" w:hAnsiTheme="minorEastAsia" w:eastAsiaTheme="minorEastAsia"/>
                          <w:b/>
                          <w:sz w:val="36"/>
                          <w:szCs w:val="36"/>
                        </w:rPr>
                        <w:t>黑龙江调整医保政策！</w:t>
                      </w:r>
                    </w:p>
                    <w:p>
                      <w:pPr>
                        <w:widowControl/>
                        <w:shd w:val="clear" w:color="auto" w:fill="FFFFFF"/>
                        <w:spacing w:after="210" w:line="480" w:lineRule="auto"/>
                        <w:jc w:val="left"/>
                        <w:outlineLvl w:val="1"/>
                        <w:rPr>
                          <w:rFonts w:asciiTheme="minorEastAsia" w:hAnsiTheme="minorEastAsia" w:eastAsiaTheme="minorEastAsia"/>
                          <w:b/>
                          <w:sz w:val="72"/>
                          <w:szCs w:val="84"/>
                        </w:rPr>
                      </w:pPr>
                    </w:p>
                    <w:p>
                      <w:pPr>
                        <w:widowControl/>
                        <w:shd w:val="clear" w:color="auto" w:fill="FFFFFF"/>
                        <w:spacing w:after="210"/>
                        <w:jc w:val="left"/>
                        <w:outlineLvl w:val="1"/>
                        <w:rPr>
                          <w:rFonts w:asciiTheme="minorEastAsia" w:hAnsiTheme="minorEastAsia" w:eastAsiaTheme="minorEastAsia"/>
                          <w:b/>
                          <w:sz w:val="36"/>
                          <w:szCs w:val="36"/>
                        </w:rPr>
                      </w:pPr>
                      <w:r>
                        <w:rPr>
                          <w:rFonts w:hint="eastAsia" w:asciiTheme="minorEastAsia" w:hAnsiTheme="minorEastAsia" w:eastAsiaTheme="minorEastAsia"/>
                          <w:b/>
                          <w:sz w:val="36"/>
                          <w:szCs w:val="36"/>
                        </w:rPr>
                        <w:t>2.</w:t>
                      </w:r>
                      <w:r>
                        <w:rPr>
                          <w:rFonts w:hint="eastAsia"/>
                        </w:rPr>
                        <w:t xml:space="preserve"> </w:t>
                      </w:r>
                      <w:r>
                        <w:rPr>
                          <w:rFonts w:hint="eastAsia" w:asciiTheme="minorEastAsia" w:hAnsiTheme="minorEastAsia" w:eastAsiaTheme="minorEastAsia"/>
                          <w:b/>
                          <w:sz w:val="36"/>
                          <w:szCs w:val="36"/>
                        </w:rPr>
                        <w:t>四大医药流通巨头着力能力提升</w:t>
                      </w:r>
                    </w:p>
                    <w:p>
                      <w:pPr>
                        <w:widowControl/>
                        <w:shd w:val="clear" w:color="auto" w:fill="FFFFFF"/>
                        <w:spacing w:after="210" w:line="480" w:lineRule="auto"/>
                        <w:jc w:val="left"/>
                        <w:outlineLvl w:val="1"/>
                        <w:rPr>
                          <w:rFonts w:asciiTheme="minorEastAsia" w:hAnsiTheme="minorEastAsia" w:eastAsiaTheme="minorEastAsia"/>
                          <w:b/>
                          <w:sz w:val="72"/>
                          <w:szCs w:val="84"/>
                        </w:rPr>
                      </w:pPr>
                    </w:p>
                    <w:p>
                      <w:pPr>
                        <w:widowControl/>
                        <w:shd w:val="clear" w:color="auto" w:fill="FFFFFF"/>
                        <w:spacing w:after="210"/>
                        <w:jc w:val="left"/>
                        <w:outlineLvl w:val="1"/>
                        <w:rPr>
                          <w:rFonts w:asciiTheme="minorEastAsia" w:hAnsiTheme="minorEastAsia" w:eastAsiaTheme="minorEastAsia"/>
                          <w:b/>
                          <w:sz w:val="36"/>
                          <w:szCs w:val="36"/>
                        </w:rPr>
                      </w:pPr>
                      <w:r>
                        <w:rPr>
                          <w:rFonts w:hint="eastAsia" w:asciiTheme="minorEastAsia" w:hAnsiTheme="minorEastAsia" w:eastAsiaTheme="minorEastAsia"/>
                          <w:b/>
                          <w:sz w:val="36"/>
                          <w:szCs w:val="36"/>
                        </w:rPr>
                        <w:t>3.</w:t>
                      </w:r>
                      <w:r>
                        <w:rPr>
                          <w:rFonts w:hint="eastAsia"/>
                        </w:rPr>
                        <w:t xml:space="preserve"> </w:t>
                      </w:r>
                      <w:r>
                        <w:rPr>
                          <w:rFonts w:hint="eastAsia" w:asciiTheme="minorEastAsia" w:hAnsiTheme="minorEastAsia" w:eastAsiaTheme="minorEastAsia"/>
                          <w:b/>
                          <w:sz w:val="36"/>
                          <w:szCs w:val="36"/>
                        </w:rPr>
                        <w:t>销售规模超2600亿！网上药店“地盘”持续扩张，全域融合时代来临</w:t>
                      </w:r>
                    </w:p>
                    <w:p>
                      <w:pPr>
                        <w:widowControl/>
                        <w:shd w:val="clear" w:color="auto" w:fill="FFFFFF"/>
                        <w:spacing w:after="210"/>
                        <w:jc w:val="left"/>
                        <w:outlineLvl w:val="1"/>
                        <w:rPr>
                          <w:rFonts w:asciiTheme="minorEastAsia" w:hAnsiTheme="minorEastAsia" w:eastAsiaTheme="minorEastAsia"/>
                          <w:b/>
                          <w:sz w:val="72"/>
                          <w:szCs w:val="84"/>
                        </w:rPr>
                      </w:pPr>
                    </w:p>
                    <w:p>
                      <w:pPr>
                        <w:widowControl/>
                        <w:shd w:val="clear" w:color="auto" w:fill="FFFFFF"/>
                        <w:spacing w:after="210"/>
                        <w:jc w:val="left"/>
                        <w:outlineLvl w:val="1"/>
                        <w:rPr>
                          <w:rFonts w:asciiTheme="minorEastAsia" w:hAnsiTheme="minorEastAsia" w:eastAsiaTheme="minorEastAsia"/>
                          <w:b/>
                          <w:sz w:val="36"/>
                          <w:szCs w:val="36"/>
                        </w:rPr>
                      </w:pPr>
                      <w:r>
                        <w:rPr>
                          <w:rFonts w:hint="eastAsia" w:asciiTheme="minorEastAsia" w:hAnsiTheme="minorEastAsia" w:eastAsiaTheme="minorEastAsia"/>
                          <w:b/>
                          <w:sz w:val="36"/>
                          <w:szCs w:val="36"/>
                        </w:rPr>
                        <w:t>4.</w:t>
                      </w:r>
                      <w:r>
                        <w:rPr>
                          <w:rFonts w:hint="eastAsia"/>
                        </w:rPr>
                        <w:t xml:space="preserve"> </w:t>
                      </w:r>
                      <w:r>
                        <w:rPr>
                          <w:rFonts w:hint="eastAsia" w:asciiTheme="minorEastAsia" w:hAnsiTheme="minorEastAsia" w:eastAsiaTheme="minorEastAsia"/>
                          <w:b/>
                          <w:sz w:val="36"/>
                          <w:szCs w:val="36"/>
                        </w:rPr>
                        <w:t>2030中国健康产业全景预测</w:t>
                      </w:r>
                    </w:p>
                    <w:p>
                      <w:pPr>
                        <w:widowControl/>
                        <w:shd w:val="clear" w:color="auto" w:fill="FFFFFF"/>
                        <w:spacing w:after="210" w:line="600" w:lineRule="auto"/>
                        <w:jc w:val="left"/>
                        <w:outlineLvl w:val="1"/>
                        <w:rPr>
                          <w:rFonts w:asciiTheme="minorEastAsia" w:hAnsiTheme="minorEastAsia" w:eastAsiaTheme="minorEastAsia"/>
                          <w:b/>
                          <w:sz w:val="72"/>
                          <w:szCs w:val="84"/>
                        </w:rPr>
                      </w:pPr>
                    </w:p>
                    <w:p>
                      <w:pPr>
                        <w:widowControl/>
                        <w:shd w:val="clear" w:color="auto" w:fill="FFFFFF"/>
                        <w:spacing w:after="210"/>
                        <w:jc w:val="left"/>
                        <w:outlineLvl w:val="1"/>
                        <w:rPr>
                          <w:rFonts w:asciiTheme="minorEastAsia" w:hAnsiTheme="minorEastAsia" w:eastAsiaTheme="minorEastAsia"/>
                          <w:b/>
                          <w:sz w:val="36"/>
                          <w:szCs w:val="36"/>
                        </w:rPr>
                      </w:pPr>
                      <w:r>
                        <w:rPr>
                          <w:rFonts w:hint="eastAsia" w:asciiTheme="minorEastAsia" w:hAnsiTheme="minorEastAsia" w:eastAsiaTheme="minorEastAsia"/>
                          <w:b/>
                          <w:sz w:val="36"/>
                          <w:szCs w:val="36"/>
                        </w:rPr>
                        <w:t>5.</w:t>
                      </w:r>
                      <w:r>
                        <w:rPr>
                          <w:rFonts w:hint="eastAsia"/>
                        </w:rPr>
                        <w:t xml:space="preserve"> </w:t>
                      </w:r>
                      <w:r>
                        <w:rPr>
                          <w:rFonts w:hint="eastAsia" w:asciiTheme="minorEastAsia" w:hAnsiTheme="minorEastAsia" w:eastAsiaTheme="minorEastAsia"/>
                          <w:b/>
                          <w:sz w:val="36"/>
                          <w:szCs w:val="36"/>
                        </w:rPr>
                        <w:t>九洲大药房如何实现三年市占翻三倍！</w:t>
                      </w:r>
                    </w:p>
                    <w:p>
                      <w:pPr>
                        <w:widowControl/>
                        <w:shd w:val="clear" w:color="auto" w:fill="FFFFFF"/>
                        <w:spacing w:after="210" w:line="600" w:lineRule="auto"/>
                        <w:jc w:val="left"/>
                        <w:outlineLvl w:val="1"/>
                        <w:rPr>
                          <w:rFonts w:asciiTheme="minorEastAsia" w:hAnsiTheme="minorEastAsia" w:eastAsiaTheme="minorEastAsia"/>
                          <w:b/>
                          <w:sz w:val="36"/>
                          <w:szCs w:val="36"/>
                        </w:rPr>
                      </w:pPr>
                    </w:p>
                    <w:p>
                      <w:pPr>
                        <w:widowControl/>
                        <w:shd w:val="clear" w:color="auto" w:fill="FFFFFF"/>
                        <w:spacing w:after="210"/>
                        <w:jc w:val="left"/>
                        <w:outlineLvl w:val="1"/>
                        <w:rPr>
                          <w:rFonts w:asciiTheme="minorEastAsia" w:hAnsiTheme="minorEastAsia" w:eastAsiaTheme="minorEastAsia"/>
                          <w:b/>
                          <w:sz w:val="36"/>
                          <w:szCs w:val="36"/>
                        </w:rPr>
                      </w:pPr>
                      <w:r>
                        <w:rPr>
                          <w:rFonts w:hint="eastAsia" w:asciiTheme="minorEastAsia" w:hAnsiTheme="minorEastAsia" w:eastAsiaTheme="minorEastAsia"/>
                          <w:b/>
                          <w:sz w:val="36"/>
                          <w:szCs w:val="36"/>
                        </w:rPr>
                        <w:t>6.</w:t>
                      </w:r>
                      <w:r>
                        <w:rPr>
                          <w:rFonts w:hint="eastAsia"/>
                        </w:rPr>
                        <w:t xml:space="preserve"> </w:t>
                      </w:r>
                      <w:r>
                        <w:rPr>
                          <w:rFonts w:hint="eastAsia" w:asciiTheme="minorEastAsia" w:hAnsiTheme="minorEastAsia" w:eastAsiaTheme="minorEastAsia"/>
                          <w:b/>
                          <w:sz w:val="36"/>
                          <w:szCs w:val="36"/>
                        </w:rPr>
                        <w:t>中国医药物流发展报告（2023）</w:t>
                      </w:r>
                    </w:p>
                  </w:txbxContent>
                </v:textbox>
              </v:shape>
            </w:pict>
          </mc:Fallback>
        </mc:AlternateContent>
      </w:r>
      <w:r>
        <mc:AlternateContent>
          <mc:Choice Requires="wps">
            <w:drawing>
              <wp:anchor distT="0" distB="0" distL="114300" distR="114300" simplePos="0" relativeHeight="251663360" behindDoc="0" locked="0" layoutInCell="1" allowOverlap="1">
                <wp:simplePos x="0" y="0"/>
                <wp:positionH relativeFrom="column">
                  <wp:posOffset>-788670</wp:posOffset>
                </wp:positionH>
                <wp:positionV relativeFrom="paragraph">
                  <wp:posOffset>40005</wp:posOffset>
                </wp:positionV>
                <wp:extent cx="1982470" cy="3190875"/>
                <wp:effectExtent l="0" t="0" r="0" b="0"/>
                <wp:wrapNone/>
                <wp:docPr id="49" name="文本框 11"/>
                <wp:cNvGraphicFramePr/>
                <a:graphic xmlns:a="http://schemas.openxmlformats.org/drawingml/2006/main">
                  <a:graphicData uri="http://schemas.microsoft.com/office/word/2010/wordprocessingShape">
                    <wps:wsp>
                      <wps:cNvSpPr txBox="1"/>
                      <wps:spPr>
                        <a:xfrm>
                          <a:off x="0" y="0"/>
                          <a:ext cx="1982470" cy="3190875"/>
                        </a:xfrm>
                        <a:prstGeom prst="rect">
                          <a:avLst/>
                        </a:prstGeom>
                        <a:noFill/>
                        <a:ln w="15875">
                          <a:noFill/>
                        </a:ln>
                      </wps:spPr>
                      <wps:txbx>
                        <w:txbxContent>
                          <w:p/>
                          <w:p/>
                          <w:p/>
                          <w:p>
                            <w:pPr>
                              <w:jc w:val="center"/>
                              <w:rPr>
                                <w:b/>
                                <w:sz w:val="44"/>
                                <w:szCs w:val="44"/>
                              </w:rPr>
                            </w:pPr>
                            <w:r>
                              <w:rPr>
                                <w:rFonts w:hint="eastAsia"/>
                                <w:b/>
                                <w:sz w:val="44"/>
                                <w:szCs w:val="44"/>
                              </w:rPr>
                              <w:t>目录</w:t>
                            </w:r>
                          </w:p>
                          <w:p>
                            <w:pPr>
                              <w:jc w:val="center"/>
                              <w:rPr>
                                <w:b/>
                                <w:sz w:val="44"/>
                                <w:szCs w:val="44"/>
                              </w:rPr>
                            </w:pPr>
                          </w:p>
                          <w:p>
                            <w:pPr>
                              <w:jc w:val="center"/>
                              <w:rPr>
                                <w:b/>
                                <w:sz w:val="44"/>
                                <w:szCs w:val="44"/>
                              </w:rPr>
                            </w:pPr>
                          </w:p>
                          <w:p>
                            <w:pPr>
                              <w:jc w:val="center"/>
                              <w:rPr>
                                <w:b/>
                                <w:sz w:val="44"/>
                                <w:szCs w:val="44"/>
                              </w:rPr>
                            </w:pPr>
                          </w:p>
                          <w:p>
                            <w:pPr>
                              <w:jc w:val="center"/>
                              <w:rPr>
                                <w:b/>
                                <w:sz w:val="36"/>
                                <w:szCs w:val="36"/>
                              </w:rPr>
                            </w:pPr>
                            <w:r>
                              <w:rPr>
                                <w:rFonts w:hint="eastAsia"/>
                                <w:b/>
                                <w:sz w:val="36"/>
                                <w:szCs w:val="36"/>
                              </w:rPr>
                              <w:t>（8月第8期）</w:t>
                            </w:r>
                          </w:p>
                        </w:txbxContent>
                      </wps:txbx>
                      <wps:bodyPr upright="1"/>
                    </wps:wsp>
                  </a:graphicData>
                </a:graphic>
              </wp:anchor>
            </w:drawing>
          </mc:Choice>
          <mc:Fallback>
            <w:pict>
              <v:shape id="文本框 11" o:spid="_x0000_s1026" o:spt="202" type="#_x0000_t202" style="position:absolute;left:0pt;margin-left:-62.1pt;margin-top:3.15pt;height:251.25pt;width:156.1pt;z-index:251663360;mso-width-relative:page;mso-height-relative:page;" filled="f" stroked="f" coordsize="21600,21600" o:gfxdata="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fYunetwAAAAKAQAADwAAAAAAAAABACAAAAAiAAAAZHJzL2Rvd25yZXYueG1sUEsBAhQA&#10;FAAAAAgAh07iQFnbW4m1AQAAWwMAAA4AAAAAAAAAAQAgAAAAKwEAAGRycy9lMm9Eb2MueG1sUEsF&#10;BgAAAAAGAAYAWQEAAFIFAAAAAA==&#10;">
                <v:fill on="f" focussize="0,0"/>
                <v:stroke on="f" weight="1.25pt"/>
                <v:imagedata o:title=""/>
                <o:lock v:ext="edit" aspectratio="f"/>
                <v:textbox>
                  <w:txbxContent>
                    <w:p/>
                    <w:p/>
                    <w:p/>
                    <w:p>
                      <w:pPr>
                        <w:jc w:val="center"/>
                        <w:rPr>
                          <w:b/>
                          <w:sz w:val="44"/>
                          <w:szCs w:val="44"/>
                        </w:rPr>
                      </w:pPr>
                      <w:r>
                        <w:rPr>
                          <w:rFonts w:hint="eastAsia"/>
                          <w:b/>
                          <w:sz w:val="44"/>
                          <w:szCs w:val="44"/>
                        </w:rPr>
                        <w:t>目录</w:t>
                      </w:r>
                    </w:p>
                    <w:p>
                      <w:pPr>
                        <w:jc w:val="center"/>
                        <w:rPr>
                          <w:b/>
                          <w:sz w:val="44"/>
                          <w:szCs w:val="44"/>
                        </w:rPr>
                      </w:pPr>
                    </w:p>
                    <w:p>
                      <w:pPr>
                        <w:jc w:val="center"/>
                        <w:rPr>
                          <w:b/>
                          <w:sz w:val="44"/>
                          <w:szCs w:val="44"/>
                        </w:rPr>
                      </w:pPr>
                    </w:p>
                    <w:p>
                      <w:pPr>
                        <w:jc w:val="center"/>
                        <w:rPr>
                          <w:b/>
                          <w:sz w:val="44"/>
                          <w:szCs w:val="44"/>
                        </w:rPr>
                      </w:pPr>
                    </w:p>
                    <w:p>
                      <w:pPr>
                        <w:jc w:val="center"/>
                        <w:rPr>
                          <w:b/>
                          <w:sz w:val="36"/>
                          <w:szCs w:val="36"/>
                        </w:rPr>
                      </w:pPr>
                      <w:r>
                        <w:rPr>
                          <w:rFonts w:hint="eastAsia"/>
                          <w:b/>
                          <w:sz w:val="36"/>
                          <w:szCs w:val="36"/>
                        </w:rPr>
                        <w:t>（8月第8期）</w:t>
                      </w:r>
                    </w:p>
                  </w:txbxContent>
                </v:textbox>
              </v:shape>
            </w:pict>
          </mc:Fallback>
        </mc:AlternateContent>
      </w:r>
    </w:p>
    <w:p>
      <w:pPr>
        <w:tabs>
          <w:tab w:val="left" w:pos="5245"/>
        </w:tabs>
      </w:pPr>
      <w:r>
        <w:rPr>
          <w:rFonts w:hint="eastAsia"/>
        </w:rPr>
        <w:t xml:space="preserve">    </w:t>
      </w:r>
    </w:p>
    <w:p>
      <w:pPr>
        <w:tabs>
          <w:tab w:val="left" w:pos="5245"/>
        </w:tabs>
      </w:pPr>
      <w:r>
        <w:rPr>
          <w:rFonts w:hint="eastAsia"/>
        </w:rPr>
        <w:t xml:space="preserve"> </w:t>
      </w:r>
    </w:p>
    <w:p>
      <w:pPr>
        <w:tabs>
          <w:tab w:val="left" w:pos="5245"/>
        </w:tabs>
      </w:pPr>
    </w:p>
    <w:p>
      <w:pPr>
        <w:tabs>
          <w:tab w:val="left" w:pos="5245"/>
        </w:tabs>
      </w:pPr>
    </w:p>
    <w:p>
      <w:pPr>
        <w:tabs>
          <w:tab w:val="left" w:pos="5245"/>
        </w:tabs>
      </w:pPr>
    </w:p>
    <w:p>
      <w:pPr>
        <w:tabs>
          <w:tab w:val="left" w:pos="5245"/>
        </w:tabs>
      </w:pPr>
    </w:p>
    <w:p>
      <w:pPr>
        <w:tabs>
          <w:tab w:val="left" w:pos="5245"/>
        </w:tabs>
      </w:pPr>
    </w:p>
    <w:p>
      <w:pPr>
        <w:tabs>
          <w:tab w:val="left" w:pos="5245"/>
        </w:tabs>
      </w:pPr>
    </w:p>
    <w:p>
      <w:pPr>
        <w:tabs>
          <w:tab w:val="left" w:pos="5245"/>
        </w:tabs>
      </w:pPr>
    </w:p>
    <w:p>
      <w:pPr>
        <w:tabs>
          <w:tab w:val="left" w:pos="5245"/>
        </w:tabs>
      </w:pPr>
    </w:p>
    <w:p>
      <w:pPr>
        <w:tabs>
          <w:tab w:val="left" w:pos="5245"/>
        </w:tabs>
      </w:pPr>
    </w:p>
    <w:p>
      <w:pPr>
        <w:tabs>
          <w:tab w:val="left" w:pos="5245"/>
        </w:tabs>
      </w:pPr>
    </w:p>
    <w:p>
      <w:pPr>
        <w:tabs>
          <w:tab w:val="left" w:pos="5245"/>
        </w:tabs>
      </w:pPr>
    </w:p>
    <w:p>
      <w:pPr>
        <w:tabs>
          <w:tab w:val="left" w:pos="5245"/>
        </w:tabs>
      </w:pPr>
    </w:p>
    <w:p>
      <w:pPr>
        <w:tabs>
          <w:tab w:val="left" w:pos="5245"/>
        </w:tabs>
      </w:pPr>
    </w:p>
    <w:p>
      <w:pPr>
        <w:tabs>
          <w:tab w:val="left" w:pos="5245"/>
        </w:tabs>
      </w:pPr>
    </w:p>
    <w:p>
      <w:pPr>
        <w:tabs>
          <w:tab w:val="left" w:pos="5245"/>
        </w:tabs>
      </w:pPr>
      <w:r>
        <mc:AlternateContent>
          <mc:Choice Requires="wps">
            <w:drawing>
              <wp:anchor distT="0" distB="0" distL="114300" distR="114300" simplePos="0" relativeHeight="251663360" behindDoc="0" locked="0" layoutInCell="1" allowOverlap="1">
                <wp:simplePos x="0" y="0"/>
                <wp:positionH relativeFrom="column">
                  <wp:posOffset>-857250</wp:posOffset>
                </wp:positionH>
                <wp:positionV relativeFrom="paragraph">
                  <wp:posOffset>120015</wp:posOffset>
                </wp:positionV>
                <wp:extent cx="2143125" cy="635"/>
                <wp:effectExtent l="0" t="19050" r="9525" b="37465"/>
                <wp:wrapNone/>
                <wp:docPr id="48" name="Straight Connector 5"/>
                <wp:cNvGraphicFramePr/>
                <a:graphic xmlns:a="http://schemas.openxmlformats.org/drawingml/2006/main">
                  <a:graphicData uri="http://schemas.microsoft.com/office/word/2010/wordprocessingShape">
                    <wps:wsp>
                      <wps:cNvCnPr/>
                      <wps:spPr>
                        <a:xfrm>
                          <a:off x="0" y="0"/>
                          <a:ext cx="2143125" cy="635"/>
                        </a:xfrm>
                        <a:prstGeom prst="straightConnector1">
                          <a:avLst/>
                        </a:prstGeom>
                        <a:ln w="34925" cap="flat" cmpd="sng">
                          <a:solidFill>
                            <a:srgbClr val="548DD4"/>
                          </a:solidFill>
                          <a:prstDash val="solid"/>
                          <a:headEnd type="none" w="med" len="med"/>
                          <a:tailEnd type="none" w="med" len="med"/>
                        </a:ln>
                      </wps:spPr>
                      <wps:bodyPr/>
                    </wps:wsp>
                  </a:graphicData>
                </a:graphic>
              </wp:anchor>
            </w:drawing>
          </mc:Choice>
          <mc:Fallback>
            <w:pict>
              <v:shape id="Straight Connector 5" o:spid="_x0000_s1026" o:spt="32" type="#_x0000_t32" style="position:absolute;left:0pt;margin-left:-67.5pt;margin-top:9.45pt;height:0.05pt;width:168.75pt;z-index:251663360;mso-width-relative:page;mso-height-relative:page;" filled="f" stroked="t" coordsize="21600,21600" o:gfxdata="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AWIe3S2AAA&#10;AAoBAAAPAAAAAAAAAAEAIAAAACIAAABkcnMvZG93bnJldi54bWxQSwECFAAUAAAACACHTuJAtpQj&#10;HOUBAADtAwAADgAAAAAAAAABACAAAAAnAQAAZHJzL2Uyb0RvYy54bWxQSwUGAAAAAAYABgBZAQAA&#10;fgUAAAAA&#10;">
                <v:fill on="f" focussize="0,0"/>
                <v:stroke weight="2.75pt" color="#548DD4" joinstyle="round"/>
                <v:imagedata o:title=""/>
                <o:lock v:ext="edit" aspectratio="f"/>
              </v:shape>
            </w:pict>
          </mc:Fallback>
        </mc:AlternateContent>
      </w:r>
    </w:p>
    <w:p>
      <w:pPr>
        <w:tabs>
          <w:tab w:val="left" w:pos="5245"/>
        </w:tabs>
      </w:pPr>
    </w:p>
    <w:p>
      <w:pPr>
        <w:tabs>
          <w:tab w:val="left" w:pos="5245"/>
        </w:tabs>
      </w:pPr>
    </w:p>
    <w:p>
      <w:pPr>
        <w:tabs>
          <w:tab w:val="left" w:pos="5245"/>
        </w:tabs>
      </w:pPr>
    </w:p>
    <w:p>
      <w:pPr>
        <w:tabs>
          <w:tab w:val="left" w:pos="5245"/>
        </w:tabs>
      </w:pPr>
      <w:r>
        <mc:AlternateContent>
          <mc:Choice Requires="wps">
            <w:drawing>
              <wp:anchor distT="0" distB="0" distL="114300" distR="114300" simplePos="0" relativeHeight="251664384" behindDoc="0" locked="0" layoutInCell="1" allowOverlap="1">
                <wp:simplePos x="0" y="0"/>
                <wp:positionH relativeFrom="column">
                  <wp:posOffset>-674370</wp:posOffset>
                </wp:positionH>
                <wp:positionV relativeFrom="paragraph">
                  <wp:posOffset>135255</wp:posOffset>
                </wp:positionV>
                <wp:extent cx="1781175" cy="762000"/>
                <wp:effectExtent l="0" t="0" r="0" b="0"/>
                <wp:wrapNone/>
                <wp:docPr id="47" name="文本框 12"/>
                <wp:cNvGraphicFramePr/>
                <a:graphic xmlns:a="http://schemas.openxmlformats.org/drawingml/2006/main">
                  <a:graphicData uri="http://schemas.microsoft.com/office/word/2010/wordprocessingShape">
                    <wps:wsp>
                      <wps:cNvSpPr txBox="1"/>
                      <wps:spPr>
                        <a:xfrm>
                          <a:off x="0" y="0"/>
                          <a:ext cx="1781175" cy="762000"/>
                        </a:xfrm>
                        <a:prstGeom prst="rect">
                          <a:avLst/>
                        </a:prstGeom>
                        <a:noFill/>
                        <a:ln w="15875">
                          <a:noFill/>
                        </a:ln>
                      </wps:spPr>
                      <wps:txbx>
                        <w:txbxContent>
                          <w:p>
                            <w:pPr>
                              <w:jc w:val="center"/>
                              <w:rPr>
                                <w:rFonts w:hint="eastAsia" w:eastAsia="宋体"/>
                                <w:sz w:val="44"/>
                                <w:szCs w:val="44"/>
                                <w:lang w:val="en-US" w:eastAsia="zh-CN"/>
                              </w:rPr>
                            </w:pPr>
                            <w:r>
                              <w:rPr>
                                <w:rFonts w:hint="eastAsia"/>
                                <w:sz w:val="44"/>
                                <w:szCs w:val="44"/>
                              </w:rPr>
                              <w:t>2023.8.2</w:t>
                            </w:r>
                            <w:r>
                              <w:rPr>
                                <w:rFonts w:hint="eastAsia"/>
                                <w:sz w:val="44"/>
                                <w:szCs w:val="44"/>
                                <w:lang w:val="en-US" w:eastAsia="zh-CN"/>
                              </w:rPr>
                              <w:t>9</w:t>
                            </w:r>
                          </w:p>
                        </w:txbxContent>
                      </wps:txbx>
                      <wps:bodyPr upright="1"/>
                    </wps:wsp>
                  </a:graphicData>
                </a:graphic>
              </wp:anchor>
            </w:drawing>
          </mc:Choice>
          <mc:Fallback>
            <w:pict>
              <v:shape id="文本框 12" o:spid="_x0000_s1026" o:spt="202" type="#_x0000_t202" style="position:absolute;left:0pt;margin-left:-53.1pt;margin-top:10.65pt;height:60pt;width:140.25pt;z-index:251664384;mso-width-relative:page;mso-height-relative:page;" filled="f" stroked="f" coordsize="21600,21600" o:gfxdata="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F2MqpXcAAAACwEAAA8AAAAAAAAAAQAgAAAAIgAAAGRycy9kb3ducmV2LnhtbFBLAQIU&#10;ABQAAAAIAIdO4kDFDdJhtgEAAFoDAAAOAAAAAAAAAAEAIAAAACsBAABkcnMvZTJvRG9jLnhtbFBL&#10;BQYAAAAABgAGAFkBAABTBQAAAAA=&#10;">
                <v:fill on="f" focussize="0,0"/>
                <v:stroke on="f" weight="1.25pt"/>
                <v:imagedata o:title=""/>
                <o:lock v:ext="edit" aspectratio="f"/>
                <v:textbox>
                  <w:txbxContent>
                    <w:p>
                      <w:pPr>
                        <w:jc w:val="center"/>
                        <w:rPr>
                          <w:rFonts w:hint="eastAsia" w:eastAsia="宋体"/>
                          <w:sz w:val="44"/>
                          <w:szCs w:val="44"/>
                          <w:lang w:val="en-US" w:eastAsia="zh-CN"/>
                        </w:rPr>
                      </w:pPr>
                      <w:r>
                        <w:rPr>
                          <w:rFonts w:hint="eastAsia"/>
                          <w:sz w:val="44"/>
                          <w:szCs w:val="44"/>
                        </w:rPr>
                        <w:t>2023.8.2</w:t>
                      </w:r>
                      <w:r>
                        <w:rPr>
                          <w:rFonts w:hint="eastAsia"/>
                          <w:sz w:val="44"/>
                          <w:szCs w:val="44"/>
                          <w:lang w:val="en-US" w:eastAsia="zh-CN"/>
                        </w:rPr>
                        <w:t>9</w:t>
                      </w:r>
                    </w:p>
                  </w:txbxContent>
                </v:textbox>
              </v:shape>
            </w:pict>
          </mc:Fallback>
        </mc:AlternateContent>
      </w:r>
    </w:p>
    <w:p>
      <w:pPr>
        <w:tabs>
          <w:tab w:val="left" w:pos="5245"/>
        </w:tabs>
      </w:pPr>
    </w:p>
    <w:p>
      <w:pPr>
        <w:tabs>
          <w:tab w:val="left" w:pos="5245"/>
        </w:tabs>
      </w:pPr>
    </w:p>
    <w:p>
      <w:pPr>
        <w:tabs>
          <w:tab w:val="left" w:pos="5245"/>
        </w:tabs>
      </w:pPr>
    </w:p>
    <w:p>
      <w:pPr>
        <w:tabs>
          <w:tab w:val="left" w:pos="5245"/>
        </w:tabs>
      </w:pPr>
    </w:p>
    <w:p>
      <w:pPr>
        <w:tabs>
          <w:tab w:val="left" w:pos="5245"/>
        </w:tabs>
      </w:pPr>
    </w:p>
    <w:p>
      <w:pPr>
        <w:tabs>
          <w:tab w:val="left" w:pos="5245"/>
        </w:tabs>
      </w:pPr>
    </w:p>
    <w:p>
      <w:pPr>
        <w:tabs>
          <w:tab w:val="left" w:pos="5245"/>
        </w:tabs>
      </w:pPr>
    </w:p>
    <w:p>
      <w:pPr>
        <w:tabs>
          <w:tab w:val="left" w:pos="5245"/>
        </w:tabs>
      </w:pPr>
      <w:r>
        <mc:AlternateContent>
          <mc:Choice Requires="wps">
            <w:drawing>
              <wp:anchor distT="0" distB="0" distL="114300" distR="114300" simplePos="0" relativeHeight="251665408" behindDoc="0" locked="0" layoutInCell="1" allowOverlap="1">
                <wp:simplePos x="0" y="0"/>
                <wp:positionH relativeFrom="column">
                  <wp:posOffset>-586740</wp:posOffset>
                </wp:positionH>
                <wp:positionV relativeFrom="paragraph">
                  <wp:posOffset>152400</wp:posOffset>
                </wp:positionV>
                <wp:extent cx="1695450" cy="2562225"/>
                <wp:effectExtent l="0" t="0" r="0" b="0"/>
                <wp:wrapNone/>
                <wp:docPr id="46" name="文本框 13"/>
                <wp:cNvGraphicFramePr/>
                <a:graphic xmlns:a="http://schemas.openxmlformats.org/drawingml/2006/main">
                  <a:graphicData uri="http://schemas.microsoft.com/office/word/2010/wordprocessingShape">
                    <wps:wsp>
                      <wps:cNvSpPr txBox="1"/>
                      <wps:spPr>
                        <a:xfrm>
                          <a:off x="0" y="0"/>
                          <a:ext cx="1695450" cy="2562225"/>
                        </a:xfrm>
                        <a:prstGeom prst="rect">
                          <a:avLst/>
                        </a:prstGeom>
                        <a:noFill/>
                        <a:ln w="15875">
                          <a:noFill/>
                        </a:ln>
                      </wps:spPr>
                      <wps:txbx>
                        <w:txbxContent>
                          <w:p/>
                          <w:p/>
                          <w:p/>
                          <w:p>
                            <w:pPr>
                              <w:rPr>
                                <w:b/>
                                <w:sz w:val="32"/>
                                <w:szCs w:val="32"/>
                              </w:rPr>
                            </w:pPr>
                            <w:r>
                              <w:rPr>
                                <w:rFonts w:hint="eastAsia"/>
                                <w:b/>
                                <w:sz w:val="32"/>
                                <w:szCs w:val="32"/>
                              </w:rPr>
                              <w:t>总  编  朱卫东副总编  杨亚南  责任编</w:t>
                            </w:r>
                            <w:r>
                              <w:rPr>
                                <w:rFonts w:hint="eastAsia"/>
                                <w:b/>
                                <w:spacing w:val="22"/>
                                <w:sz w:val="32"/>
                                <w:szCs w:val="32"/>
                              </w:rPr>
                              <w:t>辑彭</w:t>
                            </w:r>
                            <w:r>
                              <w:rPr>
                                <w:rFonts w:hint="eastAsia"/>
                                <w:b/>
                                <w:sz w:val="32"/>
                                <w:szCs w:val="32"/>
                              </w:rPr>
                              <w:t>宇飞</w:t>
                            </w:r>
                          </w:p>
                        </w:txbxContent>
                      </wps:txbx>
                      <wps:bodyPr upright="1"/>
                    </wps:wsp>
                  </a:graphicData>
                </a:graphic>
              </wp:anchor>
            </w:drawing>
          </mc:Choice>
          <mc:Fallback>
            <w:pict>
              <v:shape id="文本框 13" o:spid="_x0000_s1026" o:spt="202" type="#_x0000_t202" style="position:absolute;left:0pt;margin-left:-46.2pt;margin-top:12pt;height:201.75pt;width:133.5pt;z-index:251665408;mso-width-relative:page;mso-height-relative:page;" filled="f" stroked="f" coordsize="21600,21600" o:gfxdata="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4QXmEdwAAAAKAQAADwAAAAAAAAABACAAAAAiAAAAZHJzL2Rvd25yZXYueG1sUEsB&#10;AhQAFAAAAAgAh07iQLodRq64AQAAWwMAAA4AAAAAAAAAAQAgAAAAKwEAAGRycy9lMm9Eb2MueG1s&#10;UEsFBgAAAAAGAAYAWQEAAFUFAAAAAA==&#10;">
                <v:fill on="f" focussize="0,0"/>
                <v:stroke on="f" weight="1.25pt"/>
                <v:imagedata o:title=""/>
                <o:lock v:ext="edit" aspectratio="f"/>
                <v:textbox>
                  <w:txbxContent>
                    <w:p/>
                    <w:p/>
                    <w:p/>
                    <w:p>
                      <w:pPr>
                        <w:rPr>
                          <w:b/>
                          <w:sz w:val="32"/>
                          <w:szCs w:val="32"/>
                        </w:rPr>
                      </w:pPr>
                      <w:r>
                        <w:rPr>
                          <w:rFonts w:hint="eastAsia"/>
                          <w:b/>
                          <w:sz w:val="32"/>
                          <w:szCs w:val="32"/>
                        </w:rPr>
                        <w:t>总  编  朱卫东副总编  杨亚南  责任编</w:t>
                      </w:r>
                      <w:r>
                        <w:rPr>
                          <w:rFonts w:hint="eastAsia"/>
                          <w:b/>
                          <w:spacing w:val="22"/>
                          <w:sz w:val="32"/>
                          <w:szCs w:val="32"/>
                        </w:rPr>
                        <w:t>辑彭</w:t>
                      </w:r>
                      <w:r>
                        <w:rPr>
                          <w:rFonts w:hint="eastAsia"/>
                          <w:b/>
                          <w:sz w:val="32"/>
                          <w:szCs w:val="32"/>
                        </w:rPr>
                        <w:t>宇飞</w:t>
                      </w:r>
                    </w:p>
                  </w:txbxContent>
                </v:textbox>
              </v:shape>
            </w:pict>
          </mc:Fallback>
        </mc:AlternateContent>
      </w:r>
    </w:p>
    <w:p>
      <w:pPr>
        <w:tabs>
          <w:tab w:val="left" w:pos="5245"/>
        </w:tabs>
      </w:pPr>
    </w:p>
    <w:p>
      <w:pPr>
        <w:tabs>
          <w:tab w:val="left" w:pos="5245"/>
        </w:tabs>
      </w:pPr>
    </w:p>
    <w:p>
      <w:pPr>
        <w:tabs>
          <w:tab w:val="left" w:pos="5245"/>
        </w:tabs>
      </w:pPr>
    </w:p>
    <w:p>
      <w:pPr>
        <w:tabs>
          <w:tab w:val="left" w:pos="5245"/>
        </w:tabs>
      </w:pPr>
    </w:p>
    <w:p>
      <w:pPr>
        <w:tabs>
          <w:tab w:val="left" w:pos="5245"/>
        </w:tabs>
      </w:pPr>
    </w:p>
    <w:p>
      <w:pPr>
        <w:tabs>
          <w:tab w:val="left" w:pos="5245"/>
        </w:tabs>
      </w:pPr>
    </w:p>
    <w:p>
      <w:pPr>
        <w:tabs>
          <w:tab w:val="left" w:pos="5245"/>
        </w:tabs>
      </w:pPr>
    </w:p>
    <w:p>
      <w:pPr>
        <w:tabs>
          <w:tab w:val="left" w:pos="5245"/>
        </w:tabs>
      </w:pPr>
    </w:p>
    <w:p>
      <w:pPr>
        <w:tabs>
          <w:tab w:val="left" w:pos="5245"/>
        </w:tabs>
      </w:pPr>
    </w:p>
    <w:p>
      <w:pPr>
        <w:tabs>
          <w:tab w:val="left" w:pos="5245"/>
        </w:tabs>
      </w:pPr>
    </w:p>
    <w:p>
      <w:pPr>
        <w:tabs>
          <w:tab w:val="left" w:pos="5245"/>
        </w:tabs>
      </w:pPr>
    </w:p>
    <w:p>
      <w:pPr>
        <w:tabs>
          <w:tab w:val="left" w:pos="5245"/>
        </w:tabs>
      </w:pPr>
      <w:r>
        <mc:AlternateContent>
          <mc:Choice Requires="wps">
            <w:drawing>
              <wp:anchor distT="0" distB="0" distL="114300" distR="114300" simplePos="0" relativeHeight="251662336" behindDoc="0" locked="0" layoutInCell="1" allowOverlap="1">
                <wp:simplePos x="0" y="0"/>
                <wp:positionH relativeFrom="column">
                  <wp:posOffset>-857250</wp:posOffset>
                </wp:positionH>
                <wp:positionV relativeFrom="paragraph">
                  <wp:posOffset>488950</wp:posOffset>
                </wp:positionV>
                <wp:extent cx="6781800" cy="635"/>
                <wp:effectExtent l="0" t="19050" r="0" b="37465"/>
                <wp:wrapNone/>
                <wp:docPr id="44" name="Straight Connector 4"/>
                <wp:cNvGraphicFramePr/>
                <a:graphic xmlns:a="http://schemas.openxmlformats.org/drawingml/2006/main">
                  <a:graphicData uri="http://schemas.microsoft.com/office/word/2010/wordprocessingShape">
                    <wps:wsp>
                      <wps:cNvCnPr/>
                      <wps:spPr>
                        <a:xfrm>
                          <a:off x="0" y="0"/>
                          <a:ext cx="6781800" cy="635"/>
                        </a:xfrm>
                        <a:prstGeom prst="straightConnector1">
                          <a:avLst/>
                        </a:prstGeom>
                        <a:ln w="38100" cap="flat" cmpd="sng">
                          <a:solidFill>
                            <a:srgbClr val="548DD4"/>
                          </a:solidFill>
                          <a:prstDash val="solid"/>
                          <a:headEnd type="none" w="med" len="med"/>
                          <a:tailEnd type="none" w="med" len="med"/>
                        </a:ln>
                      </wps:spPr>
                      <wps:bodyPr/>
                    </wps:wsp>
                  </a:graphicData>
                </a:graphic>
              </wp:anchor>
            </w:drawing>
          </mc:Choice>
          <mc:Fallback>
            <w:pict>
              <v:shape id="Straight Connector 4" o:spid="_x0000_s1026" o:spt="32" type="#_x0000_t32" style="position:absolute;left:0pt;margin-left:-67.5pt;margin-top:38.5pt;height:0.05pt;width:534pt;z-index:251662336;mso-width-relative:page;mso-height-relative:page;" filled="f" stroked="t" coordsize="21600,21600" o:gfxdata="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AhstRc2AAA&#10;AAoBAAAPAAAAAAAAAAEAIAAAACIAAABkcnMvZG93bnJldi54bWxQSwECFAAUAAAACACHTuJAOhep&#10;k+UBAADtAwAADgAAAAAAAAABACAAAAAnAQAAZHJzL2Uyb0RvYy54bWxQSwUGAAAAAAYABgBZAQAA&#10;fgUAAAAA&#10;">
                <v:fill on="f" focussize="0,0"/>
                <v:stroke weight="3pt" color="#548DD4" joinstyle="round"/>
                <v:imagedata o:title=""/>
                <o:lock v:ext="edit" aspectratio="f"/>
              </v:shape>
            </w:pict>
          </mc:Fallback>
        </mc:AlternateContent>
      </w:r>
      <w:r>
        <w:rPr>
          <w:rFonts w:hint="eastAsia"/>
        </w:rPr>
        <w:t xml:space="preserve">                        </w:t>
      </w:r>
    </w:p>
    <w:tbl>
      <w:tblPr>
        <w:tblStyle w:val="11"/>
        <w:tblW w:w="9073" w:type="dxa"/>
        <w:tblInd w:w="-17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127"/>
        <w:gridCol w:w="69"/>
        <w:gridCol w:w="2199"/>
        <w:gridCol w:w="142"/>
        <w:gridCol w:w="1417"/>
        <w:gridCol w:w="426"/>
        <w:gridCol w:w="206"/>
        <w:gridCol w:w="248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24" w:hRule="atLeast"/>
        </w:trPr>
        <w:tc>
          <w:tcPr>
            <w:tcW w:w="2196" w:type="dxa"/>
            <w:gridSpan w:val="2"/>
            <w:vAlign w:val="center"/>
          </w:tcPr>
          <w:p>
            <w:pPr>
              <w:tabs>
                <w:tab w:val="left" w:pos="7088"/>
              </w:tabs>
              <w:jc w:val="center"/>
              <w:rPr>
                <w:b/>
                <w:sz w:val="30"/>
                <w:szCs w:val="30"/>
              </w:rPr>
            </w:pPr>
            <w:r>
              <w:rPr>
                <w:rFonts w:hint="eastAsia"/>
                <w:b/>
                <w:sz w:val="30"/>
                <w:szCs w:val="30"/>
              </w:rPr>
              <w:t>信息01</w:t>
            </w:r>
          </w:p>
        </w:tc>
        <w:tc>
          <w:tcPr>
            <w:tcW w:w="6877" w:type="dxa"/>
            <w:gridSpan w:val="6"/>
            <w:vAlign w:val="center"/>
          </w:tcPr>
          <w:p>
            <w:pPr>
              <w:widowControl/>
              <w:shd w:val="clear" w:color="auto" w:fill="FFFFFF"/>
              <w:spacing w:after="210"/>
              <w:jc w:val="left"/>
              <w:outlineLvl w:val="1"/>
              <w:rPr>
                <w:b/>
                <w:sz w:val="32"/>
                <w:szCs w:val="32"/>
              </w:rPr>
            </w:pPr>
            <w:r>
              <w:rPr>
                <w:rFonts w:hint="eastAsia" w:asciiTheme="minorEastAsia" w:hAnsiTheme="minorEastAsia" w:eastAsiaTheme="minorEastAsia"/>
                <w:b/>
                <w:sz w:val="36"/>
                <w:szCs w:val="36"/>
              </w:rPr>
              <w:t>黑龙江调整医保政策！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17" w:hRule="atLeast"/>
        </w:trPr>
        <w:tc>
          <w:tcPr>
            <w:tcW w:w="2196" w:type="dxa"/>
            <w:gridSpan w:val="2"/>
            <w:vAlign w:val="center"/>
          </w:tcPr>
          <w:p>
            <w:pPr>
              <w:tabs>
                <w:tab w:val="left" w:pos="7088"/>
              </w:tabs>
              <w:jc w:val="center"/>
            </w:pPr>
            <w:r>
              <w:rPr>
                <w:rFonts w:hint="eastAsia"/>
                <w:b/>
                <w:sz w:val="30"/>
                <w:szCs w:val="30"/>
              </w:rPr>
              <w:t>发布</w:t>
            </w:r>
            <w:r>
              <w:rPr>
                <w:b/>
                <w:sz w:val="30"/>
                <w:szCs w:val="30"/>
              </w:rPr>
              <w:t>时间</w:t>
            </w:r>
          </w:p>
        </w:tc>
        <w:tc>
          <w:tcPr>
            <w:tcW w:w="2341" w:type="dxa"/>
            <w:gridSpan w:val="2"/>
            <w:vAlign w:val="center"/>
          </w:tcPr>
          <w:p>
            <w:pPr>
              <w:tabs>
                <w:tab w:val="left" w:pos="7088"/>
              </w:tabs>
              <w:jc w:val="center"/>
              <w:rPr>
                <w:rFonts w:asciiTheme="minorEastAsia" w:hAnsiTheme="minorEastAsia" w:eastAsiaTheme="minorEastAsia"/>
                <w:sz w:val="28"/>
                <w:szCs w:val="28"/>
              </w:rPr>
            </w:pPr>
            <w:r>
              <w:rPr>
                <w:rFonts w:asciiTheme="minorEastAsia" w:hAnsiTheme="minorEastAsia" w:eastAsiaTheme="minorEastAsia"/>
                <w:sz w:val="28"/>
                <w:szCs w:val="28"/>
              </w:rPr>
              <w:t>202</w:t>
            </w:r>
            <w:r>
              <w:rPr>
                <w:rFonts w:hint="eastAsia" w:asciiTheme="minorEastAsia" w:hAnsiTheme="minorEastAsia" w:eastAsiaTheme="minorEastAsia"/>
                <w:sz w:val="28"/>
                <w:szCs w:val="28"/>
              </w:rPr>
              <w:t>3</w:t>
            </w:r>
            <w:r>
              <w:rPr>
                <w:rFonts w:asciiTheme="minorEastAsia" w:hAnsiTheme="minorEastAsia" w:eastAsiaTheme="minorEastAsia"/>
                <w:sz w:val="28"/>
                <w:szCs w:val="28"/>
              </w:rPr>
              <w:t>-</w:t>
            </w:r>
            <w:r>
              <w:rPr>
                <w:rFonts w:hint="eastAsia" w:asciiTheme="minorEastAsia" w:hAnsiTheme="minorEastAsia" w:eastAsiaTheme="minorEastAsia"/>
                <w:sz w:val="28"/>
                <w:szCs w:val="28"/>
              </w:rPr>
              <w:t>8</w:t>
            </w:r>
            <w:r>
              <w:rPr>
                <w:rFonts w:asciiTheme="minorEastAsia" w:hAnsiTheme="minorEastAsia" w:eastAsiaTheme="minorEastAsia"/>
                <w:sz w:val="28"/>
                <w:szCs w:val="28"/>
              </w:rPr>
              <w:t>-</w:t>
            </w:r>
            <w:r>
              <w:rPr>
                <w:rFonts w:hint="eastAsia" w:asciiTheme="minorEastAsia" w:hAnsiTheme="minorEastAsia" w:eastAsiaTheme="minorEastAsia"/>
                <w:sz w:val="28"/>
                <w:szCs w:val="28"/>
              </w:rPr>
              <w:t>19</w:t>
            </w:r>
          </w:p>
        </w:tc>
        <w:tc>
          <w:tcPr>
            <w:tcW w:w="2049" w:type="dxa"/>
            <w:gridSpan w:val="3"/>
            <w:vAlign w:val="center"/>
          </w:tcPr>
          <w:p>
            <w:pPr>
              <w:tabs>
                <w:tab w:val="left" w:pos="7088"/>
              </w:tabs>
              <w:jc w:val="center"/>
              <w:rPr>
                <w:b/>
                <w:sz w:val="28"/>
                <w:szCs w:val="28"/>
              </w:rPr>
            </w:pPr>
            <w:r>
              <w:rPr>
                <w:rFonts w:hint="eastAsia"/>
                <w:b/>
                <w:sz w:val="30"/>
                <w:szCs w:val="30"/>
              </w:rPr>
              <w:t>信息来源</w:t>
            </w:r>
          </w:p>
        </w:tc>
        <w:tc>
          <w:tcPr>
            <w:tcW w:w="2487" w:type="dxa"/>
            <w:vAlign w:val="center"/>
          </w:tcPr>
          <w:p>
            <w:pPr>
              <w:tabs>
                <w:tab w:val="left" w:pos="7088"/>
              </w:tabs>
              <w:jc w:val="center"/>
              <w:rPr>
                <w:sz w:val="28"/>
                <w:szCs w:val="28"/>
              </w:rPr>
            </w:pPr>
            <w:r>
              <w:rPr>
                <w:rFonts w:hint="eastAsia"/>
                <w:sz w:val="28"/>
                <w:szCs w:val="28"/>
              </w:rPr>
              <w:t>生活报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20" w:hRule="atLeast"/>
        </w:trPr>
        <w:tc>
          <w:tcPr>
            <w:tcW w:w="2196" w:type="dxa"/>
            <w:gridSpan w:val="2"/>
            <w:vAlign w:val="center"/>
          </w:tcPr>
          <w:p>
            <w:pPr>
              <w:tabs>
                <w:tab w:val="left" w:pos="7088"/>
              </w:tabs>
              <w:jc w:val="center"/>
              <w:rPr>
                <w:b/>
                <w:sz w:val="30"/>
                <w:szCs w:val="30"/>
              </w:rPr>
            </w:pPr>
            <w:r>
              <w:rPr>
                <w:rFonts w:hint="eastAsia"/>
                <w:b/>
                <w:sz w:val="30"/>
                <w:szCs w:val="30"/>
              </w:rPr>
              <w:t>信息</w:t>
            </w:r>
            <w:r>
              <w:rPr>
                <w:b/>
                <w:sz w:val="30"/>
                <w:szCs w:val="30"/>
              </w:rPr>
              <w:t>提供</w:t>
            </w:r>
          </w:p>
        </w:tc>
        <w:tc>
          <w:tcPr>
            <w:tcW w:w="2341" w:type="dxa"/>
            <w:gridSpan w:val="2"/>
            <w:vAlign w:val="center"/>
          </w:tcPr>
          <w:p>
            <w:pPr>
              <w:tabs>
                <w:tab w:val="left" w:pos="7088"/>
              </w:tabs>
              <w:jc w:val="center"/>
              <w:rPr>
                <w:sz w:val="28"/>
                <w:szCs w:val="28"/>
              </w:rPr>
            </w:pPr>
            <w:r>
              <w:rPr>
                <w:rFonts w:hint="eastAsia"/>
                <w:sz w:val="28"/>
                <w:szCs w:val="28"/>
              </w:rPr>
              <w:t>运营管理部</w:t>
            </w:r>
          </w:p>
        </w:tc>
        <w:tc>
          <w:tcPr>
            <w:tcW w:w="2049" w:type="dxa"/>
            <w:gridSpan w:val="3"/>
            <w:vAlign w:val="center"/>
          </w:tcPr>
          <w:p>
            <w:pPr>
              <w:tabs>
                <w:tab w:val="left" w:pos="7088"/>
              </w:tabs>
              <w:jc w:val="center"/>
              <w:rPr>
                <w:b/>
                <w:sz w:val="28"/>
                <w:szCs w:val="28"/>
              </w:rPr>
            </w:pPr>
            <w:r>
              <w:rPr>
                <w:rFonts w:hint="eastAsia"/>
                <w:b/>
                <w:sz w:val="30"/>
                <w:szCs w:val="30"/>
              </w:rPr>
              <w:t>信息确认</w:t>
            </w:r>
          </w:p>
        </w:tc>
        <w:tc>
          <w:tcPr>
            <w:tcW w:w="2487" w:type="dxa"/>
            <w:vAlign w:val="center"/>
          </w:tcPr>
          <w:p>
            <w:pPr>
              <w:tabs>
                <w:tab w:val="left" w:pos="7088"/>
              </w:tabs>
              <w:jc w:val="center"/>
              <w:rPr>
                <w:sz w:val="28"/>
                <w:szCs w:val="28"/>
              </w:rPr>
            </w:pPr>
            <w:r>
              <w:rPr>
                <w:rFonts w:hint="eastAsia"/>
                <w:sz w:val="28"/>
                <w:szCs w:val="28"/>
              </w:rPr>
              <w:t>彭宇飞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30" w:hRule="atLeast"/>
        </w:trPr>
        <w:tc>
          <w:tcPr>
            <w:tcW w:w="2196" w:type="dxa"/>
            <w:gridSpan w:val="2"/>
            <w:tcBorders>
              <w:bottom w:val="single" w:color="auto" w:sz="4" w:space="0"/>
            </w:tcBorders>
            <w:vAlign w:val="center"/>
          </w:tcPr>
          <w:p>
            <w:pPr>
              <w:tabs>
                <w:tab w:val="left" w:pos="7088"/>
              </w:tabs>
              <w:ind w:firstLine="301" w:firstLineChars="100"/>
              <w:rPr>
                <w:b/>
                <w:sz w:val="30"/>
                <w:szCs w:val="30"/>
              </w:rPr>
            </w:pPr>
            <w:r>
              <w:rPr>
                <w:rFonts w:hint="eastAsia"/>
                <w:b/>
                <w:sz w:val="30"/>
                <w:szCs w:val="30"/>
              </w:rPr>
              <w:t>确认</w:t>
            </w:r>
            <w:r>
              <w:rPr>
                <w:b/>
                <w:sz w:val="30"/>
                <w:szCs w:val="30"/>
              </w:rPr>
              <w:t>结果</w:t>
            </w:r>
          </w:p>
        </w:tc>
        <w:tc>
          <w:tcPr>
            <w:tcW w:w="6877" w:type="dxa"/>
            <w:gridSpan w:val="6"/>
            <w:tcBorders>
              <w:bottom w:val="single" w:color="auto" w:sz="4" w:space="0"/>
            </w:tcBorders>
            <w:vAlign w:val="center"/>
          </w:tcPr>
          <w:p>
            <w:pPr>
              <w:tabs>
                <w:tab w:val="left" w:pos="7088"/>
              </w:tabs>
              <w:jc w:val="left"/>
              <w:rPr>
                <w:sz w:val="28"/>
                <w:szCs w:val="28"/>
              </w:rPr>
            </w:pPr>
            <w:r>
              <w:rPr>
                <w:rFonts w:hint="eastAsia" w:asciiTheme="minorEastAsia" w:hAnsiTheme="minorEastAsia" w:eastAsiaTheme="minorEastAsia"/>
                <w:sz w:val="28"/>
                <w:szCs w:val="28"/>
              </w:rPr>
              <w:t>来源：</w:t>
            </w:r>
            <w:r>
              <w:rPr>
                <w:rFonts w:hint="eastAsia"/>
                <w:sz w:val="28"/>
                <w:szCs w:val="28"/>
              </w:rPr>
              <w:t>生活报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27" w:hRule="atLeast"/>
        </w:trPr>
        <w:tc>
          <w:tcPr>
            <w:tcW w:w="2196" w:type="dxa"/>
            <w:gridSpan w:val="2"/>
            <w:tcBorders>
              <w:top w:val="single" w:color="auto" w:sz="4" w:space="0"/>
            </w:tcBorders>
            <w:vAlign w:val="center"/>
          </w:tcPr>
          <w:p>
            <w:pPr>
              <w:tabs>
                <w:tab w:val="left" w:pos="7088"/>
              </w:tabs>
              <w:jc w:val="center"/>
              <w:rPr>
                <w:b/>
                <w:sz w:val="30"/>
                <w:szCs w:val="30"/>
              </w:rPr>
            </w:pPr>
            <w:r>
              <w:rPr>
                <w:rFonts w:hint="eastAsia"/>
                <w:b/>
                <w:sz w:val="30"/>
                <w:szCs w:val="30"/>
              </w:rPr>
              <w:t>关键词</w:t>
            </w:r>
          </w:p>
        </w:tc>
        <w:tc>
          <w:tcPr>
            <w:tcW w:w="6877" w:type="dxa"/>
            <w:gridSpan w:val="6"/>
            <w:tcBorders>
              <w:top w:val="single" w:color="auto" w:sz="4" w:space="0"/>
            </w:tcBorders>
            <w:vAlign w:val="center"/>
          </w:tcPr>
          <w:p>
            <w:pPr>
              <w:tabs>
                <w:tab w:val="left" w:pos="7088"/>
              </w:tabs>
              <w:jc w:val="left"/>
              <w:rPr>
                <w:rFonts w:cs="宋体" w:asciiTheme="minorEastAsia" w:hAnsiTheme="minorEastAsia" w:eastAsiaTheme="minorEastAsia"/>
                <w:kern w:val="0"/>
                <w:sz w:val="28"/>
                <w:szCs w:val="28"/>
              </w:rPr>
            </w:pPr>
            <w:r>
              <w:rPr>
                <w:rFonts w:hint="eastAsia" w:cs="宋体" w:asciiTheme="minorEastAsia" w:hAnsiTheme="minorEastAsia" w:eastAsiaTheme="minorEastAsia"/>
                <w:kern w:val="0"/>
                <w:sz w:val="28"/>
                <w:szCs w:val="28"/>
              </w:rPr>
              <w:t>医保  门诊统筹  集采  双通道  处方流转</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76" w:hRule="atLeast"/>
        </w:trPr>
        <w:tc>
          <w:tcPr>
            <w:tcW w:w="2196" w:type="dxa"/>
            <w:gridSpan w:val="2"/>
            <w:vAlign w:val="center"/>
          </w:tcPr>
          <w:p>
            <w:pPr>
              <w:tabs>
                <w:tab w:val="left" w:pos="7088"/>
              </w:tabs>
              <w:jc w:val="center"/>
              <w:rPr>
                <w:b/>
                <w:sz w:val="30"/>
                <w:szCs w:val="30"/>
              </w:rPr>
            </w:pPr>
            <w:r>
              <w:rPr>
                <w:b/>
                <w:sz w:val="30"/>
                <w:szCs w:val="30"/>
              </w:rPr>
              <w:t>内容概要</w:t>
            </w:r>
          </w:p>
        </w:tc>
        <w:tc>
          <w:tcPr>
            <w:tcW w:w="6877" w:type="dxa"/>
            <w:gridSpan w:val="6"/>
          </w:tcPr>
          <w:p>
            <w:pPr>
              <w:widowControl/>
              <w:shd w:val="clear" w:color="auto" w:fill="FFFFFF"/>
              <w:spacing w:after="190"/>
              <w:ind w:firstLine="560" w:firstLineChars="200"/>
              <w:outlineLvl w:val="1"/>
              <w:rPr>
                <w:rFonts w:asciiTheme="minorEastAsia" w:hAnsiTheme="minorEastAsia" w:eastAsiaTheme="minorEastAsia"/>
                <w:sz w:val="28"/>
                <w:szCs w:val="28"/>
                <w:shd w:val="clear" w:color="auto" w:fill="FFFFFF"/>
              </w:rPr>
            </w:pPr>
          </w:p>
          <w:p>
            <w:pPr>
              <w:widowControl/>
              <w:shd w:val="clear" w:color="auto" w:fill="FFFFFF"/>
              <w:spacing w:after="190"/>
              <w:ind w:firstLine="560" w:firstLineChars="200"/>
              <w:outlineLvl w:val="1"/>
              <w:rPr>
                <w:rFonts w:asciiTheme="minorEastAsia" w:hAnsiTheme="minorEastAsia" w:eastAsiaTheme="minorEastAsia"/>
                <w:sz w:val="28"/>
                <w:szCs w:val="28"/>
                <w:shd w:val="clear" w:color="auto" w:fill="FFFFFF"/>
              </w:rPr>
            </w:pPr>
          </w:p>
          <w:p>
            <w:pPr>
              <w:widowControl/>
              <w:shd w:val="clear" w:color="auto" w:fill="FFFFFF"/>
              <w:spacing w:after="190"/>
              <w:ind w:firstLine="560" w:firstLineChars="200"/>
              <w:outlineLvl w:val="1"/>
              <w:rPr>
                <w:rFonts w:asciiTheme="minorEastAsia" w:hAnsiTheme="minorEastAsia" w:eastAsiaTheme="minorEastAsia"/>
                <w:sz w:val="28"/>
                <w:szCs w:val="28"/>
                <w:shd w:val="clear" w:color="auto" w:fill="FFFFFF"/>
              </w:rPr>
            </w:pPr>
            <w:r>
              <w:rPr>
                <w:rFonts w:hint="eastAsia" w:asciiTheme="minorEastAsia" w:hAnsiTheme="minorEastAsia" w:eastAsiaTheme="minorEastAsia"/>
                <w:sz w:val="28"/>
                <w:szCs w:val="28"/>
                <w:shd w:val="clear" w:color="auto" w:fill="FFFFFF"/>
              </w:rPr>
              <w:t>黑龙江省医保局近日就做好2023年城乡居民基本医疗保障（以下简称“居民医保”）做出有关工作通知，其中包括：</w:t>
            </w:r>
          </w:p>
          <w:p>
            <w:pPr>
              <w:widowControl/>
              <w:shd w:val="clear" w:color="auto" w:fill="FFFFFF"/>
              <w:spacing w:after="190"/>
              <w:ind w:firstLine="680" w:firstLineChars="200"/>
              <w:outlineLvl w:val="1"/>
              <w:rPr>
                <w:rFonts w:asciiTheme="minorEastAsia" w:hAnsiTheme="minorEastAsia" w:eastAsiaTheme="minorEastAsia"/>
                <w:bCs/>
                <w:spacing w:val="30"/>
                <w:sz w:val="28"/>
                <w:szCs w:val="28"/>
                <w:shd w:val="clear" w:color="auto" w:fill="FFFFFF"/>
              </w:rPr>
            </w:pPr>
            <w:r>
              <w:rPr>
                <w:rFonts w:hint="eastAsia" w:asciiTheme="minorEastAsia" w:hAnsiTheme="minorEastAsia" w:eastAsiaTheme="minorEastAsia"/>
                <w:bCs/>
                <w:spacing w:val="30"/>
                <w:sz w:val="28"/>
                <w:szCs w:val="28"/>
                <w:shd w:val="clear" w:color="auto" w:fill="FFFFFF"/>
              </w:rPr>
              <w:t>明确居民医保筹资标准、完善门诊统筹待遇、做好医药集中采购和价格管理工作和加强医药服务管理（双通道、处方外流）等内容，与企业经营密切相关。</w:t>
            </w:r>
          </w:p>
          <w:p>
            <w:pPr>
              <w:widowControl/>
              <w:shd w:val="clear" w:color="auto" w:fill="FFFFFF"/>
              <w:spacing w:after="190"/>
              <w:outlineLvl w:val="1"/>
              <w:rPr>
                <w:rFonts w:asciiTheme="minorEastAsia" w:hAnsiTheme="minorEastAsia" w:eastAsiaTheme="minorEastAsia"/>
                <w:bCs/>
                <w:spacing w:val="30"/>
                <w:sz w:val="28"/>
                <w:szCs w:val="28"/>
                <w:shd w:val="clear" w:color="auto" w:fill="FFFFFF"/>
              </w:rPr>
            </w:pPr>
          </w:p>
          <w:p>
            <w:pPr>
              <w:widowControl/>
              <w:shd w:val="clear" w:color="auto" w:fill="FFFFFF"/>
              <w:spacing w:after="190"/>
              <w:outlineLvl w:val="1"/>
              <w:rPr>
                <w:rFonts w:asciiTheme="minorEastAsia" w:hAnsiTheme="minorEastAsia" w:eastAsiaTheme="minorEastAsia"/>
                <w:bCs/>
                <w:spacing w:val="30"/>
                <w:sz w:val="28"/>
                <w:szCs w:val="28"/>
                <w:shd w:val="clear" w:color="auto" w:fill="FFFFFF"/>
              </w:rPr>
            </w:pPr>
          </w:p>
          <w:p>
            <w:pPr>
              <w:widowControl/>
              <w:shd w:val="clear" w:color="auto" w:fill="FFFFFF"/>
              <w:spacing w:after="190"/>
              <w:outlineLvl w:val="1"/>
              <w:rPr>
                <w:rFonts w:asciiTheme="minorEastAsia" w:hAnsiTheme="minorEastAsia" w:eastAsiaTheme="minorEastAsia"/>
                <w:bCs/>
                <w:spacing w:val="30"/>
                <w:sz w:val="28"/>
                <w:szCs w:val="28"/>
                <w:shd w:val="clear" w:color="auto" w:fill="FFFFFF"/>
              </w:rPr>
            </w:pPr>
          </w:p>
          <w:p>
            <w:pPr>
              <w:widowControl/>
              <w:shd w:val="clear" w:color="auto" w:fill="FFFFFF"/>
              <w:spacing w:after="190"/>
              <w:outlineLvl w:val="1"/>
              <w:rPr>
                <w:rFonts w:asciiTheme="minorEastAsia" w:hAnsiTheme="minorEastAsia"/>
                <w:sz w:val="28"/>
                <w:szCs w:val="28"/>
                <w:shd w:val="clear" w:color="auto" w:fill="FFFFFF"/>
              </w:rPr>
            </w:pPr>
            <w:r>
              <w:rPr>
                <w:rFonts w:hint="eastAsia"/>
              </w:rPr>
              <w:t>附件1: 黑龙江调整医保政策！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38" w:hRule="atLeast"/>
        </w:trPr>
        <w:tc>
          <w:tcPr>
            <w:tcW w:w="2127" w:type="dxa"/>
            <w:vAlign w:val="center"/>
          </w:tcPr>
          <w:p>
            <w:pPr>
              <w:tabs>
                <w:tab w:val="left" w:pos="5245"/>
              </w:tabs>
              <w:jc w:val="center"/>
              <w:rPr>
                <w:b/>
                <w:sz w:val="30"/>
                <w:szCs w:val="30"/>
              </w:rPr>
            </w:pPr>
            <w:r>
              <w:rPr>
                <w:rFonts w:hint="eastAsia"/>
                <w:b/>
                <w:sz w:val="30"/>
                <w:szCs w:val="30"/>
              </w:rPr>
              <w:t>信息02</w:t>
            </w:r>
          </w:p>
        </w:tc>
        <w:tc>
          <w:tcPr>
            <w:tcW w:w="6946" w:type="dxa"/>
            <w:gridSpan w:val="7"/>
            <w:vAlign w:val="center"/>
          </w:tcPr>
          <w:p>
            <w:pPr>
              <w:pStyle w:val="21"/>
              <w:ind w:firstLine="0" w:firstLineChars="0"/>
              <w:rPr>
                <w:rFonts w:asciiTheme="minorEastAsia" w:hAnsiTheme="minorEastAsia" w:eastAsiaTheme="minorEastAsia"/>
                <w:b/>
                <w:sz w:val="32"/>
                <w:szCs w:val="32"/>
              </w:rPr>
            </w:pPr>
            <w:r>
              <w:rPr>
                <w:rFonts w:hint="eastAsia" w:asciiTheme="minorEastAsia" w:hAnsiTheme="minorEastAsia" w:eastAsiaTheme="minorEastAsia"/>
                <w:b/>
                <w:sz w:val="36"/>
                <w:szCs w:val="36"/>
              </w:rPr>
              <w:t>四大医药流通巨头着力能力提升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38" w:hRule="atLeast"/>
        </w:trPr>
        <w:tc>
          <w:tcPr>
            <w:tcW w:w="2127" w:type="dxa"/>
            <w:vAlign w:val="center"/>
          </w:tcPr>
          <w:p>
            <w:pPr>
              <w:tabs>
                <w:tab w:val="left" w:pos="5245"/>
              </w:tabs>
              <w:jc w:val="center"/>
            </w:pPr>
            <w:r>
              <w:rPr>
                <w:rFonts w:hint="eastAsia"/>
                <w:b/>
                <w:sz w:val="30"/>
                <w:szCs w:val="30"/>
              </w:rPr>
              <w:t>发布</w:t>
            </w:r>
            <w:r>
              <w:rPr>
                <w:b/>
                <w:sz w:val="30"/>
                <w:szCs w:val="30"/>
              </w:rPr>
              <w:t>时间</w:t>
            </w:r>
          </w:p>
        </w:tc>
        <w:tc>
          <w:tcPr>
            <w:tcW w:w="2268" w:type="dxa"/>
            <w:gridSpan w:val="2"/>
            <w:vAlign w:val="center"/>
          </w:tcPr>
          <w:p>
            <w:pPr>
              <w:widowControl/>
              <w:spacing w:line="300" w:lineRule="atLeast"/>
              <w:jc w:val="center"/>
              <w:rPr>
                <w:rFonts w:asciiTheme="minorEastAsia" w:hAnsiTheme="minorEastAsia" w:eastAsiaTheme="minorEastAsia"/>
                <w:sz w:val="28"/>
                <w:szCs w:val="28"/>
              </w:rPr>
            </w:pPr>
            <w:r>
              <w:rPr>
                <w:rFonts w:cs="Helvetica" w:asciiTheme="minorEastAsia" w:hAnsiTheme="minorEastAsia" w:eastAsiaTheme="minorEastAsia"/>
                <w:kern w:val="0"/>
                <w:sz w:val="28"/>
                <w:szCs w:val="28"/>
              </w:rPr>
              <w:t>202</w:t>
            </w:r>
            <w:r>
              <w:rPr>
                <w:rFonts w:hint="eastAsia" w:cs="Helvetica" w:asciiTheme="minorEastAsia" w:hAnsiTheme="minorEastAsia" w:eastAsiaTheme="minorEastAsia"/>
                <w:kern w:val="0"/>
                <w:sz w:val="28"/>
                <w:szCs w:val="28"/>
              </w:rPr>
              <w:t>3</w:t>
            </w:r>
            <w:r>
              <w:rPr>
                <w:rFonts w:cs="Helvetica" w:asciiTheme="minorEastAsia" w:hAnsiTheme="minorEastAsia" w:eastAsiaTheme="minorEastAsia"/>
                <w:kern w:val="0"/>
                <w:sz w:val="28"/>
                <w:szCs w:val="28"/>
              </w:rPr>
              <w:t>-</w:t>
            </w:r>
            <w:r>
              <w:rPr>
                <w:rFonts w:hint="eastAsia" w:cs="Helvetica" w:asciiTheme="minorEastAsia" w:hAnsiTheme="minorEastAsia" w:eastAsiaTheme="minorEastAsia"/>
                <w:kern w:val="0"/>
                <w:sz w:val="28"/>
                <w:szCs w:val="28"/>
              </w:rPr>
              <w:t>8</w:t>
            </w:r>
            <w:r>
              <w:rPr>
                <w:rFonts w:cs="Helvetica" w:asciiTheme="minorEastAsia" w:hAnsiTheme="minorEastAsia" w:eastAsiaTheme="minorEastAsia"/>
                <w:kern w:val="0"/>
                <w:sz w:val="28"/>
                <w:szCs w:val="28"/>
              </w:rPr>
              <w:t>-5</w:t>
            </w:r>
          </w:p>
        </w:tc>
        <w:tc>
          <w:tcPr>
            <w:tcW w:w="1559" w:type="dxa"/>
            <w:gridSpan w:val="2"/>
            <w:vAlign w:val="center"/>
          </w:tcPr>
          <w:p>
            <w:pPr>
              <w:jc w:val="center"/>
              <w:rPr>
                <w:b/>
                <w:sz w:val="30"/>
                <w:szCs w:val="30"/>
              </w:rPr>
            </w:pPr>
            <w:r>
              <w:rPr>
                <w:rFonts w:hint="eastAsia"/>
                <w:b/>
                <w:sz w:val="30"/>
                <w:szCs w:val="30"/>
              </w:rPr>
              <w:t>信息来源</w:t>
            </w:r>
          </w:p>
        </w:tc>
        <w:tc>
          <w:tcPr>
            <w:tcW w:w="3119" w:type="dxa"/>
            <w:gridSpan w:val="3"/>
            <w:vAlign w:val="center"/>
          </w:tcPr>
          <w:p>
            <w:pPr>
              <w:jc w:val="center"/>
              <w:rPr>
                <w:rFonts w:ascii="Helvetica" w:hAnsi="Helvetica" w:cs="Helvetica"/>
                <w:kern w:val="0"/>
                <w:sz w:val="28"/>
                <w:szCs w:val="28"/>
              </w:rPr>
            </w:pPr>
            <w:r>
              <w:rPr>
                <w:rFonts w:hint="eastAsia" w:ascii="Helvetica" w:hAnsi="Helvetica" w:cs="Helvetica"/>
                <w:kern w:val="0"/>
                <w:sz w:val="28"/>
                <w:szCs w:val="28"/>
              </w:rPr>
              <w:t>E药经理人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50" w:hRule="atLeast"/>
        </w:trPr>
        <w:tc>
          <w:tcPr>
            <w:tcW w:w="2127" w:type="dxa"/>
            <w:vAlign w:val="center"/>
          </w:tcPr>
          <w:p>
            <w:pPr>
              <w:tabs>
                <w:tab w:val="left" w:pos="5245"/>
              </w:tabs>
              <w:jc w:val="center"/>
              <w:rPr>
                <w:b/>
                <w:sz w:val="30"/>
                <w:szCs w:val="30"/>
              </w:rPr>
            </w:pPr>
            <w:r>
              <w:rPr>
                <w:rFonts w:hint="eastAsia"/>
                <w:b/>
                <w:sz w:val="30"/>
                <w:szCs w:val="30"/>
              </w:rPr>
              <w:t>信息</w:t>
            </w:r>
            <w:r>
              <w:rPr>
                <w:b/>
                <w:sz w:val="30"/>
                <w:szCs w:val="30"/>
              </w:rPr>
              <w:t>提供</w:t>
            </w:r>
          </w:p>
        </w:tc>
        <w:tc>
          <w:tcPr>
            <w:tcW w:w="2268" w:type="dxa"/>
            <w:gridSpan w:val="2"/>
            <w:vAlign w:val="center"/>
          </w:tcPr>
          <w:p>
            <w:pPr>
              <w:jc w:val="center"/>
              <w:rPr>
                <w:sz w:val="28"/>
                <w:szCs w:val="28"/>
              </w:rPr>
            </w:pPr>
            <w:r>
              <w:rPr>
                <w:rFonts w:hint="eastAsia"/>
                <w:sz w:val="28"/>
                <w:szCs w:val="28"/>
              </w:rPr>
              <w:t>运营管理部</w:t>
            </w:r>
          </w:p>
        </w:tc>
        <w:tc>
          <w:tcPr>
            <w:tcW w:w="1559" w:type="dxa"/>
            <w:gridSpan w:val="2"/>
            <w:vAlign w:val="center"/>
          </w:tcPr>
          <w:p>
            <w:pPr>
              <w:jc w:val="center"/>
              <w:rPr>
                <w:b/>
                <w:sz w:val="28"/>
                <w:szCs w:val="28"/>
              </w:rPr>
            </w:pPr>
            <w:r>
              <w:rPr>
                <w:rFonts w:hint="eastAsia"/>
                <w:b/>
                <w:sz w:val="30"/>
                <w:szCs w:val="30"/>
              </w:rPr>
              <w:t>信息确认</w:t>
            </w:r>
          </w:p>
        </w:tc>
        <w:tc>
          <w:tcPr>
            <w:tcW w:w="3119" w:type="dxa"/>
            <w:gridSpan w:val="3"/>
            <w:vAlign w:val="center"/>
          </w:tcPr>
          <w:p>
            <w:pPr>
              <w:jc w:val="center"/>
              <w:rPr>
                <w:sz w:val="28"/>
                <w:szCs w:val="28"/>
              </w:rPr>
            </w:pPr>
            <w:r>
              <w:rPr>
                <w:rFonts w:hint="eastAsia"/>
                <w:sz w:val="28"/>
                <w:szCs w:val="28"/>
              </w:rPr>
              <w:t>彭宇飞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89" w:hRule="atLeast"/>
        </w:trPr>
        <w:tc>
          <w:tcPr>
            <w:tcW w:w="2127" w:type="dxa"/>
            <w:vAlign w:val="center"/>
          </w:tcPr>
          <w:p>
            <w:pPr>
              <w:tabs>
                <w:tab w:val="left" w:pos="5245"/>
              </w:tabs>
              <w:jc w:val="center"/>
              <w:rPr>
                <w:b/>
                <w:sz w:val="30"/>
                <w:szCs w:val="30"/>
              </w:rPr>
            </w:pPr>
            <w:r>
              <w:rPr>
                <w:rFonts w:hint="eastAsia"/>
                <w:b/>
                <w:sz w:val="30"/>
                <w:szCs w:val="30"/>
              </w:rPr>
              <w:t>确认</w:t>
            </w:r>
            <w:r>
              <w:rPr>
                <w:b/>
                <w:sz w:val="30"/>
                <w:szCs w:val="30"/>
              </w:rPr>
              <w:t>结果</w:t>
            </w:r>
          </w:p>
        </w:tc>
        <w:tc>
          <w:tcPr>
            <w:tcW w:w="6946" w:type="dxa"/>
            <w:gridSpan w:val="7"/>
            <w:vAlign w:val="center"/>
          </w:tcPr>
          <w:p>
            <w:pPr>
              <w:rPr>
                <w:rFonts w:cs="Helvetica" w:asciiTheme="minorEastAsia" w:hAnsiTheme="minorEastAsia" w:eastAsiaTheme="minorEastAsia"/>
                <w:kern w:val="0"/>
                <w:sz w:val="32"/>
                <w:szCs w:val="32"/>
              </w:rPr>
            </w:pPr>
            <w:r>
              <w:rPr>
                <w:rFonts w:asciiTheme="minorEastAsia" w:hAnsiTheme="minorEastAsia" w:eastAsiaTheme="minorEastAsia"/>
                <w:sz w:val="28"/>
                <w:szCs w:val="28"/>
              </w:rPr>
              <w:t>来源：</w:t>
            </w:r>
            <w:r>
              <w:rPr>
                <w:rFonts w:hint="eastAsia" w:ascii="Helvetica" w:hAnsi="Helvetica" w:cs="Helvetica"/>
                <w:kern w:val="0"/>
                <w:sz w:val="28"/>
                <w:szCs w:val="28"/>
              </w:rPr>
              <w:t>E药经理人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8" w:hRule="atLeast"/>
        </w:trPr>
        <w:tc>
          <w:tcPr>
            <w:tcW w:w="2127" w:type="dxa"/>
            <w:vAlign w:val="center"/>
          </w:tcPr>
          <w:p>
            <w:pPr>
              <w:tabs>
                <w:tab w:val="left" w:pos="5245"/>
              </w:tabs>
              <w:jc w:val="center"/>
              <w:rPr>
                <w:b/>
                <w:sz w:val="30"/>
                <w:szCs w:val="30"/>
              </w:rPr>
            </w:pPr>
            <w:r>
              <w:rPr>
                <w:rFonts w:hint="eastAsia"/>
                <w:b/>
                <w:sz w:val="30"/>
                <w:szCs w:val="30"/>
              </w:rPr>
              <w:t>关键词</w:t>
            </w:r>
          </w:p>
        </w:tc>
        <w:tc>
          <w:tcPr>
            <w:tcW w:w="6946" w:type="dxa"/>
            <w:gridSpan w:val="7"/>
            <w:vAlign w:val="center"/>
          </w:tcPr>
          <w:p>
            <w:pPr>
              <w:jc w:val="left"/>
              <w:rPr>
                <w:sz w:val="28"/>
                <w:szCs w:val="28"/>
              </w:rPr>
            </w:pPr>
            <w:r>
              <w:rPr>
                <w:rFonts w:hint="eastAsia" w:asciiTheme="minorEastAsia" w:hAnsiTheme="minorEastAsia"/>
                <w:sz w:val="28"/>
                <w:szCs w:val="28"/>
                <w:shd w:val="clear" w:color="auto" w:fill="FFFFFF"/>
              </w:rPr>
              <w:t>医药流通  能力建设</w:t>
            </w:r>
            <w:r>
              <w:rPr>
                <w:rFonts w:hint="eastAsia" w:asciiTheme="minorEastAsia" w:hAnsiTheme="minorEastAsia"/>
                <w:sz w:val="28"/>
                <w:szCs w:val="28"/>
              </w:rPr>
              <w:t xml:space="preserve">  品类  服务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071" w:hRule="atLeast"/>
        </w:trPr>
        <w:tc>
          <w:tcPr>
            <w:tcW w:w="2127" w:type="dxa"/>
            <w:vAlign w:val="center"/>
          </w:tcPr>
          <w:p>
            <w:pPr>
              <w:tabs>
                <w:tab w:val="left" w:pos="5245"/>
              </w:tabs>
              <w:jc w:val="center"/>
              <w:rPr>
                <w:b/>
                <w:sz w:val="30"/>
                <w:szCs w:val="30"/>
              </w:rPr>
            </w:pPr>
            <w:r>
              <w:rPr>
                <w:rFonts w:hint="eastAsia"/>
                <w:b/>
                <w:sz w:val="30"/>
                <w:szCs w:val="30"/>
              </w:rPr>
              <w:t>内容概要</w:t>
            </w:r>
          </w:p>
        </w:tc>
        <w:tc>
          <w:tcPr>
            <w:tcW w:w="6946" w:type="dxa"/>
            <w:gridSpan w:val="7"/>
          </w:tcPr>
          <w:p>
            <w:pPr>
              <w:widowControl/>
              <w:shd w:val="clear" w:color="auto" w:fill="FFFFFF"/>
              <w:spacing w:after="190"/>
              <w:ind w:firstLine="620" w:firstLineChars="200"/>
              <w:outlineLvl w:val="1"/>
              <w:rPr>
                <w:rStyle w:val="13"/>
                <w:rFonts w:cs="Helvetica" w:asciiTheme="minorEastAsia" w:hAnsiTheme="minorEastAsia"/>
                <w:b w:val="0"/>
                <w:spacing w:val="15"/>
                <w:sz w:val="28"/>
                <w:szCs w:val="28"/>
              </w:rPr>
            </w:pPr>
          </w:p>
          <w:p>
            <w:pPr>
              <w:widowControl/>
              <w:shd w:val="clear" w:color="auto" w:fill="FFFFFF"/>
              <w:spacing w:after="190"/>
              <w:ind w:firstLine="620" w:firstLineChars="200"/>
              <w:outlineLvl w:val="1"/>
              <w:rPr>
                <w:rStyle w:val="13"/>
                <w:rFonts w:cs="Helvetica" w:asciiTheme="minorEastAsia" w:hAnsiTheme="minorEastAsia"/>
                <w:b w:val="0"/>
                <w:spacing w:val="15"/>
                <w:sz w:val="28"/>
                <w:szCs w:val="28"/>
              </w:rPr>
            </w:pPr>
          </w:p>
          <w:p>
            <w:pPr>
              <w:pStyle w:val="21"/>
              <w:widowControl/>
              <w:numPr>
                <w:ilvl w:val="0"/>
                <w:numId w:val="1"/>
              </w:numPr>
              <w:shd w:val="clear" w:color="auto" w:fill="FFFFFF"/>
              <w:spacing w:after="190"/>
              <w:ind w:firstLineChars="0"/>
              <w:outlineLvl w:val="1"/>
              <w:rPr>
                <w:rStyle w:val="13"/>
                <w:rFonts w:cs="Helvetica" w:asciiTheme="minorEastAsia" w:hAnsiTheme="minorEastAsia"/>
                <w:b w:val="0"/>
                <w:spacing w:val="15"/>
                <w:sz w:val="28"/>
                <w:szCs w:val="28"/>
              </w:rPr>
            </w:pPr>
            <w:r>
              <w:rPr>
                <w:rStyle w:val="13"/>
                <w:rFonts w:hint="eastAsia" w:cs="Helvetica" w:asciiTheme="minorEastAsia" w:hAnsiTheme="minorEastAsia"/>
                <w:b w:val="0"/>
                <w:spacing w:val="15"/>
                <w:sz w:val="28"/>
                <w:szCs w:val="28"/>
              </w:rPr>
              <w:t>回顾医药流通行业的扩张、整合过程以及集采政策的影响</w:t>
            </w:r>
          </w:p>
          <w:p>
            <w:pPr>
              <w:pStyle w:val="21"/>
              <w:widowControl/>
              <w:numPr>
                <w:ilvl w:val="0"/>
                <w:numId w:val="1"/>
              </w:numPr>
              <w:shd w:val="clear" w:color="auto" w:fill="FFFFFF"/>
              <w:spacing w:after="190"/>
              <w:ind w:firstLineChars="0"/>
              <w:outlineLvl w:val="1"/>
              <w:rPr>
                <w:rStyle w:val="13"/>
                <w:rFonts w:cs="Helvetica" w:asciiTheme="minorEastAsia" w:hAnsiTheme="minorEastAsia"/>
                <w:b w:val="0"/>
                <w:spacing w:val="15"/>
                <w:sz w:val="28"/>
                <w:szCs w:val="28"/>
              </w:rPr>
            </w:pPr>
            <w:r>
              <w:rPr>
                <w:rStyle w:val="13"/>
                <w:rFonts w:hint="eastAsia" w:cs="Helvetica" w:asciiTheme="minorEastAsia" w:hAnsiTheme="minorEastAsia"/>
                <w:b w:val="0"/>
                <w:spacing w:val="15"/>
                <w:sz w:val="28"/>
                <w:szCs w:val="28"/>
              </w:rPr>
              <w:t>当前大型流通企业将重点转向能力建设</w:t>
            </w:r>
          </w:p>
          <w:p>
            <w:pPr>
              <w:pStyle w:val="9"/>
              <w:numPr>
                <w:ilvl w:val="0"/>
                <w:numId w:val="2"/>
              </w:numPr>
              <w:shd w:val="clear" w:color="auto" w:fill="FFFFFF"/>
              <w:spacing w:before="0" w:beforeAutospacing="0" w:after="0" w:afterAutospacing="0" w:line="420" w:lineRule="atLeast"/>
              <w:rPr>
                <w:rStyle w:val="13"/>
                <w:rFonts w:hint="eastAsia" w:ascii="PingFangSC-light" w:hAnsi="PingFangSC-light"/>
                <w:b w:val="0"/>
                <w:color w:val="000000" w:themeColor="text1"/>
                <w:spacing w:val="15"/>
                <w:sz w:val="28"/>
                <w:szCs w:val="28"/>
                <w14:textFill>
                  <w14:solidFill>
                    <w14:schemeClr w14:val="tx1"/>
                  </w14:solidFill>
                </w14:textFill>
              </w:rPr>
            </w:pPr>
            <w:r>
              <w:rPr>
                <w:rStyle w:val="13"/>
                <w:rFonts w:hint="eastAsia" w:ascii="PingFangSC-light" w:hAnsi="PingFangSC-light"/>
                <w:b w:val="0"/>
                <w:color w:val="000000" w:themeColor="text1"/>
                <w:spacing w:val="15"/>
                <w:sz w:val="28"/>
                <w:szCs w:val="28"/>
                <w14:textFill>
                  <w14:solidFill>
                    <w14:schemeClr w14:val="tx1"/>
                  </w14:solidFill>
                </w14:textFill>
              </w:rPr>
              <w:t>夯实存量、挖掘增量、技术增效</w:t>
            </w:r>
          </w:p>
          <w:p>
            <w:pPr>
              <w:pStyle w:val="9"/>
              <w:numPr>
                <w:ilvl w:val="0"/>
                <w:numId w:val="2"/>
              </w:numPr>
              <w:shd w:val="clear" w:color="auto" w:fill="FFFFFF"/>
              <w:spacing w:before="0" w:beforeAutospacing="0" w:after="0" w:afterAutospacing="0" w:line="420" w:lineRule="atLeast"/>
              <w:rPr>
                <w:rStyle w:val="13"/>
                <w:rFonts w:hint="eastAsia" w:ascii="PingFangSC-light" w:hAnsi="PingFangSC-light"/>
                <w:b w:val="0"/>
                <w:color w:val="000000" w:themeColor="text1"/>
                <w:spacing w:val="15"/>
                <w:sz w:val="28"/>
                <w:szCs w:val="28"/>
                <w14:textFill>
                  <w14:solidFill>
                    <w14:schemeClr w14:val="tx1"/>
                  </w14:solidFill>
                </w14:textFill>
              </w:rPr>
            </w:pPr>
            <w:r>
              <w:rPr>
                <w:rStyle w:val="13"/>
                <w:rFonts w:hint="eastAsia" w:ascii="PingFangSC-light" w:hAnsi="PingFangSC-light"/>
                <w:b w:val="0"/>
                <w:color w:val="000000" w:themeColor="text1"/>
                <w:spacing w:val="15"/>
                <w:sz w:val="28"/>
                <w:szCs w:val="28"/>
                <w14:textFill>
                  <w14:solidFill>
                    <w14:schemeClr w14:val="tx1"/>
                  </w14:solidFill>
                </w14:textFill>
              </w:rPr>
              <w:t>品类拓展上不设边界</w:t>
            </w:r>
          </w:p>
          <w:p>
            <w:pPr>
              <w:pStyle w:val="9"/>
              <w:numPr>
                <w:ilvl w:val="0"/>
                <w:numId w:val="2"/>
              </w:numPr>
              <w:shd w:val="clear" w:color="auto" w:fill="FFFFFF"/>
              <w:spacing w:before="0" w:beforeAutospacing="0" w:after="0" w:afterAutospacing="0" w:line="420" w:lineRule="atLeast"/>
              <w:rPr>
                <w:rStyle w:val="13"/>
                <w:rFonts w:hint="eastAsia" w:ascii="PingFangSC-light" w:hAnsi="PingFangSC-light"/>
                <w:b w:val="0"/>
                <w:color w:val="000000" w:themeColor="text1"/>
                <w:spacing w:val="15"/>
                <w:sz w:val="28"/>
                <w:szCs w:val="28"/>
                <w14:textFill>
                  <w14:solidFill>
                    <w14:schemeClr w14:val="tx1"/>
                  </w14:solidFill>
                </w14:textFill>
              </w:rPr>
            </w:pPr>
            <w:r>
              <w:rPr>
                <w:rStyle w:val="13"/>
                <w:rFonts w:hint="eastAsia" w:ascii="PingFangSC-light" w:hAnsi="PingFangSC-light"/>
                <w:b w:val="0"/>
                <w:color w:val="000000" w:themeColor="text1"/>
                <w:spacing w:val="15"/>
                <w:sz w:val="28"/>
                <w:szCs w:val="28"/>
                <w14:textFill>
                  <w14:solidFill>
                    <w14:schemeClr w14:val="tx1"/>
                  </w14:solidFill>
                </w14:textFill>
              </w:rPr>
              <w:t>批零一体化力度加大。大型医药流通企业</w:t>
            </w:r>
          </w:p>
          <w:p>
            <w:pPr>
              <w:pStyle w:val="9"/>
              <w:shd w:val="clear" w:color="auto" w:fill="FFFFFF"/>
              <w:spacing w:before="0" w:beforeAutospacing="0" w:after="0" w:afterAutospacing="0" w:line="420" w:lineRule="atLeast"/>
              <w:ind w:left="720"/>
              <w:rPr>
                <w:rFonts w:hint="eastAsia" w:ascii="PingFangSC-light" w:hAnsi="PingFangSC-light"/>
                <w:bCs/>
                <w:color w:val="000000" w:themeColor="text1"/>
                <w:spacing w:val="15"/>
                <w:sz w:val="28"/>
                <w:szCs w:val="28"/>
                <w14:textFill>
                  <w14:solidFill>
                    <w14:schemeClr w14:val="tx1"/>
                  </w14:solidFill>
                </w14:textFill>
              </w:rPr>
            </w:pPr>
            <w:r>
              <w:rPr>
                <w:rStyle w:val="13"/>
                <w:rFonts w:hint="eastAsia" w:ascii="PingFangSC-light" w:hAnsi="PingFangSC-light"/>
                <w:b w:val="0"/>
                <w:color w:val="000000" w:themeColor="text1"/>
                <w:spacing w:val="15"/>
                <w:sz w:val="28"/>
                <w:szCs w:val="28"/>
                <w14:textFill>
                  <w14:solidFill>
                    <w14:schemeClr w14:val="tx1"/>
                  </w14:solidFill>
                </w14:textFill>
              </w:rPr>
              <w:t>纷纷加大在DTP药房中的布局力度</w:t>
            </w:r>
          </w:p>
          <w:p>
            <w:pPr>
              <w:widowControl/>
              <w:shd w:val="clear" w:color="auto" w:fill="FFFFFF"/>
              <w:spacing w:after="190"/>
              <w:outlineLvl w:val="1"/>
              <w:rPr>
                <w:rStyle w:val="13"/>
                <w:rFonts w:cs="Helvetica" w:asciiTheme="minorEastAsia" w:hAnsiTheme="minorEastAsia" w:eastAsiaTheme="minorEastAsia"/>
                <w:b w:val="0"/>
                <w:spacing w:val="15"/>
                <w:sz w:val="28"/>
                <w:szCs w:val="28"/>
              </w:rPr>
            </w:pPr>
            <w:r>
              <w:rPr>
                <w:rStyle w:val="13"/>
                <w:rFonts w:hint="eastAsia" w:cs="Helvetica" w:asciiTheme="minorEastAsia" w:hAnsiTheme="minorEastAsia" w:eastAsiaTheme="minorEastAsia"/>
                <w:b w:val="0"/>
                <w:spacing w:val="15"/>
                <w:sz w:val="28"/>
                <w:szCs w:val="28"/>
              </w:rPr>
              <w:t xml:space="preserve">    </w:t>
            </w:r>
          </w:p>
          <w:p>
            <w:pPr>
              <w:widowControl/>
              <w:shd w:val="clear" w:color="auto" w:fill="FFFFFF"/>
              <w:spacing w:after="190"/>
              <w:outlineLvl w:val="1"/>
            </w:pPr>
          </w:p>
          <w:p>
            <w:pPr>
              <w:widowControl/>
              <w:shd w:val="clear" w:color="auto" w:fill="FFFFFF"/>
              <w:spacing w:after="190"/>
              <w:outlineLvl w:val="1"/>
            </w:pPr>
          </w:p>
          <w:p>
            <w:pPr>
              <w:widowControl/>
              <w:shd w:val="clear" w:color="auto" w:fill="FFFFFF"/>
              <w:spacing w:after="190"/>
              <w:outlineLvl w:val="1"/>
            </w:pPr>
          </w:p>
          <w:p>
            <w:pPr>
              <w:widowControl/>
              <w:shd w:val="clear" w:color="auto" w:fill="FFFFFF"/>
              <w:spacing w:after="190"/>
              <w:outlineLvl w:val="1"/>
              <w:rPr>
                <w:rFonts w:asciiTheme="minorEastAsia" w:hAnsiTheme="minorEastAsia"/>
                <w:sz w:val="28"/>
                <w:szCs w:val="28"/>
                <w:shd w:val="clear" w:color="auto" w:fill="FFFFFF"/>
              </w:rPr>
            </w:pPr>
            <w:r>
              <w:rPr>
                <w:rFonts w:hint="eastAsia"/>
              </w:rPr>
              <w:t>附件2：四大医药流通巨头着力能力提升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41" w:hRule="atLeast"/>
        </w:trPr>
        <w:tc>
          <w:tcPr>
            <w:tcW w:w="2127" w:type="dxa"/>
            <w:vAlign w:val="center"/>
          </w:tcPr>
          <w:p>
            <w:pPr>
              <w:tabs>
                <w:tab w:val="left" w:pos="7088"/>
              </w:tabs>
              <w:jc w:val="center"/>
              <w:rPr>
                <w:b/>
                <w:sz w:val="30"/>
                <w:szCs w:val="30"/>
              </w:rPr>
            </w:pPr>
            <w:r>
              <w:rPr>
                <w:rFonts w:hint="eastAsia"/>
                <w:b/>
                <w:sz w:val="30"/>
                <w:szCs w:val="30"/>
              </w:rPr>
              <w:t>信息03</w:t>
            </w:r>
          </w:p>
        </w:tc>
        <w:tc>
          <w:tcPr>
            <w:tcW w:w="6946" w:type="dxa"/>
            <w:gridSpan w:val="7"/>
            <w:vAlign w:val="center"/>
          </w:tcPr>
          <w:p>
            <w:pPr>
              <w:rPr>
                <w:b/>
                <w:sz w:val="32"/>
                <w:szCs w:val="32"/>
              </w:rPr>
            </w:pPr>
            <w:r>
              <w:rPr>
                <w:rFonts w:hint="eastAsia" w:asciiTheme="minorEastAsia" w:hAnsiTheme="minorEastAsia" w:eastAsiaTheme="minorEastAsia"/>
                <w:b/>
                <w:sz w:val="36"/>
                <w:szCs w:val="36"/>
              </w:rPr>
              <w:t>销售规模超2600亿！网上药店“地盘”持续扩张，全域融合时代来临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39" w:hRule="atLeast"/>
        </w:trPr>
        <w:tc>
          <w:tcPr>
            <w:tcW w:w="2127" w:type="dxa"/>
            <w:tcBorders>
              <w:bottom w:val="single" w:color="auto" w:sz="4" w:space="0"/>
            </w:tcBorders>
            <w:vAlign w:val="center"/>
          </w:tcPr>
          <w:p>
            <w:pPr>
              <w:tabs>
                <w:tab w:val="left" w:pos="7088"/>
              </w:tabs>
              <w:jc w:val="center"/>
            </w:pPr>
            <w:r>
              <w:rPr>
                <w:rFonts w:hint="eastAsia"/>
                <w:b/>
                <w:sz w:val="30"/>
                <w:szCs w:val="30"/>
              </w:rPr>
              <w:t>发布</w:t>
            </w:r>
            <w:r>
              <w:rPr>
                <w:b/>
                <w:sz w:val="30"/>
                <w:szCs w:val="30"/>
              </w:rPr>
              <w:t>时间</w:t>
            </w:r>
          </w:p>
        </w:tc>
        <w:tc>
          <w:tcPr>
            <w:tcW w:w="2268" w:type="dxa"/>
            <w:gridSpan w:val="2"/>
            <w:tcBorders>
              <w:bottom w:val="single" w:color="auto" w:sz="4" w:space="0"/>
            </w:tcBorders>
            <w:vAlign w:val="center"/>
          </w:tcPr>
          <w:p>
            <w:pPr>
              <w:tabs>
                <w:tab w:val="left" w:pos="7088"/>
              </w:tabs>
              <w:jc w:val="center"/>
              <w:rPr>
                <w:rFonts w:asciiTheme="minorEastAsia" w:hAnsiTheme="minorEastAsia" w:eastAsiaTheme="minorEastAsia"/>
                <w:sz w:val="28"/>
                <w:szCs w:val="28"/>
              </w:rPr>
            </w:pPr>
            <w:r>
              <w:rPr>
                <w:rFonts w:asciiTheme="minorEastAsia" w:hAnsiTheme="minorEastAsia" w:eastAsiaTheme="minorEastAsia"/>
                <w:sz w:val="28"/>
                <w:szCs w:val="28"/>
              </w:rPr>
              <w:t>202</w:t>
            </w:r>
            <w:r>
              <w:rPr>
                <w:rFonts w:hint="eastAsia" w:asciiTheme="minorEastAsia" w:hAnsiTheme="minorEastAsia" w:eastAsiaTheme="minorEastAsia"/>
                <w:sz w:val="28"/>
                <w:szCs w:val="28"/>
              </w:rPr>
              <w:t>3</w:t>
            </w:r>
            <w:r>
              <w:rPr>
                <w:rFonts w:asciiTheme="minorEastAsia" w:hAnsiTheme="minorEastAsia" w:eastAsiaTheme="minorEastAsia"/>
                <w:sz w:val="28"/>
                <w:szCs w:val="28"/>
              </w:rPr>
              <w:t>-</w:t>
            </w:r>
            <w:r>
              <w:rPr>
                <w:rFonts w:hint="eastAsia" w:asciiTheme="minorEastAsia" w:hAnsiTheme="minorEastAsia" w:eastAsiaTheme="minorEastAsia"/>
                <w:sz w:val="28"/>
                <w:szCs w:val="28"/>
              </w:rPr>
              <w:t>8</w:t>
            </w:r>
            <w:r>
              <w:rPr>
                <w:rFonts w:asciiTheme="minorEastAsia" w:hAnsiTheme="minorEastAsia" w:eastAsiaTheme="minorEastAsia"/>
                <w:sz w:val="28"/>
                <w:szCs w:val="28"/>
              </w:rPr>
              <w:t>-</w:t>
            </w:r>
            <w:r>
              <w:rPr>
                <w:rFonts w:hint="eastAsia" w:asciiTheme="minorEastAsia" w:hAnsiTheme="minorEastAsia" w:eastAsiaTheme="minorEastAsia"/>
                <w:sz w:val="28"/>
                <w:szCs w:val="28"/>
              </w:rPr>
              <w:t>1</w:t>
            </w:r>
          </w:p>
        </w:tc>
        <w:tc>
          <w:tcPr>
            <w:tcW w:w="1985" w:type="dxa"/>
            <w:gridSpan w:val="3"/>
            <w:tcBorders>
              <w:bottom w:val="single" w:color="auto" w:sz="4" w:space="0"/>
            </w:tcBorders>
            <w:vAlign w:val="center"/>
          </w:tcPr>
          <w:p>
            <w:pPr>
              <w:tabs>
                <w:tab w:val="left" w:pos="7088"/>
              </w:tabs>
              <w:jc w:val="center"/>
              <w:rPr>
                <w:b/>
                <w:sz w:val="28"/>
                <w:szCs w:val="28"/>
              </w:rPr>
            </w:pPr>
            <w:r>
              <w:rPr>
                <w:rFonts w:hint="eastAsia"/>
                <w:b/>
                <w:sz w:val="30"/>
                <w:szCs w:val="30"/>
              </w:rPr>
              <w:t>信息来源</w:t>
            </w:r>
          </w:p>
        </w:tc>
        <w:tc>
          <w:tcPr>
            <w:tcW w:w="2693" w:type="dxa"/>
            <w:gridSpan w:val="2"/>
            <w:tcBorders>
              <w:bottom w:val="single" w:color="auto" w:sz="4" w:space="0"/>
            </w:tcBorders>
            <w:vAlign w:val="center"/>
          </w:tcPr>
          <w:p>
            <w:pPr>
              <w:tabs>
                <w:tab w:val="left" w:pos="7088"/>
              </w:tabs>
              <w:jc w:val="center"/>
              <w:rPr>
                <w:sz w:val="28"/>
                <w:szCs w:val="28"/>
              </w:rPr>
            </w:pPr>
            <w:r>
              <w:rPr>
                <w:rFonts w:hint="eastAsia" w:asciiTheme="minorEastAsia" w:hAnsiTheme="minorEastAsia" w:eastAsiaTheme="minorEastAsia"/>
                <w:sz w:val="28"/>
                <w:szCs w:val="28"/>
              </w:rPr>
              <w:t>米内零售观察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50" w:hRule="atLeast"/>
        </w:trPr>
        <w:tc>
          <w:tcPr>
            <w:tcW w:w="2127" w:type="dxa"/>
            <w:tcBorders>
              <w:top w:val="single" w:color="auto" w:sz="4" w:space="0"/>
            </w:tcBorders>
            <w:vAlign w:val="center"/>
          </w:tcPr>
          <w:p>
            <w:pPr>
              <w:tabs>
                <w:tab w:val="left" w:pos="7088"/>
              </w:tabs>
              <w:jc w:val="center"/>
              <w:rPr>
                <w:b/>
                <w:sz w:val="30"/>
                <w:szCs w:val="30"/>
              </w:rPr>
            </w:pPr>
            <w:r>
              <w:rPr>
                <w:rFonts w:hint="eastAsia"/>
                <w:b/>
                <w:sz w:val="30"/>
                <w:szCs w:val="30"/>
              </w:rPr>
              <w:t>信息</w:t>
            </w:r>
            <w:r>
              <w:rPr>
                <w:b/>
                <w:sz w:val="30"/>
                <w:szCs w:val="30"/>
              </w:rPr>
              <w:t>提供</w:t>
            </w:r>
          </w:p>
        </w:tc>
        <w:tc>
          <w:tcPr>
            <w:tcW w:w="2268" w:type="dxa"/>
            <w:gridSpan w:val="2"/>
            <w:tcBorders>
              <w:top w:val="single" w:color="auto" w:sz="4" w:space="0"/>
            </w:tcBorders>
            <w:vAlign w:val="center"/>
          </w:tcPr>
          <w:p>
            <w:pPr>
              <w:tabs>
                <w:tab w:val="left" w:pos="7088"/>
              </w:tabs>
              <w:jc w:val="center"/>
              <w:rPr>
                <w:sz w:val="28"/>
                <w:szCs w:val="28"/>
              </w:rPr>
            </w:pPr>
            <w:r>
              <w:rPr>
                <w:rFonts w:hint="eastAsia"/>
                <w:sz w:val="28"/>
                <w:szCs w:val="28"/>
              </w:rPr>
              <w:t>运营管理部</w:t>
            </w:r>
          </w:p>
        </w:tc>
        <w:tc>
          <w:tcPr>
            <w:tcW w:w="1985" w:type="dxa"/>
            <w:gridSpan w:val="3"/>
            <w:tcBorders>
              <w:top w:val="single" w:color="auto" w:sz="4" w:space="0"/>
            </w:tcBorders>
            <w:vAlign w:val="center"/>
          </w:tcPr>
          <w:p>
            <w:pPr>
              <w:tabs>
                <w:tab w:val="left" w:pos="7088"/>
              </w:tabs>
              <w:jc w:val="center"/>
              <w:rPr>
                <w:b/>
                <w:sz w:val="28"/>
                <w:szCs w:val="28"/>
              </w:rPr>
            </w:pPr>
            <w:r>
              <w:rPr>
                <w:rFonts w:hint="eastAsia"/>
                <w:b/>
                <w:sz w:val="30"/>
                <w:szCs w:val="30"/>
              </w:rPr>
              <w:t>信息确认</w:t>
            </w:r>
          </w:p>
        </w:tc>
        <w:tc>
          <w:tcPr>
            <w:tcW w:w="2693" w:type="dxa"/>
            <w:gridSpan w:val="2"/>
            <w:tcBorders>
              <w:top w:val="single" w:color="auto" w:sz="4" w:space="0"/>
            </w:tcBorders>
            <w:vAlign w:val="center"/>
          </w:tcPr>
          <w:p>
            <w:pPr>
              <w:tabs>
                <w:tab w:val="left" w:pos="7088"/>
              </w:tabs>
              <w:jc w:val="center"/>
              <w:rPr>
                <w:sz w:val="28"/>
                <w:szCs w:val="28"/>
              </w:rPr>
            </w:pPr>
            <w:r>
              <w:rPr>
                <w:rFonts w:hint="eastAsia"/>
                <w:sz w:val="28"/>
                <w:szCs w:val="28"/>
              </w:rPr>
              <w:t>彭宇飞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54" w:hRule="atLeast"/>
        </w:trPr>
        <w:tc>
          <w:tcPr>
            <w:tcW w:w="2127" w:type="dxa"/>
            <w:vAlign w:val="center"/>
          </w:tcPr>
          <w:p>
            <w:pPr>
              <w:tabs>
                <w:tab w:val="left" w:pos="7088"/>
              </w:tabs>
              <w:ind w:firstLine="301" w:firstLineChars="100"/>
              <w:rPr>
                <w:b/>
                <w:sz w:val="30"/>
                <w:szCs w:val="30"/>
              </w:rPr>
            </w:pPr>
            <w:r>
              <w:rPr>
                <w:rFonts w:hint="eastAsia"/>
                <w:b/>
                <w:sz w:val="30"/>
                <w:szCs w:val="30"/>
              </w:rPr>
              <w:t>确认</w:t>
            </w:r>
            <w:r>
              <w:rPr>
                <w:b/>
                <w:sz w:val="30"/>
                <w:szCs w:val="30"/>
              </w:rPr>
              <w:t>结果</w:t>
            </w:r>
          </w:p>
        </w:tc>
        <w:tc>
          <w:tcPr>
            <w:tcW w:w="6946" w:type="dxa"/>
            <w:gridSpan w:val="7"/>
            <w:vAlign w:val="center"/>
          </w:tcPr>
          <w:p>
            <w:pPr>
              <w:tabs>
                <w:tab w:val="left" w:pos="7088"/>
              </w:tabs>
              <w:jc w:val="left"/>
              <w:rPr>
                <w:sz w:val="28"/>
                <w:szCs w:val="28"/>
              </w:rPr>
            </w:pPr>
            <w:r>
              <w:rPr>
                <w:rFonts w:hint="eastAsia" w:asciiTheme="minorEastAsia" w:hAnsiTheme="minorEastAsia" w:eastAsiaTheme="minorEastAsia"/>
                <w:sz w:val="28"/>
                <w:szCs w:val="28"/>
              </w:rPr>
              <w:t>来源：米内零售观察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40" w:hRule="atLeast"/>
        </w:trPr>
        <w:tc>
          <w:tcPr>
            <w:tcW w:w="2127" w:type="dxa"/>
            <w:vAlign w:val="center"/>
          </w:tcPr>
          <w:p>
            <w:pPr>
              <w:tabs>
                <w:tab w:val="left" w:pos="7088"/>
              </w:tabs>
              <w:jc w:val="center"/>
              <w:rPr>
                <w:b/>
                <w:sz w:val="30"/>
                <w:szCs w:val="30"/>
              </w:rPr>
            </w:pPr>
            <w:r>
              <w:rPr>
                <w:rFonts w:hint="eastAsia"/>
                <w:b/>
                <w:sz w:val="30"/>
                <w:szCs w:val="30"/>
              </w:rPr>
              <w:t>关键词</w:t>
            </w:r>
          </w:p>
        </w:tc>
        <w:tc>
          <w:tcPr>
            <w:tcW w:w="6946" w:type="dxa"/>
            <w:gridSpan w:val="7"/>
            <w:vAlign w:val="center"/>
          </w:tcPr>
          <w:p>
            <w:pPr>
              <w:tabs>
                <w:tab w:val="left" w:pos="7088"/>
              </w:tabs>
              <w:jc w:val="left"/>
              <w:rPr>
                <w:rFonts w:cs="宋体" w:asciiTheme="minorEastAsia" w:hAnsiTheme="minorEastAsia" w:eastAsiaTheme="minorEastAsia"/>
                <w:kern w:val="0"/>
                <w:sz w:val="28"/>
                <w:szCs w:val="28"/>
              </w:rPr>
            </w:pPr>
            <w:r>
              <w:rPr>
                <w:rFonts w:hint="eastAsia" w:cs="宋体" w:asciiTheme="minorEastAsia" w:hAnsiTheme="minorEastAsia" w:eastAsiaTheme="minorEastAsia"/>
                <w:kern w:val="0"/>
                <w:sz w:val="28"/>
                <w:szCs w:val="28"/>
              </w:rPr>
              <w:t xml:space="preserve">医药电商  扩张  品类  全域融合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27" w:hRule="atLeast"/>
        </w:trPr>
        <w:tc>
          <w:tcPr>
            <w:tcW w:w="2127" w:type="dxa"/>
            <w:vAlign w:val="center"/>
          </w:tcPr>
          <w:p>
            <w:pPr>
              <w:tabs>
                <w:tab w:val="left" w:pos="7088"/>
              </w:tabs>
              <w:jc w:val="center"/>
              <w:rPr>
                <w:b/>
                <w:sz w:val="30"/>
                <w:szCs w:val="30"/>
              </w:rPr>
            </w:pPr>
            <w:r>
              <w:rPr>
                <w:b/>
                <w:sz w:val="30"/>
                <w:szCs w:val="30"/>
              </w:rPr>
              <w:t>内容概要</w:t>
            </w:r>
          </w:p>
        </w:tc>
        <w:tc>
          <w:tcPr>
            <w:tcW w:w="6946" w:type="dxa"/>
            <w:gridSpan w:val="7"/>
          </w:tcPr>
          <w:p>
            <w:pPr>
              <w:jc w:val="left"/>
              <w:rPr>
                <w:rFonts w:asciiTheme="minorEastAsia" w:hAnsiTheme="minorEastAsia"/>
                <w:sz w:val="28"/>
                <w:szCs w:val="28"/>
                <w:shd w:val="clear" w:color="auto" w:fill="FFFFFF"/>
              </w:rPr>
            </w:pPr>
          </w:p>
          <w:p>
            <w:pPr>
              <w:jc w:val="left"/>
              <w:rPr>
                <w:rFonts w:asciiTheme="minorEastAsia" w:hAnsiTheme="minorEastAsia"/>
                <w:sz w:val="28"/>
                <w:szCs w:val="28"/>
                <w:shd w:val="clear" w:color="auto" w:fill="FFFFFF"/>
              </w:rPr>
            </w:pPr>
          </w:p>
          <w:p>
            <w:pPr>
              <w:ind w:firstLine="620" w:firstLineChars="200"/>
              <w:rPr>
                <w:rStyle w:val="13"/>
                <w:rFonts w:cs="Helvetica" w:asciiTheme="minorEastAsia" w:hAnsiTheme="minorEastAsia"/>
                <w:b w:val="0"/>
                <w:spacing w:val="15"/>
                <w:sz w:val="28"/>
                <w:szCs w:val="28"/>
              </w:rPr>
            </w:pPr>
            <w:r>
              <w:rPr>
                <w:rStyle w:val="13"/>
                <w:rFonts w:hint="eastAsia" w:cs="Helvetica" w:asciiTheme="minorEastAsia" w:hAnsiTheme="minorEastAsia"/>
                <w:b w:val="0"/>
                <w:spacing w:val="15"/>
                <w:sz w:val="28"/>
                <w:szCs w:val="28"/>
              </w:rPr>
              <w:t>2022年网上药店销售规模（含药品和非药品）超2600亿元、销售额占比从2016年的5.80%提升至2022年的29.90%；药品销售额达507亿元、同比增长37.6%、七年复合增长率达48.4%，同比增长16.7％，网上药店持续扩张。</w:t>
            </w:r>
          </w:p>
          <w:p>
            <w:pPr>
              <w:pStyle w:val="21"/>
              <w:numPr>
                <w:ilvl w:val="0"/>
                <w:numId w:val="3"/>
              </w:numPr>
              <w:ind w:firstLineChars="0"/>
              <w:rPr>
                <w:rStyle w:val="13"/>
                <w:rFonts w:cs="Helvetica" w:asciiTheme="minorEastAsia" w:hAnsiTheme="minorEastAsia"/>
                <w:b w:val="0"/>
                <w:spacing w:val="15"/>
                <w:sz w:val="28"/>
                <w:szCs w:val="28"/>
              </w:rPr>
            </w:pPr>
            <w:r>
              <w:rPr>
                <w:rStyle w:val="13"/>
                <w:rFonts w:hint="eastAsia" w:cs="Helvetica" w:asciiTheme="minorEastAsia" w:hAnsiTheme="minorEastAsia"/>
                <w:b w:val="0"/>
                <w:spacing w:val="15"/>
                <w:sz w:val="28"/>
                <w:szCs w:val="28"/>
              </w:rPr>
              <w:t>全融合时代来临 医药电商有望实现双增长。</w:t>
            </w:r>
          </w:p>
          <w:p>
            <w:pPr>
              <w:pStyle w:val="21"/>
              <w:numPr>
                <w:ilvl w:val="0"/>
                <w:numId w:val="3"/>
              </w:numPr>
              <w:ind w:firstLineChars="0"/>
              <w:rPr>
                <w:rStyle w:val="13"/>
                <w:rFonts w:cs="Helvetica" w:asciiTheme="minorEastAsia" w:hAnsiTheme="minorEastAsia"/>
                <w:b w:val="0"/>
                <w:spacing w:val="15"/>
                <w:sz w:val="28"/>
                <w:szCs w:val="28"/>
              </w:rPr>
            </w:pPr>
            <w:r>
              <w:rPr>
                <w:rStyle w:val="13"/>
                <w:rFonts w:hint="eastAsia" w:cs="Helvetica" w:asciiTheme="minorEastAsia" w:hAnsiTheme="minorEastAsia"/>
                <w:b w:val="0"/>
                <w:spacing w:val="15"/>
                <w:sz w:val="28"/>
                <w:szCs w:val="28"/>
              </w:rPr>
              <w:t>头部加速打造私域流量池 O2O迎来黄金发展期。</w:t>
            </w:r>
          </w:p>
          <w:p>
            <w:pPr>
              <w:rPr>
                <w:rStyle w:val="13"/>
                <w:rFonts w:cs="Helvetica"/>
                <w:spacing w:val="15"/>
              </w:rPr>
            </w:pPr>
          </w:p>
          <w:p>
            <w:pPr>
              <w:rPr>
                <w:rStyle w:val="13"/>
                <w:rFonts w:cs="Helvetica"/>
                <w:spacing w:val="15"/>
              </w:rPr>
            </w:pPr>
          </w:p>
          <w:p>
            <w:pPr>
              <w:rPr>
                <w:rStyle w:val="13"/>
                <w:rFonts w:cs="Helvetica"/>
                <w:spacing w:val="15"/>
              </w:rPr>
            </w:pPr>
          </w:p>
          <w:p>
            <w:pPr>
              <w:rPr>
                <w:rFonts w:asciiTheme="minorEastAsia" w:hAnsiTheme="minorEastAsia"/>
                <w:sz w:val="28"/>
                <w:szCs w:val="28"/>
                <w:shd w:val="clear" w:color="auto" w:fill="FFFFFF"/>
              </w:rPr>
            </w:pPr>
          </w:p>
          <w:p>
            <w:pPr>
              <w:rPr>
                <w:rFonts w:asciiTheme="minorEastAsia" w:hAnsiTheme="minorEastAsia"/>
                <w:sz w:val="28"/>
                <w:szCs w:val="28"/>
                <w:shd w:val="clear" w:color="auto" w:fill="FFFFFF"/>
              </w:rPr>
            </w:pPr>
          </w:p>
          <w:p>
            <w:pPr>
              <w:widowControl/>
              <w:shd w:val="clear" w:color="auto" w:fill="FFFFFF"/>
              <w:spacing w:after="190"/>
              <w:outlineLvl w:val="1"/>
              <w:rPr>
                <w:rFonts w:asciiTheme="minorEastAsia" w:hAnsiTheme="minorEastAsia"/>
                <w:sz w:val="28"/>
                <w:szCs w:val="28"/>
                <w:shd w:val="clear" w:color="auto" w:fill="FFFFFF"/>
              </w:rPr>
            </w:pPr>
            <w:r>
              <w:rPr>
                <w:rFonts w:hint="eastAsia"/>
              </w:rPr>
              <w:t>附件3: 销售规模超2600亿！网上药店“地盘”持续扩张，全域融合时代来临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90" w:hRule="atLeast"/>
        </w:trPr>
        <w:tc>
          <w:tcPr>
            <w:tcW w:w="2127" w:type="dxa"/>
            <w:tcBorders>
              <w:right w:val="outset" w:color="auto" w:sz="6" w:space="0"/>
            </w:tcBorders>
            <w:vAlign w:val="center"/>
          </w:tcPr>
          <w:p>
            <w:pPr>
              <w:tabs>
                <w:tab w:val="left" w:pos="7088"/>
              </w:tabs>
              <w:jc w:val="center"/>
              <w:rPr>
                <w:b/>
                <w:sz w:val="30"/>
                <w:szCs w:val="30"/>
              </w:rPr>
            </w:pPr>
            <w:r>
              <w:rPr>
                <w:rFonts w:hint="eastAsia"/>
                <w:b/>
                <w:sz w:val="30"/>
                <w:szCs w:val="30"/>
              </w:rPr>
              <w:t>信息04</w:t>
            </w:r>
          </w:p>
        </w:tc>
        <w:tc>
          <w:tcPr>
            <w:tcW w:w="6946" w:type="dxa"/>
            <w:gridSpan w:val="7"/>
            <w:tcBorders>
              <w:top w:val="outset" w:color="auto" w:sz="6" w:space="0"/>
              <w:left w:val="outset" w:color="auto" w:sz="6" w:space="0"/>
              <w:bottom w:val="inset" w:color="auto" w:sz="6" w:space="0"/>
              <w:right w:val="inset" w:color="auto" w:sz="6" w:space="0"/>
            </w:tcBorders>
            <w:vAlign w:val="center"/>
          </w:tcPr>
          <w:p>
            <w:pPr>
              <w:widowControl/>
              <w:shd w:val="clear" w:color="auto" w:fill="FFFFFF"/>
              <w:spacing w:after="210"/>
              <w:jc w:val="left"/>
              <w:outlineLvl w:val="1"/>
              <w:rPr>
                <w:b/>
                <w:sz w:val="32"/>
                <w:szCs w:val="32"/>
              </w:rPr>
            </w:pPr>
            <w:r>
              <w:rPr>
                <w:rFonts w:hint="eastAsia" w:asciiTheme="minorEastAsia" w:hAnsiTheme="minorEastAsia" w:eastAsiaTheme="minorEastAsia"/>
                <w:b/>
                <w:sz w:val="36"/>
                <w:szCs w:val="36"/>
              </w:rPr>
              <w:t>2030中国健康产业全景预测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38" w:hRule="atLeast"/>
        </w:trPr>
        <w:tc>
          <w:tcPr>
            <w:tcW w:w="2127" w:type="dxa"/>
            <w:vAlign w:val="center"/>
          </w:tcPr>
          <w:p>
            <w:pPr>
              <w:tabs>
                <w:tab w:val="left" w:pos="7088"/>
              </w:tabs>
              <w:jc w:val="center"/>
            </w:pPr>
            <w:r>
              <w:rPr>
                <w:rFonts w:hint="eastAsia"/>
                <w:b/>
                <w:sz w:val="30"/>
                <w:szCs w:val="30"/>
              </w:rPr>
              <w:t>发布</w:t>
            </w:r>
            <w:r>
              <w:rPr>
                <w:b/>
                <w:sz w:val="30"/>
                <w:szCs w:val="30"/>
              </w:rPr>
              <w:t>时间</w:t>
            </w:r>
          </w:p>
        </w:tc>
        <w:tc>
          <w:tcPr>
            <w:tcW w:w="2268" w:type="dxa"/>
            <w:gridSpan w:val="2"/>
            <w:tcBorders>
              <w:top w:val="inset" w:color="auto" w:sz="6" w:space="0"/>
            </w:tcBorders>
            <w:vAlign w:val="center"/>
          </w:tcPr>
          <w:p>
            <w:pPr>
              <w:tabs>
                <w:tab w:val="left" w:pos="7088"/>
              </w:tabs>
              <w:jc w:val="center"/>
              <w:rPr>
                <w:rFonts w:asciiTheme="minorEastAsia" w:hAnsiTheme="minorEastAsia" w:eastAsiaTheme="minorEastAsia"/>
                <w:sz w:val="28"/>
                <w:szCs w:val="28"/>
              </w:rPr>
            </w:pPr>
            <w:r>
              <w:rPr>
                <w:rFonts w:asciiTheme="minorEastAsia" w:hAnsiTheme="minorEastAsia" w:eastAsiaTheme="minorEastAsia"/>
                <w:sz w:val="28"/>
                <w:szCs w:val="28"/>
              </w:rPr>
              <w:t>202</w:t>
            </w:r>
            <w:r>
              <w:rPr>
                <w:rFonts w:hint="eastAsia" w:asciiTheme="minorEastAsia" w:hAnsiTheme="minorEastAsia" w:eastAsiaTheme="minorEastAsia"/>
                <w:sz w:val="28"/>
                <w:szCs w:val="28"/>
              </w:rPr>
              <w:t>3</w:t>
            </w:r>
            <w:r>
              <w:rPr>
                <w:rFonts w:asciiTheme="minorEastAsia" w:hAnsiTheme="minorEastAsia" w:eastAsiaTheme="minorEastAsia"/>
                <w:sz w:val="28"/>
                <w:szCs w:val="28"/>
              </w:rPr>
              <w:t>-</w:t>
            </w:r>
            <w:r>
              <w:rPr>
                <w:rFonts w:hint="eastAsia" w:asciiTheme="minorEastAsia" w:hAnsiTheme="minorEastAsia" w:eastAsiaTheme="minorEastAsia"/>
                <w:sz w:val="28"/>
                <w:szCs w:val="28"/>
              </w:rPr>
              <w:t>8</w:t>
            </w:r>
            <w:r>
              <w:rPr>
                <w:rFonts w:asciiTheme="minorEastAsia" w:hAnsiTheme="minorEastAsia" w:eastAsiaTheme="minorEastAsia"/>
                <w:sz w:val="28"/>
                <w:szCs w:val="28"/>
              </w:rPr>
              <w:t>-</w:t>
            </w:r>
            <w:r>
              <w:rPr>
                <w:rFonts w:hint="eastAsia" w:asciiTheme="minorEastAsia" w:hAnsiTheme="minorEastAsia" w:eastAsiaTheme="minorEastAsia"/>
                <w:sz w:val="28"/>
                <w:szCs w:val="28"/>
              </w:rPr>
              <w:t>10</w:t>
            </w:r>
          </w:p>
        </w:tc>
        <w:tc>
          <w:tcPr>
            <w:tcW w:w="1985" w:type="dxa"/>
            <w:gridSpan w:val="3"/>
            <w:tcBorders>
              <w:top w:val="inset" w:color="auto" w:sz="6" w:space="0"/>
            </w:tcBorders>
            <w:vAlign w:val="center"/>
          </w:tcPr>
          <w:p>
            <w:pPr>
              <w:tabs>
                <w:tab w:val="left" w:pos="7088"/>
              </w:tabs>
              <w:jc w:val="center"/>
              <w:rPr>
                <w:b/>
                <w:sz w:val="28"/>
                <w:szCs w:val="28"/>
              </w:rPr>
            </w:pPr>
            <w:r>
              <w:rPr>
                <w:rFonts w:hint="eastAsia"/>
                <w:b/>
                <w:sz w:val="30"/>
                <w:szCs w:val="30"/>
              </w:rPr>
              <w:t>信息来源</w:t>
            </w:r>
          </w:p>
        </w:tc>
        <w:tc>
          <w:tcPr>
            <w:tcW w:w="2693" w:type="dxa"/>
            <w:gridSpan w:val="2"/>
            <w:tcBorders>
              <w:top w:val="inset" w:color="auto" w:sz="6" w:space="0"/>
            </w:tcBorders>
            <w:vAlign w:val="center"/>
          </w:tcPr>
          <w:p>
            <w:pPr>
              <w:tabs>
                <w:tab w:val="left" w:pos="7088"/>
              </w:tabs>
              <w:jc w:val="center"/>
              <w:rPr>
                <w:sz w:val="28"/>
                <w:szCs w:val="28"/>
              </w:rPr>
            </w:pPr>
            <w:r>
              <w:rPr>
                <w:rFonts w:hint="eastAsia" w:asciiTheme="minorEastAsia" w:hAnsiTheme="minorEastAsia" w:eastAsiaTheme="minorEastAsia"/>
                <w:sz w:val="28"/>
                <w:szCs w:val="28"/>
              </w:rPr>
              <w:t>西普会中康科技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56" w:hRule="atLeast"/>
        </w:trPr>
        <w:tc>
          <w:tcPr>
            <w:tcW w:w="2127" w:type="dxa"/>
            <w:vAlign w:val="center"/>
          </w:tcPr>
          <w:p>
            <w:pPr>
              <w:tabs>
                <w:tab w:val="left" w:pos="7088"/>
              </w:tabs>
              <w:jc w:val="center"/>
              <w:rPr>
                <w:b/>
                <w:sz w:val="30"/>
                <w:szCs w:val="30"/>
              </w:rPr>
            </w:pPr>
            <w:r>
              <w:rPr>
                <w:rFonts w:hint="eastAsia"/>
                <w:b/>
                <w:sz w:val="30"/>
                <w:szCs w:val="30"/>
              </w:rPr>
              <w:t>信息</w:t>
            </w:r>
            <w:r>
              <w:rPr>
                <w:b/>
                <w:sz w:val="30"/>
                <w:szCs w:val="30"/>
              </w:rPr>
              <w:t>提供</w:t>
            </w:r>
          </w:p>
        </w:tc>
        <w:tc>
          <w:tcPr>
            <w:tcW w:w="2268" w:type="dxa"/>
            <w:gridSpan w:val="2"/>
            <w:vAlign w:val="center"/>
          </w:tcPr>
          <w:p>
            <w:pPr>
              <w:tabs>
                <w:tab w:val="left" w:pos="7088"/>
              </w:tabs>
              <w:jc w:val="center"/>
              <w:rPr>
                <w:sz w:val="28"/>
                <w:szCs w:val="28"/>
              </w:rPr>
            </w:pPr>
            <w:r>
              <w:rPr>
                <w:rFonts w:hint="eastAsia"/>
                <w:sz w:val="28"/>
                <w:szCs w:val="28"/>
              </w:rPr>
              <w:t>运营管理部</w:t>
            </w:r>
          </w:p>
        </w:tc>
        <w:tc>
          <w:tcPr>
            <w:tcW w:w="1985" w:type="dxa"/>
            <w:gridSpan w:val="3"/>
            <w:vAlign w:val="center"/>
          </w:tcPr>
          <w:p>
            <w:pPr>
              <w:tabs>
                <w:tab w:val="left" w:pos="7088"/>
              </w:tabs>
              <w:jc w:val="center"/>
              <w:rPr>
                <w:b/>
                <w:sz w:val="28"/>
                <w:szCs w:val="28"/>
              </w:rPr>
            </w:pPr>
            <w:r>
              <w:rPr>
                <w:rFonts w:hint="eastAsia"/>
                <w:b/>
                <w:sz w:val="30"/>
                <w:szCs w:val="30"/>
              </w:rPr>
              <w:t>信息确认</w:t>
            </w:r>
          </w:p>
        </w:tc>
        <w:tc>
          <w:tcPr>
            <w:tcW w:w="2693" w:type="dxa"/>
            <w:gridSpan w:val="2"/>
            <w:vAlign w:val="center"/>
          </w:tcPr>
          <w:p>
            <w:pPr>
              <w:tabs>
                <w:tab w:val="left" w:pos="7088"/>
              </w:tabs>
              <w:jc w:val="center"/>
              <w:rPr>
                <w:sz w:val="28"/>
                <w:szCs w:val="28"/>
              </w:rPr>
            </w:pPr>
            <w:r>
              <w:rPr>
                <w:rFonts w:hint="eastAsia"/>
                <w:sz w:val="28"/>
                <w:szCs w:val="28"/>
              </w:rPr>
              <w:t>彭宇飞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78" w:hRule="atLeast"/>
        </w:trPr>
        <w:tc>
          <w:tcPr>
            <w:tcW w:w="2127" w:type="dxa"/>
            <w:tcBorders>
              <w:bottom w:val="single" w:color="auto" w:sz="4" w:space="0"/>
            </w:tcBorders>
            <w:vAlign w:val="center"/>
          </w:tcPr>
          <w:p>
            <w:pPr>
              <w:tabs>
                <w:tab w:val="left" w:pos="7088"/>
              </w:tabs>
              <w:ind w:firstLine="301" w:firstLineChars="100"/>
              <w:rPr>
                <w:b/>
                <w:sz w:val="30"/>
                <w:szCs w:val="30"/>
              </w:rPr>
            </w:pPr>
            <w:r>
              <w:rPr>
                <w:rFonts w:hint="eastAsia"/>
                <w:b/>
                <w:sz w:val="30"/>
                <w:szCs w:val="30"/>
              </w:rPr>
              <w:t>确认</w:t>
            </w:r>
            <w:r>
              <w:rPr>
                <w:b/>
                <w:sz w:val="30"/>
                <w:szCs w:val="30"/>
              </w:rPr>
              <w:t>结果</w:t>
            </w:r>
          </w:p>
        </w:tc>
        <w:tc>
          <w:tcPr>
            <w:tcW w:w="6946" w:type="dxa"/>
            <w:gridSpan w:val="7"/>
            <w:tcBorders>
              <w:bottom w:val="single" w:color="auto" w:sz="4" w:space="0"/>
            </w:tcBorders>
            <w:vAlign w:val="center"/>
          </w:tcPr>
          <w:p>
            <w:pPr>
              <w:tabs>
                <w:tab w:val="left" w:pos="7088"/>
              </w:tabs>
              <w:jc w:val="left"/>
              <w:rPr>
                <w:sz w:val="28"/>
                <w:szCs w:val="28"/>
              </w:rPr>
            </w:pPr>
            <w:r>
              <w:rPr>
                <w:rFonts w:hint="eastAsia" w:asciiTheme="minorEastAsia" w:hAnsiTheme="minorEastAsia" w:eastAsiaTheme="minorEastAsia"/>
                <w:sz w:val="28"/>
                <w:szCs w:val="28"/>
              </w:rPr>
              <w:t>来源：西普会中康科技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58" w:hRule="atLeast"/>
        </w:trPr>
        <w:tc>
          <w:tcPr>
            <w:tcW w:w="2127" w:type="dxa"/>
            <w:tcBorders>
              <w:top w:val="single" w:color="auto" w:sz="4" w:space="0"/>
            </w:tcBorders>
            <w:vAlign w:val="center"/>
          </w:tcPr>
          <w:p>
            <w:pPr>
              <w:tabs>
                <w:tab w:val="left" w:pos="7088"/>
              </w:tabs>
              <w:jc w:val="center"/>
              <w:rPr>
                <w:b/>
                <w:sz w:val="30"/>
                <w:szCs w:val="30"/>
              </w:rPr>
            </w:pPr>
            <w:r>
              <w:rPr>
                <w:rFonts w:hint="eastAsia"/>
                <w:b/>
                <w:sz w:val="30"/>
                <w:szCs w:val="30"/>
              </w:rPr>
              <w:t>关键词</w:t>
            </w:r>
          </w:p>
        </w:tc>
        <w:tc>
          <w:tcPr>
            <w:tcW w:w="6946" w:type="dxa"/>
            <w:gridSpan w:val="7"/>
            <w:tcBorders>
              <w:top w:val="single" w:color="auto" w:sz="4" w:space="0"/>
            </w:tcBorders>
            <w:vAlign w:val="center"/>
          </w:tcPr>
          <w:p>
            <w:pPr>
              <w:tabs>
                <w:tab w:val="left" w:pos="7088"/>
              </w:tabs>
              <w:jc w:val="left"/>
              <w:rPr>
                <w:rFonts w:cs="宋体" w:asciiTheme="minorEastAsia" w:hAnsiTheme="minorEastAsia" w:eastAsiaTheme="minorEastAsia"/>
                <w:kern w:val="0"/>
                <w:sz w:val="28"/>
                <w:szCs w:val="28"/>
              </w:rPr>
            </w:pPr>
            <w:r>
              <w:rPr>
                <w:rFonts w:hint="eastAsia" w:cs="宋体" w:asciiTheme="minorEastAsia" w:hAnsiTheme="minorEastAsia" w:eastAsiaTheme="minorEastAsia"/>
                <w:kern w:val="0"/>
                <w:sz w:val="28"/>
                <w:szCs w:val="28"/>
              </w:rPr>
              <w:t xml:space="preserve">健康产业  需求  结构  趋势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79" w:hRule="atLeast"/>
        </w:trPr>
        <w:tc>
          <w:tcPr>
            <w:tcW w:w="2127" w:type="dxa"/>
            <w:vAlign w:val="center"/>
          </w:tcPr>
          <w:p>
            <w:pPr>
              <w:tabs>
                <w:tab w:val="left" w:pos="7088"/>
              </w:tabs>
              <w:jc w:val="center"/>
              <w:rPr>
                <w:b/>
                <w:sz w:val="30"/>
                <w:szCs w:val="30"/>
              </w:rPr>
            </w:pPr>
            <w:r>
              <w:rPr>
                <w:b/>
                <w:sz w:val="30"/>
                <w:szCs w:val="30"/>
              </w:rPr>
              <w:t>内容概要</w:t>
            </w:r>
          </w:p>
        </w:tc>
        <w:tc>
          <w:tcPr>
            <w:tcW w:w="6946" w:type="dxa"/>
            <w:gridSpan w:val="7"/>
          </w:tcPr>
          <w:p>
            <w:pPr>
              <w:ind w:firstLine="560" w:firstLineChars="200"/>
              <w:rPr>
                <w:rFonts w:asciiTheme="minorEastAsia" w:hAnsiTheme="minorEastAsia"/>
                <w:sz w:val="28"/>
                <w:szCs w:val="28"/>
                <w:shd w:val="clear" w:color="auto" w:fill="FFFFFF"/>
              </w:rPr>
            </w:pPr>
          </w:p>
          <w:p>
            <w:pPr>
              <w:ind w:firstLine="560" w:firstLineChars="200"/>
              <w:rPr>
                <w:rFonts w:asciiTheme="minorEastAsia" w:hAnsiTheme="minorEastAsia"/>
                <w:sz w:val="28"/>
                <w:szCs w:val="28"/>
                <w:shd w:val="clear" w:color="auto" w:fill="FFFFFF"/>
              </w:rPr>
            </w:pPr>
          </w:p>
          <w:p>
            <w:pPr>
              <w:ind w:firstLine="560" w:firstLineChars="200"/>
              <w:rPr>
                <w:rFonts w:asciiTheme="minorEastAsia" w:hAnsiTheme="minorEastAsia"/>
                <w:sz w:val="28"/>
                <w:szCs w:val="28"/>
                <w:shd w:val="clear" w:color="auto" w:fill="FFFFFF"/>
              </w:rPr>
            </w:pPr>
          </w:p>
          <w:p>
            <w:pPr>
              <w:ind w:firstLine="560" w:firstLineChars="200"/>
              <w:rPr>
                <w:rFonts w:asciiTheme="minorEastAsia" w:hAnsiTheme="minorEastAsia"/>
                <w:sz w:val="28"/>
                <w:szCs w:val="28"/>
                <w:shd w:val="clear" w:color="auto" w:fill="FFFFFF"/>
              </w:rPr>
            </w:pPr>
          </w:p>
          <w:p>
            <w:pPr>
              <w:ind w:firstLine="560" w:firstLineChars="200"/>
              <w:jc w:val="left"/>
              <w:rPr>
                <w:rFonts w:asciiTheme="minorEastAsia" w:hAnsiTheme="minorEastAsia"/>
                <w:sz w:val="28"/>
                <w:szCs w:val="28"/>
                <w:shd w:val="clear" w:color="auto" w:fill="FFFFFF"/>
              </w:rPr>
            </w:pPr>
            <w:r>
              <w:rPr>
                <w:rFonts w:hint="eastAsia" w:asciiTheme="minorEastAsia" w:hAnsiTheme="minorEastAsia"/>
                <w:sz w:val="28"/>
                <w:szCs w:val="28"/>
                <w:shd w:val="clear" w:color="auto" w:fill="FFFFFF"/>
              </w:rPr>
              <w:t>1、医疗卫生需求转变</w:t>
            </w:r>
          </w:p>
          <w:p>
            <w:pPr>
              <w:ind w:firstLine="560" w:firstLineChars="200"/>
              <w:jc w:val="left"/>
              <w:rPr>
                <w:rFonts w:asciiTheme="minorEastAsia" w:hAnsiTheme="minorEastAsia"/>
                <w:bCs/>
                <w:sz w:val="28"/>
                <w:szCs w:val="28"/>
                <w:shd w:val="clear" w:color="auto" w:fill="FFFFFF"/>
              </w:rPr>
            </w:pPr>
            <w:r>
              <w:rPr>
                <w:rFonts w:hint="eastAsia" w:asciiTheme="minorEastAsia" w:hAnsiTheme="minorEastAsia"/>
                <w:bCs/>
                <w:sz w:val="28"/>
                <w:szCs w:val="28"/>
                <w:shd w:val="clear" w:color="auto" w:fill="FFFFFF"/>
              </w:rPr>
              <w:t>2、健康中国政策驱动</w:t>
            </w:r>
          </w:p>
          <w:p>
            <w:pPr>
              <w:ind w:firstLine="560" w:firstLineChars="200"/>
              <w:jc w:val="left"/>
              <w:rPr>
                <w:rFonts w:asciiTheme="minorEastAsia" w:hAnsiTheme="minorEastAsia"/>
                <w:bCs/>
                <w:sz w:val="28"/>
                <w:szCs w:val="28"/>
                <w:shd w:val="clear" w:color="auto" w:fill="FFFFFF"/>
              </w:rPr>
            </w:pPr>
            <w:r>
              <w:rPr>
                <w:rFonts w:hint="eastAsia" w:asciiTheme="minorEastAsia" w:hAnsiTheme="minorEastAsia"/>
                <w:bCs/>
                <w:sz w:val="28"/>
                <w:szCs w:val="28"/>
                <w:shd w:val="clear" w:color="auto" w:fill="FFFFFF"/>
              </w:rPr>
              <w:t>3、产业结构趋向多元</w:t>
            </w:r>
          </w:p>
          <w:p>
            <w:pPr>
              <w:ind w:firstLine="482" w:firstLineChars="200"/>
              <w:jc w:val="left"/>
              <w:rPr>
                <w:rStyle w:val="13"/>
                <w:rFonts w:cs="Helvetica"/>
                <w:spacing w:val="15"/>
              </w:rPr>
            </w:pPr>
          </w:p>
          <w:p>
            <w:pPr>
              <w:ind w:firstLine="482" w:firstLineChars="200"/>
              <w:jc w:val="left"/>
              <w:rPr>
                <w:rStyle w:val="13"/>
                <w:rFonts w:cs="Helvetica"/>
                <w:spacing w:val="15"/>
              </w:rPr>
            </w:pPr>
          </w:p>
          <w:p>
            <w:pPr>
              <w:ind w:firstLine="560" w:firstLineChars="200"/>
              <w:jc w:val="left"/>
              <w:rPr>
                <w:rFonts w:asciiTheme="minorEastAsia" w:hAnsiTheme="minorEastAsia"/>
                <w:sz w:val="28"/>
                <w:szCs w:val="28"/>
                <w:shd w:val="clear" w:color="auto" w:fill="FFFFFF"/>
              </w:rPr>
            </w:pPr>
          </w:p>
          <w:p>
            <w:pPr>
              <w:ind w:firstLine="560" w:firstLineChars="200"/>
              <w:jc w:val="left"/>
              <w:rPr>
                <w:rFonts w:asciiTheme="minorEastAsia" w:hAnsiTheme="minorEastAsia"/>
                <w:sz w:val="28"/>
                <w:szCs w:val="28"/>
                <w:shd w:val="clear" w:color="auto" w:fill="FFFFFF"/>
              </w:rPr>
            </w:pPr>
          </w:p>
          <w:p>
            <w:pPr>
              <w:ind w:firstLine="560" w:firstLineChars="200"/>
              <w:jc w:val="left"/>
              <w:rPr>
                <w:rFonts w:asciiTheme="minorEastAsia" w:hAnsiTheme="minorEastAsia"/>
                <w:sz w:val="28"/>
                <w:szCs w:val="28"/>
                <w:shd w:val="clear" w:color="auto" w:fill="FFFFFF"/>
              </w:rPr>
            </w:pPr>
          </w:p>
          <w:p>
            <w:pPr>
              <w:ind w:firstLine="560" w:firstLineChars="200"/>
              <w:jc w:val="left"/>
              <w:rPr>
                <w:rFonts w:asciiTheme="minorEastAsia" w:hAnsiTheme="minorEastAsia"/>
                <w:sz w:val="28"/>
                <w:szCs w:val="28"/>
                <w:shd w:val="clear" w:color="auto" w:fill="FFFFFF"/>
              </w:rPr>
            </w:pPr>
          </w:p>
          <w:p>
            <w:pPr>
              <w:ind w:firstLine="560" w:firstLineChars="200"/>
              <w:jc w:val="left"/>
              <w:rPr>
                <w:rFonts w:asciiTheme="minorEastAsia" w:hAnsiTheme="minorEastAsia"/>
                <w:sz w:val="28"/>
                <w:szCs w:val="28"/>
                <w:shd w:val="clear" w:color="auto" w:fill="FFFFFF"/>
              </w:rPr>
            </w:pPr>
          </w:p>
          <w:p>
            <w:pPr>
              <w:ind w:left="560"/>
              <w:rPr>
                <w:rFonts w:asciiTheme="minorEastAsia" w:hAnsiTheme="minorEastAsia"/>
                <w:sz w:val="28"/>
                <w:szCs w:val="28"/>
                <w:shd w:val="clear" w:color="auto" w:fill="FFFFFF"/>
              </w:rPr>
            </w:pPr>
          </w:p>
          <w:p>
            <w:pPr>
              <w:widowControl/>
              <w:shd w:val="clear" w:color="auto" w:fill="FFFFFF"/>
              <w:spacing w:after="190"/>
              <w:outlineLvl w:val="1"/>
              <w:rPr>
                <w:rFonts w:asciiTheme="minorEastAsia" w:hAnsiTheme="minorEastAsia"/>
                <w:sz w:val="28"/>
                <w:szCs w:val="28"/>
                <w:shd w:val="clear" w:color="auto" w:fill="FFFFFF"/>
              </w:rPr>
            </w:pPr>
            <w:r>
              <w:rPr>
                <w:rFonts w:hint="eastAsia"/>
              </w:rPr>
              <w:t>附件4: 2030中国健康产业全景预测</w:t>
            </w:r>
          </w:p>
        </w:tc>
      </w:tr>
    </w:tbl>
    <w:p>
      <w:pPr>
        <w:jc w:val="left"/>
        <w:rPr>
          <w:rFonts w:ascii="微软雅黑" w:hAnsi="微软雅黑" w:eastAsia="微软雅黑" w:cs="宋体"/>
          <w:b/>
          <w:color w:val="333333"/>
          <w:kern w:val="36"/>
          <w:sz w:val="24"/>
        </w:rPr>
        <w:sectPr>
          <w:footerReference r:id="rId3" w:type="default"/>
          <w:pgSz w:w="11906" w:h="16838"/>
          <w:pgMar w:top="1440" w:right="1797" w:bottom="1134" w:left="1797" w:header="851" w:footer="992" w:gutter="0"/>
          <w:cols w:space="425" w:num="1"/>
          <w:titlePg/>
          <w:docGrid w:type="lines" w:linePitch="312" w:charSpace="0"/>
        </w:sectPr>
      </w:pPr>
    </w:p>
    <w:tbl>
      <w:tblPr>
        <w:tblStyle w:val="11"/>
        <w:tblpPr w:leftFromText="180" w:rightFromText="180" w:vertAnchor="text" w:horzAnchor="margin" w:tblpXSpec="center" w:tblpY="347"/>
        <w:tblW w:w="9039"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088"/>
        <w:gridCol w:w="2341"/>
        <w:gridCol w:w="2341"/>
        <w:gridCol w:w="226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41" w:hRule="atLeast"/>
        </w:trPr>
        <w:tc>
          <w:tcPr>
            <w:tcW w:w="2088" w:type="dxa"/>
            <w:vAlign w:val="center"/>
          </w:tcPr>
          <w:p>
            <w:pPr>
              <w:tabs>
                <w:tab w:val="left" w:pos="7088"/>
              </w:tabs>
              <w:jc w:val="center"/>
              <w:rPr>
                <w:b/>
                <w:sz w:val="30"/>
                <w:szCs w:val="30"/>
              </w:rPr>
            </w:pPr>
            <w:r>
              <w:rPr>
                <w:rFonts w:hint="eastAsia"/>
                <w:b/>
                <w:sz w:val="30"/>
                <w:szCs w:val="30"/>
              </w:rPr>
              <w:t>信息05</w:t>
            </w:r>
          </w:p>
        </w:tc>
        <w:tc>
          <w:tcPr>
            <w:tcW w:w="6951" w:type="dxa"/>
            <w:gridSpan w:val="3"/>
            <w:vAlign w:val="center"/>
          </w:tcPr>
          <w:p>
            <w:pPr>
              <w:widowControl/>
              <w:shd w:val="clear" w:color="auto" w:fill="FFFFFF"/>
              <w:spacing w:after="210"/>
              <w:jc w:val="left"/>
              <w:outlineLvl w:val="1"/>
              <w:rPr>
                <w:b/>
                <w:bCs/>
                <w:sz w:val="32"/>
                <w:szCs w:val="32"/>
              </w:rPr>
            </w:pPr>
            <w:r>
              <w:rPr>
                <w:rFonts w:hint="eastAsia" w:asciiTheme="minorEastAsia" w:hAnsiTheme="minorEastAsia" w:eastAsiaTheme="minorEastAsia"/>
                <w:b/>
                <w:sz w:val="36"/>
                <w:szCs w:val="36"/>
              </w:rPr>
              <w:t>九洲大药房如何实现三年市占翻三倍！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38" w:hRule="atLeast"/>
        </w:trPr>
        <w:tc>
          <w:tcPr>
            <w:tcW w:w="2088" w:type="dxa"/>
            <w:vAlign w:val="center"/>
          </w:tcPr>
          <w:p>
            <w:pPr>
              <w:tabs>
                <w:tab w:val="left" w:pos="7088"/>
              </w:tabs>
              <w:jc w:val="center"/>
              <w:rPr>
                <w:sz w:val="30"/>
                <w:szCs w:val="30"/>
              </w:rPr>
            </w:pPr>
            <w:r>
              <w:rPr>
                <w:rFonts w:hint="eastAsia"/>
                <w:b/>
                <w:sz w:val="30"/>
                <w:szCs w:val="30"/>
              </w:rPr>
              <w:t>发布</w:t>
            </w:r>
            <w:r>
              <w:rPr>
                <w:b/>
                <w:sz w:val="30"/>
                <w:szCs w:val="30"/>
              </w:rPr>
              <w:t>时间</w:t>
            </w:r>
          </w:p>
        </w:tc>
        <w:tc>
          <w:tcPr>
            <w:tcW w:w="2341" w:type="dxa"/>
            <w:vAlign w:val="center"/>
          </w:tcPr>
          <w:p>
            <w:pPr>
              <w:tabs>
                <w:tab w:val="left" w:pos="7088"/>
              </w:tabs>
              <w:jc w:val="center"/>
              <w:rPr>
                <w:rFonts w:asciiTheme="minorEastAsia" w:hAnsiTheme="minorEastAsia" w:eastAsiaTheme="minorEastAsia"/>
                <w:sz w:val="30"/>
                <w:szCs w:val="30"/>
              </w:rPr>
            </w:pPr>
            <w:r>
              <w:rPr>
                <w:rFonts w:asciiTheme="minorEastAsia" w:hAnsiTheme="minorEastAsia" w:eastAsiaTheme="minorEastAsia"/>
                <w:sz w:val="30"/>
                <w:szCs w:val="30"/>
              </w:rPr>
              <w:t>202</w:t>
            </w:r>
            <w:r>
              <w:rPr>
                <w:rFonts w:hint="eastAsia" w:asciiTheme="minorEastAsia" w:hAnsiTheme="minorEastAsia" w:eastAsiaTheme="minorEastAsia"/>
                <w:sz w:val="30"/>
                <w:szCs w:val="30"/>
              </w:rPr>
              <w:t>3</w:t>
            </w:r>
            <w:r>
              <w:rPr>
                <w:rFonts w:asciiTheme="minorEastAsia" w:hAnsiTheme="minorEastAsia" w:eastAsiaTheme="minorEastAsia"/>
                <w:sz w:val="30"/>
                <w:szCs w:val="30"/>
              </w:rPr>
              <w:t>-7-31</w:t>
            </w:r>
          </w:p>
        </w:tc>
        <w:tc>
          <w:tcPr>
            <w:tcW w:w="2341" w:type="dxa"/>
            <w:vAlign w:val="center"/>
          </w:tcPr>
          <w:p>
            <w:pPr>
              <w:tabs>
                <w:tab w:val="left" w:pos="7088"/>
              </w:tabs>
              <w:jc w:val="center"/>
              <w:rPr>
                <w:b/>
                <w:sz w:val="30"/>
                <w:szCs w:val="30"/>
              </w:rPr>
            </w:pPr>
            <w:r>
              <w:rPr>
                <w:rFonts w:hint="eastAsia"/>
                <w:b/>
                <w:sz w:val="30"/>
                <w:szCs w:val="30"/>
              </w:rPr>
              <w:t>信息来源</w:t>
            </w:r>
          </w:p>
        </w:tc>
        <w:tc>
          <w:tcPr>
            <w:tcW w:w="2269" w:type="dxa"/>
            <w:vAlign w:val="center"/>
          </w:tcPr>
          <w:p>
            <w:pPr>
              <w:tabs>
                <w:tab w:val="left" w:pos="7088"/>
              </w:tabs>
              <w:jc w:val="center"/>
              <w:rPr>
                <w:sz w:val="28"/>
                <w:szCs w:val="28"/>
              </w:rPr>
            </w:pPr>
            <w:r>
              <w:rPr>
                <w:rFonts w:hint="eastAsia"/>
                <w:sz w:val="28"/>
                <w:szCs w:val="28"/>
              </w:rPr>
              <w:t>第一药店财智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50" w:hRule="atLeast"/>
        </w:trPr>
        <w:tc>
          <w:tcPr>
            <w:tcW w:w="2088" w:type="dxa"/>
            <w:vAlign w:val="center"/>
          </w:tcPr>
          <w:p>
            <w:pPr>
              <w:tabs>
                <w:tab w:val="left" w:pos="7088"/>
              </w:tabs>
              <w:jc w:val="center"/>
              <w:rPr>
                <w:b/>
                <w:sz w:val="30"/>
                <w:szCs w:val="30"/>
              </w:rPr>
            </w:pPr>
            <w:r>
              <w:rPr>
                <w:rFonts w:hint="eastAsia"/>
                <w:b/>
                <w:sz w:val="30"/>
                <w:szCs w:val="30"/>
              </w:rPr>
              <w:t>信息</w:t>
            </w:r>
            <w:r>
              <w:rPr>
                <w:b/>
                <w:sz w:val="30"/>
                <w:szCs w:val="30"/>
              </w:rPr>
              <w:t>提供</w:t>
            </w:r>
          </w:p>
        </w:tc>
        <w:tc>
          <w:tcPr>
            <w:tcW w:w="2341" w:type="dxa"/>
            <w:vAlign w:val="center"/>
          </w:tcPr>
          <w:p>
            <w:pPr>
              <w:tabs>
                <w:tab w:val="left" w:pos="7088"/>
              </w:tabs>
              <w:jc w:val="center"/>
              <w:rPr>
                <w:sz w:val="30"/>
                <w:szCs w:val="30"/>
              </w:rPr>
            </w:pPr>
            <w:r>
              <w:rPr>
                <w:rFonts w:hint="eastAsia"/>
                <w:sz w:val="28"/>
                <w:szCs w:val="28"/>
              </w:rPr>
              <w:t>运营管理部</w:t>
            </w:r>
          </w:p>
        </w:tc>
        <w:tc>
          <w:tcPr>
            <w:tcW w:w="2341" w:type="dxa"/>
            <w:vAlign w:val="center"/>
          </w:tcPr>
          <w:p>
            <w:pPr>
              <w:tabs>
                <w:tab w:val="left" w:pos="7088"/>
              </w:tabs>
              <w:jc w:val="center"/>
              <w:rPr>
                <w:b/>
                <w:sz w:val="30"/>
                <w:szCs w:val="30"/>
              </w:rPr>
            </w:pPr>
            <w:r>
              <w:rPr>
                <w:rFonts w:hint="eastAsia"/>
                <w:b/>
                <w:sz w:val="30"/>
                <w:szCs w:val="30"/>
              </w:rPr>
              <w:t>信息确认</w:t>
            </w:r>
          </w:p>
        </w:tc>
        <w:tc>
          <w:tcPr>
            <w:tcW w:w="2269" w:type="dxa"/>
            <w:vAlign w:val="center"/>
          </w:tcPr>
          <w:p>
            <w:pPr>
              <w:tabs>
                <w:tab w:val="left" w:pos="7088"/>
              </w:tabs>
              <w:jc w:val="center"/>
              <w:rPr>
                <w:sz w:val="30"/>
                <w:szCs w:val="30"/>
              </w:rPr>
            </w:pPr>
            <w:r>
              <w:rPr>
                <w:rFonts w:hint="eastAsia"/>
                <w:sz w:val="30"/>
                <w:szCs w:val="30"/>
              </w:rPr>
              <w:t>彭宇飞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12" w:hRule="atLeast"/>
        </w:trPr>
        <w:tc>
          <w:tcPr>
            <w:tcW w:w="2088" w:type="dxa"/>
            <w:tcBorders>
              <w:bottom w:val="single" w:color="auto" w:sz="4" w:space="0"/>
            </w:tcBorders>
            <w:vAlign w:val="center"/>
          </w:tcPr>
          <w:p>
            <w:pPr>
              <w:tabs>
                <w:tab w:val="left" w:pos="7088"/>
              </w:tabs>
              <w:ind w:firstLine="452" w:firstLineChars="150"/>
              <w:rPr>
                <w:b/>
                <w:sz w:val="30"/>
                <w:szCs w:val="30"/>
              </w:rPr>
            </w:pPr>
            <w:r>
              <w:rPr>
                <w:rFonts w:hint="eastAsia"/>
                <w:b/>
                <w:sz w:val="30"/>
                <w:szCs w:val="30"/>
              </w:rPr>
              <w:t>确认</w:t>
            </w:r>
            <w:r>
              <w:rPr>
                <w:b/>
                <w:sz w:val="30"/>
                <w:szCs w:val="30"/>
              </w:rPr>
              <w:t>结果</w:t>
            </w:r>
          </w:p>
        </w:tc>
        <w:tc>
          <w:tcPr>
            <w:tcW w:w="6951" w:type="dxa"/>
            <w:gridSpan w:val="3"/>
            <w:tcBorders>
              <w:bottom w:val="single" w:color="auto" w:sz="4" w:space="0"/>
            </w:tcBorders>
            <w:vAlign w:val="center"/>
          </w:tcPr>
          <w:p>
            <w:pPr>
              <w:tabs>
                <w:tab w:val="left" w:pos="7088"/>
              </w:tabs>
              <w:jc w:val="left"/>
              <w:rPr>
                <w:sz w:val="28"/>
                <w:szCs w:val="28"/>
              </w:rPr>
            </w:pPr>
            <w:r>
              <w:rPr>
                <w:rFonts w:hint="eastAsia"/>
                <w:sz w:val="28"/>
                <w:szCs w:val="28"/>
              </w:rPr>
              <w:t>来源：第一药店财智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45" w:hRule="atLeast"/>
        </w:trPr>
        <w:tc>
          <w:tcPr>
            <w:tcW w:w="2088" w:type="dxa"/>
            <w:tcBorders>
              <w:top w:val="single" w:color="auto" w:sz="4" w:space="0"/>
            </w:tcBorders>
            <w:vAlign w:val="center"/>
          </w:tcPr>
          <w:p>
            <w:pPr>
              <w:tabs>
                <w:tab w:val="left" w:pos="7088"/>
              </w:tabs>
              <w:jc w:val="center"/>
              <w:rPr>
                <w:b/>
                <w:sz w:val="30"/>
                <w:szCs w:val="30"/>
              </w:rPr>
            </w:pPr>
            <w:r>
              <w:rPr>
                <w:rFonts w:hint="eastAsia"/>
                <w:b/>
                <w:sz w:val="30"/>
                <w:szCs w:val="30"/>
              </w:rPr>
              <w:t>关键词</w:t>
            </w:r>
          </w:p>
        </w:tc>
        <w:tc>
          <w:tcPr>
            <w:tcW w:w="6951" w:type="dxa"/>
            <w:gridSpan w:val="3"/>
            <w:tcBorders>
              <w:top w:val="single" w:color="auto" w:sz="4" w:space="0"/>
            </w:tcBorders>
            <w:vAlign w:val="center"/>
          </w:tcPr>
          <w:p>
            <w:pPr>
              <w:tabs>
                <w:tab w:val="left" w:pos="7088"/>
              </w:tabs>
              <w:jc w:val="left"/>
              <w:rPr>
                <w:rFonts w:cs="宋体" w:asciiTheme="majorEastAsia" w:hAnsiTheme="majorEastAsia" w:eastAsiaTheme="majorEastAsia"/>
                <w:kern w:val="0"/>
                <w:sz w:val="30"/>
                <w:szCs w:val="30"/>
              </w:rPr>
            </w:pPr>
            <w:r>
              <w:rPr>
                <w:rFonts w:hint="eastAsia" w:cs="宋体" w:asciiTheme="majorEastAsia" w:hAnsiTheme="majorEastAsia" w:eastAsiaTheme="majorEastAsia"/>
                <w:kern w:val="0"/>
                <w:sz w:val="30"/>
                <w:szCs w:val="30"/>
              </w:rPr>
              <w:t>市占比  运营  业务  融合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76" w:hRule="atLeast"/>
        </w:trPr>
        <w:tc>
          <w:tcPr>
            <w:tcW w:w="2088" w:type="dxa"/>
            <w:vAlign w:val="center"/>
          </w:tcPr>
          <w:p>
            <w:pPr>
              <w:tabs>
                <w:tab w:val="left" w:pos="7088"/>
              </w:tabs>
              <w:jc w:val="center"/>
              <w:rPr>
                <w:b/>
                <w:sz w:val="30"/>
                <w:szCs w:val="30"/>
              </w:rPr>
            </w:pPr>
            <w:r>
              <w:rPr>
                <w:b/>
                <w:sz w:val="30"/>
                <w:szCs w:val="30"/>
              </w:rPr>
              <w:t>内容概要</w:t>
            </w:r>
          </w:p>
        </w:tc>
        <w:tc>
          <w:tcPr>
            <w:tcW w:w="6951" w:type="dxa"/>
            <w:gridSpan w:val="3"/>
            <w:vAlign w:val="center"/>
          </w:tcPr>
          <w:p>
            <w:pPr>
              <w:rPr>
                <w:rFonts w:asciiTheme="minorEastAsia" w:hAnsiTheme="minorEastAsia"/>
                <w:sz w:val="28"/>
                <w:szCs w:val="28"/>
              </w:rPr>
            </w:pPr>
          </w:p>
          <w:p>
            <w:pPr>
              <w:rPr>
                <w:rFonts w:asciiTheme="minorEastAsia" w:hAnsiTheme="minorEastAsia"/>
                <w:sz w:val="28"/>
                <w:szCs w:val="28"/>
              </w:rPr>
            </w:pPr>
          </w:p>
          <w:p>
            <w:pPr>
              <w:spacing w:line="480" w:lineRule="auto"/>
              <w:ind w:firstLine="560" w:firstLineChars="200"/>
              <w:rPr>
                <w:rFonts w:cs="宋体" w:asciiTheme="minorEastAsia" w:hAnsiTheme="minorEastAsia" w:eastAsiaTheme="minorEastAsia"/>
                <w:kern w:val="0"/>
                <w:sz w:val="28"/>
                <w:szCs w:val="28"/>
              </w:rPr>
            </w:pPr>
            <w:r>
              <w:rPr>
                <w:rFonts w:hint="eastAsia" w:asciiTheme="minorEastAsia" w:hAnsiTheme="minorEastAsia"/>
                <w:sz w:val="28"/>
                <w:szCs w:val="28"/>
              </w:rPr>
              <w:t>位于浙江的区域连锁——九洲大药房，依靠着深度挖掘和不断迭代的运营策略，在没有体量优势、商品成本优势和总部运营支持优势的情况下，在与全国大型连锁的竞争中，交易额市场占比从2021年的7%左右，提升到2023年的20%，实现市场份额翻倍。</w:t>
            </w:r>
          </w:p>
          <w:p>
            <w:pPr>
              <w:pStyle w:val="21"/>
              <w:numPr>
                <w:ilvl w:val="0"/>
                <w:numId w:val="4"/>
              </w:numPr>
              <w:spacing w:line="480" w:lineRule="auto"/>
              <w:ind w:firstLineChars="0"/>
              <w:rPr>
                <w:rStyle w:val="13"/>
                <w:rFonts w:cs="Helvetica" w:asciiTheme="minorEastAsia" w:hAnsiTheme="minorEastAsia"/>
                <w:b w:val="0"/>
                <w:bCs w:val="0"/>
                <w:spacing w:val="15"/>
                <w:sz w:val="28"/>
                <w:szCs w:val="28"/>
              </w:rPr>
            </w:pPr>
            <w:r>
              <w:rPr>
                <w:rStyle w:val="13"/>
                <w:rFonts w:hint="eastAsia" w:cs="Helvetica" w:asciiTheme="minorEastAsia" w:hAnsiTheme="minorEastAsia"/>
                <w:b w:val="0"/>
                <w:bCs w:val="0"/>
                <w:spacing w:val="15"/>
                <w:sz w:val="28"/>
                <w:szCs w:val="28"/>
              </w:rPr>
              <w:t>全力发展“线上化”。商品运营、用户运</w:t>
            </w:r>
          </w:p>
          <w:p>
            <w:pPr>
              <w:spacing w:line="480" w:lineRule="auto"/>
              <w:ind w:left="564"/>
              <w:rPr>
                <w:rStyle w:val="13"/>
                <w:rFonts w:cs="Helvetica" w:asciiTheme="minorEastAsia" w:hAnsiTheme="minorEastAsia"/>
                <w:b w:val="0"/>
                <w:bCs w:val="0"/>
                <w:spacing w:val="15"/>
                <w:sz w:val="28"/>
                <w:szCs w:val="28"/>
              </w:rPr>
            </w:pPr>
            <w:r>
              <w:rPr>
                <w:rStyle w:val="13"/>
                <w:rFonts w:hint="eastAsia" w:cs="Helvetica" w:asciiTheme="minorEastAsia" w:hAnsiTheme="minorEastAsia"/>
                <w:b w:val="0"/>
                <w:bCs w:val="0"/>
                <w:spacing w:val="15"/>
                <w:sz w:val="28"/>
                <w:szCs w:val="28"/>
              </w:rPr>
              <w:t>营和门店运营相结合</w:t>
            </w:r>
          </w:p>
          <w:p>
            <w:pPr>
              <w:pStyle w:val="21"/>
              <w:numPr>
                <w:ilvl w:val="0"/>
                <w:numId w:val="4"/>
              </w:numPr>
              <w:spacing w:line="480" w:lineRule="auto"/>
              <w:ind w:firstLineChars="0"/>
              <w:rPr>
                <w:rFonts w:cs="宋体" w:asciiTheme="minorEastAsia" w:hAnsiTheme="minorEastAsia" w:eastAsiaTheme="minorEastAsia"/>
                <w:kern w:val="0"/>
                <w:sz w:val="28"/>
                <w:szCs w:val="28"/>
              </w:rPr>
            </w:pPr>
            <w:r>
              <w:rPr>
                <w:rFonts w:hint="eastAsia" w:cs="宋体" w:asciiTheme="minorEastAsia" w:hAnsiTheme="minorEastAsia" w:eastAsiaTheme="minorEastAsia"/>
                <w:kern w:val="0"/>
                <w:sz w:val="28"/>
                <w:szCs w:val="28"/>
              </w:rPr>
              <w:t>将原有线下门店进行线上化数字化升级，让线</w:t>
            </w:r>
          </w:p>
          <w:p>
            <w:pPr>
              <w:spacing w:line="480" w:lineRule="auto"/>
              <w:ind w:left="564"/>
              <w:rPr>
                <w:rFonts w:cs="宋体" w:asciiTheme="minorEastAsia" w:hAnsiTheme="minorEastAsia" w:eastAsiaTheme="minorEastAsia"/>
                <w:kern w:val="0"/>
                <w:sz w:val="28"/>
                <w:szCs w:val="28"/>
              </w:rPr>
            </w:pPr>
            <w:r>
              <w:rPr>
                <w:rFonts w:hint="eastAsia" w:cs="宋体" w:asciiTheme="minorEastAsia" w:hAnsiTheme="minorEastAsia" w:eastAsiaTheme="minorEastAsia"/>
                <w:kern w:val="0"/>
                <w:sz w:val="28"/>
                <w:szCs w:val="28"/>
              </w:rPr>
              <w:t>上线下业务在门店能够融合发展</w:t>
            </w:r>
          </w:p>
          <w:p>
            <w:pPr>
              <w:spacing w:line="480" w:lineRule="auto"/>
              <w:ind w:left="564"/>
              <w:rPr>
                <w:rFonts w:cs="宋体" w:asciiTheme="minorEastAsia" w:hAnsiTheme="minorEastAsia" w:eastAsiaTheme="minorEastAsia"/>
                <w:kern w:val="0"/>
                <w:sz w:val="28"/>
                <w:szCs w:val="28"/>
              </w:rPr>
            </w:pPr>
            <w:r>
              <w:rPr>
                <w:rFonts w:hint="eastAsia" w:cs="宋体" w:asciiTheme="minorEastAsia" w:hAnsiTheme="minorEastAsia" w:eastAsiaTheme="minorEastAsia"/>
                <w:kern w:val="0"/>
                <w:sz w:val="28"/>
                <w:szCs w:val="28"/>
              </w:rPr>
              <w:t>3、</w:t>
            </w:r>
            <w:r>
              <w:rPr>
                <w:rStyle w:val="13"/>
                <w:rFonts w:hint="eastAsia" w:asciiTheme="minorEastAsia" w:hAnsiTheme="minorEastAsia"/>
                <w:b w:val="0"/>
                <w:bCs w:val="0"/>
                <w:sz w:val="28"/>
              </w:rPr>
              <w:t>全城24小时药店布局</w:t>
            </w:r>
          </w:p>
          <w:p>
            <w:pPr>
              <w:spacing w:line="480" w:lineRule="auto"/>
              <w:rPr>
                <w:rFonts w:cs="宋体" w:asciiTheme="minorEastAsia" w:hAnsiTheme="minorEastAsia" w:eastAsiaTheme="minorEastAsia"/>
                <w:kern w:val="0"/>
                <w:sz w:val="28"/>
                <w:szCs w:val="28"/>
              </w:rPr>
            </w:pPr>
          </w:p>
          <w:p>
            <w:pPr>
              <w:spacing w:line="480" w:lineRule="auto"/>
              <w:rPr>
                <w:rFonts w:cs="宋体" w:asciiTheme="minorEastAsia" w:hAnsiTheme="minorEastAsia" w:eastAsiaTheme="minorEastAsia"/>
                <w:kern w:val="0"/>
                <w:szCs w:val="21"/>
              </w:rPr>
            </w:pPr>
          </w:p>
          <w:p>
            <w:pPr>
              <w:spacing w:line="400" w:lineRule="exact"/>
              <w:rPr>
                <w:b/>
                <w:sz w:val="32"/>
                <w:szCs w:val="32"/>
              </w:rPr>
            </w:pPr>
            <w:r>
              <w:rPr>
                <w:rFonts w:hint="eastAsia" w:ascii="宋体" w:hAnsi="宋体" w:cs="宋体"/>
                <w:kern w:val="0"/>
                <w:szCs w:val="21"/>
              </w:rPr>
              <w:t>附件5:</w:t>
            </w:r>
            <w:r>
              <w:rPr>
                <w:rFonts w:hint="eastAsia" w:ascii="宋体" w:hAnsi="宋体" w:cs="宋体"/>
                <w:b/>
                <w:kern w:val="0"/>
                <w:szCs w:val="21"/>
              </w:rPr>
              <w:t xml:space="preserve"> </w:t>
            </w:r>
            <w:r>
              <w:rPr>
                <w:rFonts w:hint="eastAsia"/>
              </w:rPr>
              <w:t>九洲大药房如何实现三年市占翻三倍！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41" w:hRule="atLeast"/>
        </w:trPr>
        <w:tc>
          <w:tcPr>
            <w:tcW w:w="2088" w:type="dxa"/>
            <w:vAlign w:val="center"/>
          </w:tcPr>
          <w:p>
            <w:pPr>
              <w:tabs>
                <w:tab w:val="left" w:pos="7088"/>
              </w:tabs>
              <w:jc w:val="center"/>
              <w:rPr>
                <w:b/>
                <w:sz w:val="30"/>
                <w:szCs w:val="30"/>
              </w:rPr>
            </w:pPr>
            <w:r>
              <w:rPr>
                <w:rFonts w:hint="eastAsia"/>
                <w:b/>
                <w:sz w:val="30"/>
                <w:szCs w:val="30"/>
              </w:rPr>
              <w:t>信息06</w:t>
            </w:r>
          </w:p>
        </w:tc>
        <w:tc>
          <w:tcPr>
            <w:tcW w:w="6951" w:type="dxa"/>
            <w:gridSpan w:val="3"/>
            <w:vAlign w:val="center"/>
          </w:tcPr>
          <w:p>
            <w:pPr>
              <w:widowControl/>
              <w:shd w:val="clear" w:color="auto" w:fill="FFFFFF"/>
              <w:spacing w:after="210"/>
              <w:jc w:val="left"/>
              <w:outlineLvl w:val="1"/>
              <w:rPr>
                <w:b/>
                <w:bCs/>
                <w:sz w:val="32"/>
                <w:szCs w:val="32"/>
              </w:rPr>
            </w:pPr>
            <w:r>
              <w:rPr>
                <w:rFonts w:hint="eastAsia" w:asciiTheme="minorEastAsia" w:hAnsiTheme="minorEastAsia" w:eastAsiaTheme="minorEastAsia"/>
                <w:b/>
                <w:sz w:val="36"/>
                <w:szCs w:val="36"/>
              </w:rPr>
              <w:t>中国医药物流发展报告（2023）重点解读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38" w:hRule="atLeast"/>
        </w:trPr>
        <w:tc>
          <w:tcPr>
            <w:tcW w:w="2088" w:type="dxa"/>
            <w:vAlign w:val="center"/>
          </w:tcPr>
          <w:p>
            <w:pPr>
              <w:tabs>
                <w:tab w:val="left" w:pos="7088"/>
              </w:tabs>
              <w:jc w:val="center"/>
              <w:rPr>
                <w:sz w:val="30"/>
                <w:szCs w:val="30"/>
              </w:rPr>
            </w:pPr>
            <w:r>
              <w:rPr>
                <w:rFonts w:hint="eastAsia"/>
                <w:b/>
                <w:sz w:val="30"/>
                <w:szCs w:val="30"/>
              </w:rPr>
              <w:t>发布</w:t>
            </w:r>
            <w:r>
              <w:rPr>
                <w:b/>
                <w:sz w:val="30"/>
                <w:szCs w:val="30"/>
              </w:rPr>
              <w:t>时间</w:t>
            </w:r>
          </w:p>
        </w:tc>
        <w:tc>
          <w:tcPr>
            <w:tcW w:w="2341" w:type="dxa"/>
            <w:vAlign w:val="center"/>
          </w:tcPr>
          <w:p>
            <w:pPr>
              <w:tabs>
                <w:tab w:val="left" w:pos="7088"/>
              </w:tabs>
              <w:jc w:val="center"/>
              <w:rPr>
                <w:rFonts w:asciiTheme="minorEastAsia" w:hAnsiTheme="minorEastAsia" w:eastAsiaTheme="minorEastAsia"/>
                <w:sz w:val="30"/>
                <w:szCs w:val="30"/>
              </w:rPr>
            </w:pPr>
            <w:r>
              <w:rPr>
                <w:rFonts w:asciiTheme="minorEastAsia" w:hAnsiTheme="minorEastAsia" w:eastAsiaTheme="minorEastAsia"/>
                <w:sz w:val="30"/>
                <w:szCs w:val="30"/>
              </w:rPr>
              <w:t>202</w:t>
            </w:r>
            <w:r>
              <w:rPr>
                <w:rFonts w:hint="eastAsia" w:asciiTheme="minorEastAsia" w:hAnsiTheme="minorEastAsia" w:eastAsiaTheme="minorEastAsia"/>
                <w:sz w:val="30"/>
                <w:szCs w:val="30"/>
              </w:rPr>
              <w:t>3</w:t>
            </w:r>
            <w:r>
              <w:rPr>
                <w:rFonts w:asciiTheme="minorEastAsia" w:hAnsiTheme="minorEastAsia" w:eastAsiaTheme="minorEastAsia"/>
                <w:sz w:val="30"/>
                <w:szCs w:val="30"/>
              </w:rPr>
              <w:t>-</w:t>
            </w:r>
            <w:r>
              <w:rPr>
                <w:rFonts w:hint="eastAsia" w:asciiTheme="minorEastAsia" w:hAnsiTheme="minorEastAsia" w:eastAsiaTheme="minorEastAsia"/>
                <w:sz w:val="30"/>
                <w:szCs w:val="30"/>
              </w:rPr>
              <w:t>8</w:t>
            </w:r>
            <w:r>
              <w:rPr>
                <w:rFonts w:asciiTheme="minorEastAsia" w:hAnsiTheme="minorEastAsia" w:eastAsiaTheme="minorEastAsia"/>
                <w:sz w:val="30"/>
                <w:szCs w:val="30"/>
              </w:rPr>
              <w:t>-</w:t>
            </w:r>
            <w:r>
              <w:rPr>
                <w:rFonts w:hint="eastAsia" w:asciiTheme="minorEastAsia" w:hAnsiTheme="minorEastAsia" w:eastAsiaTheme="minorEastAsia"/>
                <w:sz w:val="30"/>
                <w:szCs w:val="30"/>
              </w:rPr>
              <w:t>28</w:t>
            </w:r>
          </w:p>
        </w:tc>
        <w:tc>
          <w:tcPr>
            <w:tcW w:w="2341" w:type="dxa"/>
            <w:vAlign w:val="center"/>
          </w:tcPr>
          <w:p>
            <w:pPr>
              <w:tabs>
                <w:tab w:val="left" w:pos="7088"/>
              </w:tabs>
              <w:jc w:val="center"/>
              <w:rPr>
                <w:b/>
                <w:sz w:val="30"/>
                <w:szCs w:val="30"/>
              </w:rPr>
            </w:pPr>
            <w:r>
              <w:rPr>
                <w:rFonts w:hint="eastAsia"/>
                <w:b/>
                <w:sz w:val="30"/>
                <w:szCs w:val="30"/>
              </w:rPr>
              <w:t>信息来源</w:t>
            </w:r>
          </w:p>
        </w:tc>
        <w:tc>
          <w:tcPr>
            <w:tcW w:w="2269" w:type="dxa"/>
            <w:vAlign w:val="center"/>
          </w:tcPr>
          <w:p>
            <w:pPr>
              <w:tabs>
                <w:tab w:val="left" w:pos="7088"/>
              </w:tabs>
              <w:jc w:val="center"/>
              <w:rPr>
                <w:sz w:val="28"/>
                <w:szCs w:val="28"/>
              </w:rPr>
            </w:pPr>
            <w:r>
              <w:rPr>
                <w:rFonts w:hint="eastAsia"/>
                <w:sz w:val="28"/>
                <w:szCs w:val="28"/>
              </w:rPr>
              <w:t>中物联医药物流分会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50" w:hRule="atLeast"/>
        </w:trPr>
        <w:tc>
          <w:tcPr>
            <w:tcW w:w="2088" w:type="dxa"/>
            <w:vAlign w:val="center"/>
          </w:tcPr>
          <w:p>
            <w:pPr>
              <w:tabs>
                <w:tab w:val="left" w:pos="7088"/>
              </w:tabs>
              <w:jc w:val="center"/>
              <w:rPr>
                <w:b/>
                <w:sz w:val="30"/>
                <w:szCs w:val="30"/>
              </w:rPr>
            </w:pPr>
            <w:r>
              <w:rPr>
                <w:rFonts w:hint="eastAsia"/>
                <w:b/>
                <w:sz w:val="30"/>
                <w:szCs w:val="30"/>
              </w:rPr>
              <w:t>信息</w:t>
            </w:r>
            <w:r>
              <w:rPr>
                <w:b/>
                <w:sz w:val="30"/>
                <w:szCs w:val="30"/>
              </w:rPr>
              <w:t>提供</w:t>
            </w:r>
          </w:p>
        </w:tc>
        <w:tc>
          <w:tcPr>
            <w:tcW w:w="2341" w:type="dxa"/>
            <w:vAlign w:val="center"/>
          </w:tcPr>
          <w:p>
            <w:pPr>
              <w:tabs>
                <w:tab w:val="left" w:pos="7088"/>
              </w:tabs>
              <w:jc w:val="center"/>
              <w:rPr>
                <w:sz w:val="30"/>
                <w:szCs w:val="30"/>
              </w:rPr>
            </w:pPr>
            <w:r>
              <w:rPr>
                <w:rFonts w:hint="eastAsia"/>
                <w:sz w:val="28"/>
                <w:szCs w:val="28"/>
              </w:rPr>
              <w:t>运营管理部</w:t>
            </w:r>
          </w:p>
        </w:tc>
        <w:tc>
          <w:tcPr>
            <w:tcW w:w="2341" w:type="dxa"/>
            <w:vAlign w:val="center"/>
          </w:tcPr>
          <w:p>
            <w:pPr>
              <w:tabs>
                <w:tab w:val="left" w:pos="7088"/>
              </w:tabs>
              <w:jc w:val="center"/>
              <w:rPr>
                <w:b/>
                <w:sz w:val="30"/>
                <w:szCs w:val="30"/>
              </w:rPr>
            </w:pPr>
            <w:r>
              <w:rPr>
                <w:rFonts w:hint="eastAsia"/>
                <w:b/>
                <w:sz w:val="30"/>
                <w:szCs w:val="30"/>
              </w:rPr>
              <w:t>信息确认</w:t>
            </w:r>
          </w:p>
        </w:tc>
        <w:tc>
          <w:tcPr>
            <w:tcW w:w="2269" w:type="dxa"/>
            <w:vAlign w:val="center"/>
          </w:tcPr>
          <w:p>
            <w:pPr>
              <w:tabs>
                <w:tab w:val="left" w:pos="7088"/>
              </w:tabs>
              <w:jc w:val="center"/>
              <w:rPr>
                <w:sz w:val="30"/>
                <w:szCs w:val="30"/>
              </w:rPr>
            </w:pPr>
            <w:r>
              <w:rPr>
                <w:rFonts w:hint="eastAsia"/>
                <w:sz w:val="30"/>
                <w:szCs w:val="30"/>
              </w:rPr>
              <w:t>彭宇飞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12" w:hRule="atLeast"/>
        </w:trPr>
        <w:tc>
          <w:tcPr>
            <w:tcW w:w="2088" w:type="dxa"/>
            <w:tcBorders>
              <w:bottom w:val="single" w:color="auto" w:sz="4" w:space="0"/>
            </w:tcBorders>
            <w:vAlign w:val="center"/>
          </w:tcPr>
          <w:p>
            <w:pPr>
              <w:tabs>
                <w:tab w:val="left" w:pos="7088"/>
              </w:tabs>
              <w:ind w:firstLine="452" w:firstLineChars="150"/>
              <w:rPr>
                <w:b/>
                <w:sz w:val="30"/>
                <w:szCs w:val="30"/>
              </w:rPr>
            </w:pPr>
            <w:r>
              <w:rPr>
                <w:rFonts w:hint="eastAsia"/>
                <w:b/>
                <w:sz w:val="30"/>
                <w:szCs w:val="30"/>
              </w:rPr>
              <w:t>确认</w:t>
            </w:r>
            <w:r>
              <w:rPr>
                <w:b/>
                <w:sz w:val="30"/>
                <w:szCs w:val="30"/>
              </w:rPr>
              <w:t>结果</w:t>
            </w:r>
          </w:p>
        </w:tc>
        <w:tc>
          <w:tcPr>
            <w:tcW w:w="6951" w:type="dxa"/>
            <w:gridSpan w:val="3"/>
            <w:tcBorders>
              <w:bottom w:val="single" w:color="auto" w:sz="4" w:space="0"/>
            </w:tcBorders>
            <w:vAlign w:val="center"/>
          </w:tcPr>
          <w:p>
            <w:pPr>
              <w:tabs>
                <w:tab w:val="left" w:pos="7088"/>
              </w:tabs>
              <w:jc w:val="left"/>
              <w:rPr>
                <w:sz w:val="28"/>
                <w:szCs w:val="28"/>
              </w:rPr>
            </w:pPr>
            <w:r>
              <w:rPr>
                <w:rFonts w:hint="eastAsia"/>
                <w:sz w:val="28"/>
                <w:szCs w:val="28"/>
              </w:rPr>
              <w:t>来源：中物联医药物流分会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45" w:hRule="atLeast"/>
        </w:trPr>
        <w:tc>
          <w:tcPr>
            <w:tcW w:w="2088" w:type="dxa"/>
            <w:tcBorders>
              <w:top w:val="single" w:color="auto" w:sz="4" w:space="0"/>
            </w:tcBorders>
            <w:vAlign w:val="center"/>
          </w:tcPr>
          <w:p>
            <w:pPr>
              <w:tabs>
                <w:tab w:val="left" w:pos="7088"/>
              </w:tabs>
              <w:jc w:val="center"/>
              <w:rPr>
                <w:b/>
                <w:sz w:val="30"/>
                <w:szCs w:val="30"/>
              </w:rPr>
            </w:pPr>
            <w:r>
              <w:rPr>
                <w:rFonts w:hint="eastAsia"/>
                <w:b/>
                <w:sz w:val="30"/>
                <w:szCs w:val="30"/>
              </w:rPr>
              <w:t>关键词</w:t>
            </w:r>
          </w:p>
        </w:tc>
        <w:tc>
          <w:tcPr>
            <w:tcW w:w="6951" w:type="dxa"/>
            <w:gridSpan w:val="3"/>
            <w:tcBorders>
              <w:top w:val="single" w:color="auto" w:sz="4" w:space="0"/>
            </w:tcBorders>
            <w:vAlign w:val="center"/>
          </w:tcPr>
          <w:p>
            <w:pPr>
              <w:tabs>
                <w:tab w:val="left" w:pos="7088"/>
              </w:tabs>
              <w:jc w:val="left"/>
              <w:rPr>
                <w:rFonts w:cs="宋体" w:asciiTheme="majorEastAsia" w:hAnsiTheme="majorEastAsia" w:eastAsiaTheme="majorEastAsia"/>
                <w:kern w:val="0"/>
                <w:sz w:val="30"/>
                <w:szCs w:val="30"/>
              </w:rPr>
            </w:pPr>
            <w:r>
              <w:rPr>
                <w:rFonts w:hint="eastAsia" w:cs="宋体" w:asciiTheme="majorEastAsia" w:hAnsiTheme="majorEastAsia" w:eastAsiaTheme="majorEastAsia"/>
                <w:kern w:val="0"/>
                <w:sz w:val="30"/>
                <w:szCs w:val="30"/>
              </w:rPr>
              <w:t xml:space="preserve">医药物流  政策  发展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76" w:hRule="atLeast"/>
        </w:trPr>
        <w:tc>
          <w:tcPr>
            <w:tcW w:w="2088" w:type="dxa"/>
            <w:vAlign w:val="center"/>
          </w:tcPr>
          <w:p>
            <w:pPr>
              <w:tabs>
                <w:tab w:val="left" w:pos="7088"/>
              </w:tabs>
              <w:jc w:val="center"/>
              <w:rPr>
                <w:b/>
                <w:sz w:val="30"/>
                <w:szCs w:val="30"/>
              </w:rPr>
            </w:pPr>
            <w:r>
              <w:rPr>
                <w:b/>
                <w:sz w:val="30"/>
                <w:szCs w:val="30"/>
              </w:rPr>
              <w:t>内容概要</w:t>
            </w:r>
          </w:p>
        </w:tc>
        <w:tc>
          <w:tcPr>
            <w:tcW w:w="6951" w:type="dxa"/>
            <w:gridSpan w:val="3"/>
            <w:vAlign w:val="center"/>
          </w:tcPr>
          <w:p>
            <w:pPr>
              <w:rPr>
                <w:rFonts w:asciiTheme="minorEastAsia" w:hAnsiTheme="minorEastAsia"/>
                <w:sz w:val="28"/>
                <w:szCs w:val="28"/>
              </w:rPr>
            </w:pPr>
          </w:p>
          <w:p>
            <w:pPr>
              <w:spacing w:line="480" w:lineRule="auto"/>
              <w:ind w:firstLine="560" w:firstLineChars="200"/>
              <w:rPr>
                <w:rFonts w:asciiTheme="minorEastAsia" w:hAnsiTheme="minorEastAsia"/>
                <w:sz w:val="28"/>
                <w:szCs w:val="28"/>
              </w:rPr>
            </w:pPr>
            <w:r>
              <w:rPr>
                <w:rFonts w:hint="eastAsia" w:asciiTheme="minorEastAsia" w:hAnsiTheme="minorEastAsia"/>
                <w:sz w:val="28"/>
                <w:szCs w:val="28"/>
              </w:rPr>
              <w:t>随着《“十四五”现代物流发展规划》的发布，我国医药物流产业正式进入国家顶层设计，为医药行业的改革与发展提供了良好的外部环境。在“4+7”带量采购、“两票制”、药品零加成等医药改革政策的不断推进与落实下，在流通模式骤变、拆零量激增、渠道不断下沉的变化中，医药物流持续优化升级，行业发展水平不断提升。</w:t>
            </w:r>
          </w:p>
          <w:p>
            <w:pPr>
              <w:spacing w:line="480" w:lineRule="auto"/>
              <w:ind w:firstLine="560" w:firstLineChars="200"/>
              <w:rPr>
                <w:rFonts w:cs="宋体" w:asciiTheme="minorEastAsia" w:hAnsiTheme="minorEastAsia" w:eastAsiaTheme="minorEastAsia"/>
                <w:kern w:val="0"/>
                <w:sz w:val="28"/>
                <w:szCs w:val="28"/>
              </w:rPr>
            </w:pPr>
            <w:r>
              <w:rPr>
                <w:rFonts w:hint="eastAsia" w:asciiTheme="minorEastAsia" w:hAnsiTheme="minorEastAsia"/>
                <w:sz w:val="28"/>
                <w:szCs w:val="28"/>
              </w:rPr>
              <w:t>在此背景下，中物联医药物流分会发布《中国医药物流发展报告（2023）》，对医药物流行业政策背景、市场规模、医药物流、智能仓储、前沿热点等重点方面进行深入解读，为行业发展提供借鉴意义。</w:t>
            </w:r>
          </w:p>
          <w:p>
            <w:pPr>
              <w:spacing w:line="480" w:lineRule="auto"/>
              <w:rPr>
                <w:rFonts w:cs="宋体" w:asciiTheme="minorEastAsia" w:hAnsiTheme="minorEastAsia" w:eastAsiaTheme="minorEastAsia"/>
                <w:kern w:val="0"/>
                <w:szCs w:val="21"/>
              </w:rPr>
            </w:pPr>
          </w:p>
          <w:p>
            <w:pPr>
              <w:spacing w:line="400" w:lineRule="exact"/>
              <w:rPr>
                <w:rFonts w:hint="eastAsia"/>
                <w:b/>
                <w:sz w:val="32"/>
                <w:szCs w:val="32"/>
              </w:rPr>
            </w:pPr>
            <w:r>
              <w:rPr>
                <w:rFonts w:hint="eastAsia" w:ascii="宋体" w:hAnsi="宋体" w:cs="宋体"/>
                <w:kern w:val="0"/>
                <w:szCs w:val="21"/>
              </w:rPr>
              <w:t>附件6:中国医药物流发展报告（2023）重点</w:t>
            </w:r>
            <w:r>
              <w:rPr>
                <w:rFonts w:ascii="宋体" w:hAnsi="宋体" w:cs="宋体"/>
                <w:kern w:val="0"/>
                <w:szCs w:val="21"/>
              </w:rPr>
              <w:t>解读</w:t>
            </w:r>
          </w:p>
        </w:tc>
      </w:tr>
    </w:tbl>
    <w:p>
      <w:pPr>
        <w:widowControl/>
        <w:spacing w:before="100" w:beforeAutospacing="1" w:after="100" w:afterAutospacing="1" w:line="900" w:lineRule="atLeast"/>
        <w:outlineLvl w:val="1"/>
        <w:rPr>
          <w:rFonts w:ascii="微软雅黑" w:hAnsi="微软雅黑" w:eastAsia="微软雅黑" w:cs="宋体"/>
          <w:b/>
          <w:color w:val="333333"/>
          <w:kern w:val="36"/>
          <w:sz w:val="24"/>
        </w:rPr>
      </w:pPr>
      <w:r>
        <w:rPr>
          <w:rFonts w:hint="eastAsia" w:ascii="微软雅黑" w:hAnsi="微软雅黑" w:eastAsia="微软雅黑" w:cs="宋体"/>
          <w:b/>
          <w:color w:val="333333"/>
          <w:kern w:val="36"/>
          <w:sz w:val="24"/>
        </w:rPr>
        <w:t>附件1</w:t>
      </w:r>
    </w:p>
    <w:p>
      <w:pPr>
        <w:jc w:val="left"/>
        <w:rPr>
          <w:rFonts w:ascii="微软雅黑" w:hAnsi="微软雅黑" w:eastAsia="微软雅黑" w:cs="宋体"/>
          <w:color w:val="333333"/>
          <w:spacing w:val="8"/>
          <w:kern w:val="0"/>
          <w:sz w:val="33"/>
          <w:szCs w:val="33"/>
        </w:rPr>
      </w:pPr>
    </w:p>
    <w:p>
      <w:pPr>
        <w:jc w:val="left"/>
      </w:pPr>
      <w:r>
        <w:rPr>
          <w:rFonts w:hint="eastAsia" w:ascii="微软雅黑" w:hAnsi="微软雅黑" w:eastAsia="微软雅黑" w:cs="宋体"/>
          <w:color w:val="333333"/>
          <w:spacing w:val="8"/>
          <w:kern w:val="0"/>
          <w:sz w:val="33"/>
          <w:szCs w:val="33"/>
        </w:rPr>
        <w:t>黑龙江调整医保政策！</w:t>
      </w:r>
    </w:p>
    <w:p/>
    <w:p>
      <w:pPr>
        <w:rPr>
          <w:rStyle w:val="13"/>
          <w:rFonts w:cs="Helvetica" w:asciiTheme="minorEastAsia" w:hAnsiTheme="minorEastAsia"/>
          <w:b w:val="0"/>
          <w:spacing w:val="15"/>
          <w:sz w:val="96"/>
          <w:szCs w:val="28"/>
        </w:rPr>
      </w:pPr>
      <w:r>
        <w:rPr>
          <w:rFonts w:hint="eastAsia"/>
        </w:rPr>
        <w:t>生活报 2023-08-19</w:t>
      </w:r>
    </w:p>
    <w:p>
      <w:pPr>
        <w:rPr>
          <w:rStyle w:val="13"/>
          <w:spacing w:val="30"/>
        </w:rPr>
      </w:pPr>
    </w:p>
    <w:p>
      <w:pPr>
        <w:rPr>
          <w:rStyle w:val="13"/>
          <w:spacing w:val="30"/>
        </w:rPr>
      </w:pPr>
    </w:p>
    <w:p>
      <w:pPr>
        <w:rPr>
          <w:rStyle w:val="13"/>
          <w:spacing w:val="30"/>
        </w:rPr>
      </w:pPr>
    </w:p>
    <w:p>
      <w:pPr>
        <w:ind w:firstLine="620" w:firstLineChars="200"/>
        <w:rPr>
          <w:rStyle w:val="13"/>
          <w:rFonts w:cs="Helvetica" w:asciiTheme="minorEastAsia" w:hAnsiTheme="minorEastAsia"/>
          <w:b w:val="0"/>
          <w:spacing w:val="15"/>
          <w:sz w:val="28"/>
          <w:szCs w:val="28"/>
        </w:rPr>
      </w:pPr>
      <w:r>
        <w:rPr>
          <w:rStyle w:val="13"/>
          <w:rFonts w:hint="eastAsia" w:cs="Helvetica" w:asciiTheme="minorEastAsia" w:hAnsiTheme="minorEastAsia"/>
          <w:b w:val="0"/>
          <w:spacing w:val="15"/>
          <w:sz w:val="28"/>
          <w:szCs w:val="28"/>
        </w:rPr>
        <w:t>19日，记者从省医保局获悉，为进一步完善黑龙江省城乡居民基本医疗保障制度，现就做好2023年城乡居民基本医疗保障（以下简称“居民医保”）有关工作通知如下：</w:t>
      </w:r>
    </w:p>
    <w:p>
      <w:pPr>
        <w:rPr>
          <w:rStyle w:val="13"/>
          <w:rFonts w:cs="Helvetica" w:asciiTheme="minorEastAsia" w:hAnsiTheme="minorEastAsia"/>
          <w:b w:val="0"/>
          <w:spacing w:val="15"/>
          <w:sz w:val="28"/>
          <w:szCs w:val="28"/>
        </w:rPr>
      </w:pPr>
      <w:r>
        <w:rPr>
          <w:rStyle w:val="13"/>
          <w:rFonts w:hint="eastAsia" w:cs="Helvetica" w:asciiTheme="minorEastAsia" w:hAnsiTheme="minorEastAsia"/>
          <w:b w:val="0"/>
          <w:spacing w:val="15"/>
          <w:sz w:val="28"/>
          <w:szCs w:val="28"/>
        </w:rPr>
        <w:t>明确居民医保筹资标准。</w:t>
      </w:r>
    </w:p>
    <w:p>
      <w:pPr>
        <w:rPr>
          <w:rStyle w:val="13"/>
          <w:rFonts w:cs="Helvetica" w:asciiTheme="minorEastAsia" w:hAnsiTheme="minorEastAsia"/>
          <w:b w:val="0"/>
          <w:spacing w:val="15"/>
          <w:sz w:val="28"/>
          <w:szCs w:val="28"/>
        </w:rPr>
      </w:pPr>
      <w:r>
        <w:rPr>
          <w:rStyle w:val="13"/>
          <w:rFonts w:hint="eastAsia" w:cs="Helvetica" w:asciiTheme="minorEastAsia" w:hAnsiTheme="minorEastAsia"/>
          <w:spacing w:val="15"/>
          <w:sz w:val="28"/>
          <w:szCs w:val="28"/>
        </w:rPr>
        <w:t>财政补助标准。</w:t>
      </w:r>
      <w:r>
        <w:rPr>
          <w:rStyle w:val="13"/>
          <w:rFonts w:hint="eastAsia" w:cs="Helvetica" w:asciiTheme="minorEastAsia" w:hAnsiTheme="minorEastAsia"/>
          <w:b w:val="0"/>
          <w:spacing w:val="15"/>
          <w:sz w:val="28"/>
          <w:szCs w:val="28"/>
        </w:rPr>
        <w:t>2023年城乡居民基本医疗保险人均财政补助标准为每人640元。其中，享受均衡性转移支付市县，中央、省、市县级财政分别负担384元、179.20元、76.80元；非均衡性转移支付市县，中央、省、市县级财政分别负担384元、153.60元、102.4元。各统筹地区财政部门要将省级下拨的补助资金及时拨付至同级财政专户，并将各级财政按规定标准负担的补助资金于2023年11月底前拨付至同级财政专户。</w:t>
      </w:r>
    </w:p>
    <w:p>
      <w:pPr>
        <w:rPr>
          <w:rStyle w:val="13"/>
          <w:rFonts w:cs="Helvetica" w:asciiTheme="minorEastAsia" w:hAnsiTheme="minorEastAsia"/>
          <w:b w:val="0"/>
          <w:spacing w:val="15"/>
          <w:sz w:val="28"/>
          <w:szCs w:val="28"/>
        </w:rPr>
      </w:pPr>
      <w:r>
        <w:rPr>
          <w:rStyle w:val="13"/>
          <w:rFonts w:hint="eastAsia" w:cs="Helvetica" w:asciiTheme="minorEastAsia" w:hAnsiTheme="minorEastAsia"/>
          <w:spacing w:val="15"/>
          <w:sz w:val="28"/>
          <w:szCs w:val="28"/>
        </w:rPr>
        <w:t>个人缴费标准。</w:t>
      </w:r>
      <w:r>
        <w:rPr>
          <w:rStyle w:val="13"/>
          <w:rFonts w:hint="eastAsia" w:cs="Helvetica" w:asciiTheme="minorEastAsia" w:hAnsiTheme="minorEastAsia"/>
          <w:b w:val="0"/>
          <w:spacing w:val="15"/>
          <w:sz w:val="28"/>
          <w:szCs w:val="28"/>
        </w:rPr>
        <w:t>城乡居民医保（含学生、儿童）个人缴费标准为每人380元。</w:t>
      </w:r>
    </w:p>
    <w:p>
      <w:pPr>
        <w:rPr>
          <w:rStyle w:val="13"/>
          <w:rFonts w:cs="Helvetica" w:asciiTheme="minorEastAsia" w:hAnsiTheme="minorEastAsia"/>
          <w:b w:val="0"/>
          <w:spacing w:val="15"/>
          <w:sz w:val="28"/>
          <w:szCs w:val="28"/>
        </w:rPr>
      </w:pPr>
      <w:r>
        <w:rPr>
          <w:rStyle w:val="13"/>
          <w:rFonts w:hint="eastAsia" w:cs="Helvetica" w:asciiTheme="minorEastAsia" w:hAnsiTheme="minorEastAsia"/>
          <w:spacing w:val="15"/>
          <w:sz w:val="28"/>
          <w:szCs w:val="28"/>
        </w:rPr>
        <w:t>大病保险筹资标准。</w:t>
      </w:r>
      <w:r>
        <w:rPr>
          <w:rStyle w:val="13"/>
          <w:rFonts w:hint="eastAsia" w:cs="Helvetica" w:asciiTheme="minorEastAsia" w:hAnsiTheme="minorEastAsia"/>
          <w:b w:val="0"/>
          <w:spacing w:val="15"/>
          <w:sz w:val="28"/>
          <w:szCs w:val="28"/>
        </w:rPr>
        <w:t>全省城乡居民大病保险筹资标准为每人95元。</w:t>
      </w:r>
    </w:p>
    <w:p>
      <w:pPr>
        <w:rPr>
          <w:rStyle w:val="13"/>
          <w:rFonts w:cs="Helvetica" w:asciiTheme="minorEastAsia" w:hAnsiTheme="minorEastAsia"/>
          <w:b w:val="0"/>
          <w:spacing w:val="15"/>
          <w:sz w:val="28"/>
          <w:szCs w:val="28"/>
        </w:rPr>
      </w:pPr>
      <w:r>
        <w:rPr>
          <w:rStyle w:val="13"/>
          <w:rFonts w:hint="eastAsia" w:cs="Helvetica" w:asciiTheme="minorEastAsia" w:hAnsiTheme="minorEastAsia"/>
          <w:spacing w:val="15"/>
          <w:sz w:val="28"/>
          <w:szCs w:val="28"/>
        </w:rPr>
        <w:t>集中参保缴费期。</w:t>
      </w:r>
      <w:r>
        <w:rPr>
          <w:rStyle w:val="13"/>
          <w:rFonts w:hint="eastAsia" w:cs="Helvetica" w:asciiTheme="minorEastAsia" w:hAnsiTheme="minorEastAsia"/>
          <w:b w:val="0"/>
          <w:spacing w:val="15"/>
          <w:sz w:val="28"/>
          <w:szCs w:val="28"/>
        </w:rPr>
        <w:t>原则上，2023年9月1日至2023年12月31日为2024年度居民医保集中参保缴费期。</w:t>
      </w:r>
    </w:p>
    <w:p>
      <w:pPr>
        <w:rPr>
          <w:rStyle w:val="13"/>
          <w:rFonts w:cs="Helvetica" w:asciiTheme="minorEastAsia" w:hAnsiTheme="minorEastAsia"/>
          <w:b w:val="0"/>
          <w:spacing w:val="15"/>
          <w:sz w:val="28"/>
          <w:szCs w:val="28"/>
        </w:rPr>
      </w:pPr>
      <w:r>
        <w:rPr>
          <w:rStyle w:val="13"/>
          <w:rFonts w:hint="eastAsia" w:cs="Helvetica" w:asciiTheme="minorEastAsia" w:hAnsiTheme="minorEastAsia"/>
          <w:spacing w:val="15"/>
          <w:sz w:val="28"/>
          <w:szCs w:val="28"/>
        </w:rPr>
        <w:t>待遇享受等待期。</w:t>
      </w:r>
      <w:r>
        <w:rPr>
          <w:rStyle w:val="13"/>
          <w:rFonts w:hint="eastAsia" w:cs="Helvetica" w:asciiTheme="minorEastAsia" w:hAnsiTheme="minorEastAsia"/>
          <w:b w:val="0"/>
          <w:spacing w:val="15"/>
          <w:sz w:val="28"/>
          <w:szCs w:val="28"/>
        </w:rPr>
        <w:t>在集中缴费期参保缴费的，享受财政补助，自2024年1月1日起享受居民医保待遇。集中缴费期外参保缴费的，自缴费之日90天起享受居民医保待遇。对在职工医保中断缴费3个月内参加居民医保的，不设待遇享受等待期。在90天内参保的新生儿，只缴纳个人自付部分，并自出生之日起享受居民医保待遇。医疗救助资助参保对象、军人退出现役当年、军人退出现役当年随军未就业配偶、首年监狱服刑人员、刑满释放人员当年参加居民医保实行全年动态参保，缴费不受集中缴费期限制，只缴纳个人自付部分，不设待遇等待期，自缴费到账之日起享受居民医保待遇。</w:t>
      </w:r>
    </w:p>
    <w:p>
      <w:pPr>
        <w:rPr>
          <w:rStyle w:val="13"/>
          <w:rFonts w:cs="Helvetica" w:asciiTheme="minorEastAsia" w:hAnsiTheme="minorEastAsia"/>
          <w:b w:val="0"/>
          <w:spacing w:val="15"/>
          <w:sz w:val="28"/>
          <w:szCs w:val="28"/>
        </w:rPr>
      </w:pPr>
      <w:r>
        <w:rPr>
          <w:rStyle w:val="13"/>
          <w:rFonts w:hint="eastAsia" w:cs="Helvetica" w:asciiTheme="minorEastAsia" w:hAnsiTheme="minorEastAsia"/>
          <w:spacing w:val="15"/>
          <w:sz w:val="28"/>
          <w:szCs w:val="28"/>
        </w:rPr>
        <w:t>做好困难群体参保资助工作。</w:t>
      </w:r>
      <w:r>
        <w:rPr>
          <w:rStyle w:val="13"/>
          <w:rFonts w:hint="eastAsia" w:cs="Helvetica" w:asciiTheme="minorEastAsia" w:hAnsiTheme="minorEastAsia"/>
          <w:b w:val="0"/>
          <w:spacing w:val="15"/>
          <w:sz w:val="28"/>
          <w:szCs w:val="28"/>
        </w:rPr>
        <w:t>要进一步巩固提升医疗保障脱贫攻坚成果，确保农村低收入人口、脱贫人口参保率达到99%以上。2024年继续按政策规定对脱贫人口及其他医疗救助资助参保对象参加居民医保个人缴费给予分类资助，确保困难群众应保尽保。</w:t>
      </w:r>
    </w:p>
    <w:p>
      <w:pPr>
        <w:rPr>
          <w:rStyle w:val="13"/>
          <w:rFonts w:cs="Helvetica" w:asciiTheme="minorEastAsia" w:hAnsiTheme="minorEastAsia"/>
          <w:b w:val="0"/>
          <w:spacing w:val="15"/>
          <w:sz w:val="28"/>
          <w:szCs w:val="28"/>
        </w:rPr>
      </w:pPr>
      <w:r>
        <w:rPr>
          <w:rStyle w:val="13"/>
          <w:rFonts w:hint="eastAsia" w:cs="Helvetica" w:asciiTheme="minorEastAsia" w:hAnsiTheme="minorEastAsia"/>
          <w:spacing w:val="15"/>
          <w:sz w:val="28"/>
          <w:szCs w:val="28"/>
        </w:rPr>
        <w:t>稳步提升待遇保障水平。</w:t>
      </w:r>
      <w:r>
        <w:rPr>
          <w:rStyle w:val="13"/>
          <w:rFonts w:hint="eastAsia" w:cs="Helvetica" w:asciiTheme="minorEastAsia" w:hAnsiTheme="minorEastAsia"/>
          <w:b w:val="0"/>
          <w:spacing w:val="15"/>
          <w:sz w:val="28"/>
          <w:szCs w:val="28"/>
        </w:rPr>
        <w:t>各统筹地区要落实《黑龙江省“十四五”医疗保险事业发展规划》有关要求，逐步提高住院待遇保障水平，确保黑龙江省城乡居民住院政策范围内报销比例达到70%以上。未达标市（地）要根据基金运行情况，认真测算分析，适度调整相关政策，逐步将城乡居民基本医疗保险相关政策标准调整到以下标准：一是将城乡居民基本医疗保险药品目录、诊疗项目目录、医疗服务设施标准中的乙类费用的90%纳入医保基金支付范围。二是参保人员在参保地市域内三级、二级（含执行二级医疗机构收费标准的县域内三级医疗机构，以下同）、一级及以下定点医疗机构住院，起付标准不低于700元、400元、200元；医保基金支付比例分别为65％、80％、90％，年度最高支付限额不低于10万元。</w:t>
      </w:r>
    </w:p>
    <w:p>
      <w:pPr>
        <w:rPr>
          <w:rStyle w:val="13"/>
          <w:rFonts w:cs="Helvetica" w:asciiTheme="minorEastAsia" w:hAnsiTheme="minorEastAsia"/>
          <w:b w:val="0"/>
          <w:spacing w:val="15"/>
          <w:sz w:val="28"/>
          <w:szCs w:val="28"/>
        </w:rPr>
      </w:pPr>
      <w:r>
        <w:rPr>
          <w:rStyle w:val="13"/>
          <w:rFonts w:hint="eastAsia" w:cs="Helvetica" w:asciiTheme="minorEastAsia" w:hAnsiTheme="minorEastAsia"/>
          <w:spacing w:val="15"/>
          <w:sz w:val="28"/>
          <w:szCs w:val="28"/>
        </w:rPr>
        <w:t>完善门诊统筹待遇。</w:t>
      </w:r>
      <w:r>
        <w:rPr>
          <w:rStyle w:val="13"/>
          <w:rFonts w:hint="eastAsia" w:cs="Helvetica" w:asciiTheme="minorEastAsia" w:hAnsiTheme="minorEastAsia"/>
          <w:b w:val="0"/>
          <w:spacing w:val="15"/>
          <w:sz w:val="28"/>
          <w:szCs w:val="28"/>
        </w:rPr>
        <w:t>各市（地）要进一步完善城乡居民普通门诊费用统筹保障机制。按照强化共济、合理分担的原则，科学测算，合理设定基本医疗保险支付政策，普通门诊统筹起付标准不低于50元，年度最高支付限额不低于200元，一级及以下基层医疗机构支付比例为70%、二级医疗机构为60%、三级医疗机构为50%。</w:t>
      </w:r>
    </w:p>
    <w:p>
      <w:pPr>
        <w:rPr>
          <w:rStyle w:val="13"/>
          <w:rFonts w:cs="Helvetica" w:asciiTheme="minorEastAsia" w:hAnsiTheme="minorEastAsia"/>
          <w:b w:val="0"/>
          <w:spacing w:val="15"/>
          <w:sz w:val="28"/>
          <w:szCs w:val="28"/>
        </w:rPr>
      </w:pPr>
      <w:r>
        <w:rPr>
          <w:rStyle w:val="13"/>
          <w:rFonts w:hint="eastAsia" w:cs="Helvetica" w:asciiTheme="minorEastAsia" w:hAnsiTheme="minorEastAsia"/>
          <w:spacing w:val="15"/>
          <w:sz w:val="28"/>
          <w:szCs w:val="28"/>
        </w:rPr>
        <w:t>继续提高“两病”门诊费用支付比例。</w:t>
      </w:r>
      <w:r>
        <w:rPr>
          <w:rStyle w:val="13"/>
          <w:rFonts w:hint="eastAsia" w:cs="Helvetica" w:asciiTheme="minorEastAsia" w:hAnsiTheme="minorEastAsia"/>
          <w:b w:val="0"/>
          <w:spacing w:val="15"/>
          <w:sz w:val="28"/>
          <w:szCs w:val="28"/>
        </w:rPr>
        <w:t>2024年1月1日起，将“两病”参保人员在一级及以下基层医疗机构、二级医疗机构门诊医疗费用支付比例分别提高到80%和70%，抓好门诊“两病”政策落实，进一步扩大城乡居民“两病”门诊用药保障机制政策受益面，做到二级及以下医疗机构政策培训全覆盖，切实将城乡居民“两病”政策宣传到位、培训到人。有条件的市（地）可逐步将门诊用药保障机制覆盖范围从高血压、糖尿病扩大到心脑血管疾病。</w:t>
      </w:r>
    </w:p>
    <w:p>
      <w:pPr>
        <w:rPr>
          <w:rStyle w:val="13"/>
          <w:rFonts w:cs="Helvetica" w:asciiTheme="minorEastAsia" w:hAnsiTheme="minorEastAsia"/>
          <w:b w:val="0"/>
          <w:spacing w:val="15"/>
          <w:sz w:val="28"/>
          <w:szCs w:val="28"/>
        </w:rPr>
      </w:pPr>
      <w:r>
        <w:rPr>
          <w:rStyle w:val="13"/>
          <w:rFonts w:hint="eastAsia" w:cs="Helvetica" w:asciiTheme="minorEastAsia" w:hAnsiTheme="minorEastAsia"/>
          <w:spacing w:val="15"/>
          <w:sz w:val="28"/>
          <w:szCs w:val="28"/>
        </w:rPr>
        <w:t>做好医药集中采购和价格管理工作。</w:t>
      </w:r>
      <w:r>
        <w:rPr>
          <w:rStyle w:val="13"/>
          <w:rFonts w:hint="eastAsia" w:cs="Helvetica" w:asciiTheme="minorEastAsia" w:hAnsiTheme="minorEastAsia"/>
          <w:b w:val="0"/>
          <w:spacing w:val="15"/>
          <w:sz w:val="28"/>
          <w:szCs w:val="28"/>
        </w:rPr>
        <w:t>持续推进国家组织药品耗材集采在黑龙江省落地，积极参加省际联盟开展药品耗材带量采购，有序开展集采协议期满接续工作。加强集采落实精细化管理，持续推进平台建设，不断提升药品耗材网采率。常态化监测集采药品耗材采购进度，做好医药价格指数编制工作，开展挂网数据治理。做好医药价格和招采信用评价。做好年度调价评估和动态调整工作。</w:t>
      </w:r>
    </w:p>
    <w:p>
      <w:pPr>
        <w:rPr>
          <w:rStyle w:val="13"/>
          <w:rFonts w:cs="Helvetica" w:asciiTheme="minorEastAsia" w:hAnsiTheme="minorEastAsia"/>
          <w:b w:val="0"/>
          <w:spacing w:val="15"/>
          <w:sz w:val="28"/>
          <w:szCs w:val="28"/>
        </w:rPr>
      </w:pPr>
      <w:r>
        <w:rPr>
          <w:rStyle w:val="13"/>
          <w:rFonts w:hint="eastAsia" w:cs="Helvetica" w:asciiTheme="minorEastAsia" w:hAnsiTheme="minorEastAsia"/>
          <w:spacing w:val="15"/>
          <w:sz w:val="28"/>
          <w:szCs w:val="28"/>
        </w:rPr>
        <w:t>加强医药服务管理。</w:t>
      </w:r>
      <w:r>
        <w:rPr>
          <w:rStyle w:val="13"/>
          <w:rFonts w:hint="eastAsia" w:cs="Helvetica" w:asciiTheme="minorEastAsia" w:hAnsiTheme="minorEastAsia"/>
          <w:b w:val="0"/>
          <w:spacing w:val="15"/>
          <w:sz w:val="28"/>
          <w:szCs w:val="28"/>
        </w:rPr>
        <w:t>全面贯彻执行《国家基本医疗保险、工伤保险和生育保险药品目录(2022年)》，推进医保药品目录管理，探索建立动态管理机制。扎实推进谈判药品“双通道”管理，做好国家谈判药品落地动态监测。2023年12月31日前，要依托全国统一的医保信息平台电子处方中心，建立健全全省统一、高效运转、标准规范的处方流转机制，推动省域内“双通道”处方流转电子化，提升谈判药品供应保障水平。按照《DRG/DIP支付方式改革三年行动计划》要求，扎实推进支付方式改革，2023年底不少于70%的统筹地区开展实际付费。加强门诊支付方式改革和长期住院按床日付费政策研究。统筹做好“互联网+”医疗服务医保支付、支持中医药传承创新发展有关工作。</w:t>
      </w:r>
    </w:p>
    <w:p>
      <w:pPr>
        <w:widowControl/>
        <w:spacing w:before="100" w:beforeAutospacing="1" w:after="100" w:afterAutospacing="1" w:line="900" w:lineRule="atLeast"/>
        <w:outlineLvl w:val="1"/>
        <w:rPr>
          <w:rFonts w:ascii="微软雅黑" w:hAnsi="微软雅黑" w:eastAsia="微软雅黑" w:cs="宋体"/>
          <w:b/>
          <w:color w:val="333333"/>
          <w:kern w:val="36"/>
          <w:sz w:val="24"/>
        </w:rPr>
      </w:pPr>
    </w:p>
    <w:p>
      <w:pPr>
        <w:widowControl/>
        <w:spacing w:before="100" w:beforeAutospacing="1" w:after="100" w:afterAutospacing="1" w:line="900" w:lineRule="atLeast"/>
        <w:outlineLvl w:val="1"/>
        <w:rPr>
          <w:rFonts w:ascii="微软雅黑" w:hAnsi="微软雅黑" w:eastAsia="微软雅黑" w:cs="宋体"/>
          <w:b/>
          <w:color w:val="333333"/>
          <w:kern w:val="36"/>
          <w:sz w:val="24"/>
        </w:rPr>
      </w:pPr>
    </w:p>
    <w:p>
      <w:pPr>
        <w:widowControl/>
        <w:spacing w:before="100" w:beforeAutospacing="1" w:after="100" w:afterAutospacing="1" w:line="900" w:lineRule="atLeast"/>
        <w:outlineLvl w:val="1"/>
        <w:rPr>
          <w:rFonts w:ascii="微软雅黑" w:hAnsi="微软雅黑" w:eastAsia="微软雅黑" w:cs="宋体"/>
          <w:b/>
          <w:color w:val="333333"/>
          <w:kern w:val="36"/>
          <w:sz w:val="24"/>
        </w:rPr>
      </w:pPr>
    </w:p>
    <w:p>
      <w:pPr>
        <w:widowControl/>
        <w:spacing w:before="100" w:beforeAutospacing="1" w:after="100" w:afterAutospacing="1" w:line="900" w:lineRule="atLeast"/>
        <w:outlineLvl w:val="1"/>
        <w:rPr>
          <w:rFonts w:ascii="微软雅黑" w:hAnsi="微软雅黑" w:eastAsia="微软雅黑" w:cs="宋体"/>
          <w:b/>
          <w:color w:val="333333"/>
          <w:kern w:val="36"/>
          <w:sz w:val="24"/>
        </w:rPr>
      </w:pPr>
      <w:r>
        <w:rPr>
          <w:rFonts w:hint="eastAsia" w:ascii="微软雅黑" w:hAnsi="微软雅黑" w:eastAsia="微软雅黑" w:cs="宋体"/>
          <w:b/>
          <w:color w:val="333333"/>
          <w:kern w:val="36"/>
          <w:sz w:val="24"/>
        </w:rPr>
        <w:t>附件2</w:t>
      </w:r>
    </w:p>
    <w:p>
      <w:pPr>
        <w:jc w:val="left"/>
        <w:rPr>
          <w:rFonts w:ascii="微软雅黑" w:hAnsi="微软雅黑" w:eastAsia="微软雅黑" w:cs="宋体"/>
          <w:color w:val="333333"/>
          <w:spacing w:val="8"/>
          <w:kern w:val="0"/>
          <w:sz w:val="33"/>
          <w:szCs w:val="33"/>
        </w:rPr>
      </w:pPr>
    </w:p>
    <w:p>
      <w:pPr>
        <w:jc w:val="left"/>
      </w:pPr>
      <w:r>
        <w:rPr>
          <w:rFonts w:hint="eastAsia" w:ascii="微软雅黑" w:hAnsi="微软雅黑" w:eastAsia="微软雅黑" w:cs="宋体"/>
          <w:color w:val="333333"/>
          <w:spacing w:val="8"/>
          <w:kern w:val="0"/>
          <w:sz w:val="33"/>
          <w:szCs w:val="33"/>
        </w:rPr>
        <w:t>四大医药流通巨头着力能力提升</w:t>
      </w:r>
    </w:p>
    <w:p/>
    <w:p>
      <w:pPr>
        <w:rPr>
          <w:rStyle w:val="13"/>
          <w:rFonts w:cs="Helvetica" w:asciiTheme="minorEastAsia" w:hAnsiTheme="minorEastAsia"/>
          <w:b w:val="0"/>
          <w:spacing w:val="15"/>
          <w:sz w:val="96"/>
          <w:szCs w:val="28"/>
        </w:rPr>
      </w:pPr>
      <w:r>
        <w:rPr>
          <w:rStyle w:val="36"/>
          <w:rFonts w:hint="eastAsia" w:ascii="微软雅黑" w:hAnsi="微软雅黑" w:eastAsia="微软雅黑"/>
          <w:sz w:val="18"/>
          <w:szCs w:val="18"/>
        </w:rPr>
        <w:t>原创</w:t>
      </w:r>
      <w:r>
        <w:rPr>
          <w:rFonts w:hint="eastAsia" w:ascii="微软雅黑" w:hAnsi="微软雅黑" w:eastAsia="微软雅黑"/>
          <w:spacing w:val="8"/>
          <w:sz w:val="2"/>
          <w:szCs w:val="2"/>
          <w:shd w:val="clear" w:color="auto" w:fill="FFFFFF"/>
        </w:rPr>
        <w:t> </w:t>
      </w:r>
      <w:r>
        <w:rPr>
          <w:rStyle w:val="32"/>
          <w:rFonts w:hint="eastAsia" w:ascii="微软雅黑" w:hAnsi="微软雅黑" w:eastAsia="微软雅黑"/>
          <w:spacing w:val="8"/>
          <w:sz w:val="23"/>
          <w:szCs w:val="23"/>
          <w:shd w:val="clear" w:color="auto" w:fill="FFFFFF"/>
        </w:rPr>
        <w:t xml:space="preserve"> </w:t>
      </w:r>
      <w:r>
        <w:rPr>
          <w:rFonts w:hint="eastAsia"/>
        </w:rPr>
        <w:t>E药经理人 2023-08-05</w:t>
      </w:r>
    </w:p>
    <w:p>
      <w:pPr>
        <w:rPr>
          <w:rStyle w:val="13"/>
          <w:spacing w:val="30"/>
        </w:rPr>
      </w:pPr>
    </w:p>
    <w:p>
      <w:pPr>
        <w:rPr>
          <w:rStyle w:val="13"/>
          <w:spacing w:val="30"/>
        </w:rPr>
      </w:pPr>
    </w:p>
    <w:p>
      <w:pPr>
        <w:rPr>
          <w:rStyle w:val="13"/>
          <w:spacing w:val="30"/>
        </w:rPr>
      </w:pPr>
    </w:p>
    <w:p>
      <w:pPr>
        <w:ind w:firstLine="596" w:firstLineChars="200"/>
        <w:rPr>
          <w:rStyle w:val="13"/>
          <w:rFonts w:cs="Helvetica" w:asciiTheme="minorEastAsia" w:hAnsiTheme="minorEastAsia"/>
          <w:b w:val="0"/>
          <w:spacing w:val="15"/>
          <w:sz w:val="40"/>
          <w:szCs w:val="28"/>
        </w:rPr>
      </w:pPr>
      <w:r>
        <w:rPr>
          <w:rFonts w:hint="eastAsia" w:ascii="微软雅黑" w:hAnsi="微软雅黑" w:eastAsia="微软雅黑"/>
          <w:spacing w:val="9"/>
          <w:sz w:val="28"/>
          <w:szCs w:val="21"/>
          <w:shd w:val="clear" w:color="auto" w:fill="FFFFFF"/>
        </w:rPr>
        <w:t>从连接价值到发掘价值，再到创造价值，中国医药流通企业“连接”做得可以，“发掘”正在进行，“创造”还待提升。</w:t>
      </w:r>
    </w:p>
    <w:p>
      <w:pPr>
        <w:ind w:firstLine="620" w:firstLineChars="200"/>
        <w:rPr>
          <w:rStyle w:val="13"/>
          <w:rFonts w:cs="Helvetica" w:asciiTheme="minorEastAsia" w:hAnsiTheme="minorEastAsia"/>
          <w:b w:val="0"/>
          <w:bCs w:val="0"/>
          <w:spacing w:val="15"/>
          <w:sz w:val="28"/>
          <w:szCs w:val="28"/>
        </w:rPr>
      </w:pPr>
      <w:r>
        <w:rPr>
          <w:rStyle w:val="13"/>
          <w:rFonts w:hint="eastAsia" w:cs="Helvetica" w:asciiTheme="minorEastAsia" w:hAnsiTheme="minorEastAsia"/>
          <w:b w:val="0"/>
          <w:bCs w:val="0"/>
          <w:spacing w:val="15"/>
          <w:sz w:val="28"/>
          <w:szCs w:val="28"/>
        </w:rPr>
        <w:t>“库房？真不知道库房有什么可看的！”</w:t>
      </w:r>
    </w:p>
    <w:p>
      <w:pPr>
        <w:ind w:firstLine="620" w:firstLineChars="200"/>
        <w:rPr>
          <w:rStyle w:val="13"/>
          <w:rFonts w:cs="Helvetica" w:asciiTheme="minorEastAsia" w:hAnsiTheme="minorEastAsia"/>
          <w:b w:val="0"/>
          <w:bCs w:val="0"/>
          <w:spacing w:val="15"/>
          <w:sz w:val="28"/>
          <w:szCs w:val="28"/>
        </w:rPr>
      </w:pPr>
      <w:r>
        <w:rPr>
          <w:rStyle w:val="13"/>
          <w:rFonts w:hint="eastAsia" w:cs="Helvetica" w:asciiTheme="minorEastAsia" w:hAnsiTheme="minorEastAsia"/>
          <w:b w:val="0"/>
          <w:bCs w:val="0"/>
          <w:spacing w:val="15"/>
          <w:sz w:val="28"/>
          <w:szCs w:val="28"/>
        </w:rPr>
        <w:t>这位在中国医药流通领域从业超过40年的老医药人觉得不解，为什么中国医药流通企业们出国考察，总把全球先进经验的学习，具象到“库房”里。他没有说出来的潜台词是，库房修得不管多大、多壮观、多现代化，都是为物流配送服务，而医药流通企业在中国医药产业中的角色不应如此。</w:t>
      </w:r>
    </w:p>
    <w:p>
      <w:pPr>
        <w:ind w:firstLine="620" w:firstLineChars="200"/>
        <w:rPr>
          <w:rStyle w:val="13"/>
          <w:rFonts w:cs="Helvetica" w:asciiTheme="minorEastAsia" w:hAnsiTheme="minorEastAsia"/>
          <w:b w:val="0"/>
          <w:bCs w:val="0"/>
          <w:spacing w:val="15"/>
          <w:sz w:val="28"/>
          <w:szCs w:val="28"/>
        </w:rPr>
      </w:pPr>
      <w:r>
        <w:rPr>
          <w:rStyle w:val="13"/>
          <w:rFonts w:hint="eastAsia" w:cs="Helvetica" w:asciiTheme="minorEastAsia" w:hAnsiTheme="minorEastAsia"/>
          <w:b w:val="0"/>
          <w:bCs w:val="0"/>
          <w:spacing w:val="15"/>
          <w:sz w:val="28"/>
          <w:szCs w:val="28"/>
        </w:rPr>
        <w:t>医药流通在中国医药行业中，是一份重要且特别的存在。广义地看，从工业企业库房里运出来的药械等健康类产品，散发至院内院外、线上线下终端的所有操作，都属于医药流通的范畴；而狭义地说，通常所指的就是分销业务，再细分就是物流配送。</w:t>
      </w:r>
    </w:p>
    <w:p>
      <w:pPr>
        <w:ind w:firstLine="620" w:firstLineChars="200"/>
        <w:rPr>
          <w:rStyle w:val="13"/>
          <w:rFonts w:cs="Helvetica" w:asciiTheme="minorEastAsia" w:hAnsiTheme="minorEastAsia"/>
          <w:b w:val="0"/>
          <w:bCs w:val="0"/>
          <w:spacing w:val="15"/>
          <w:sz w:val="28"/>
          <w:szCs w:val="28"/>
        </w:rPr>
      </w:pPr>
      <w:r>
        <w:rPr>
          <w:rStyle w:val="13"/>
          <w:rFonts w:hint="eastAsia" w:cs="Helvetica" w:asciiTheme="minorEastAsia" w:hAnsiTheme="minorEastAsia"/>
          <w:b w:val="0"/>
          <w:bCs w:val="0"/>
          <w:spacing w:val="15"/>
          <w:sz w:val="28"/>
          <w:szCs w:val="28"/>
        </w:rPr>
        <w:t>基于分销业务的物流配送，是医药流通公司营收占比最多的业务单元，就像华润医药，2022年2541亿港币的总营收中，80%来自分销业务。移货、搬运工、苦力活，经常被用来形容这块业务，劳动密集型特征使得物流配送业务一直以来保持在1%～3%的极低利润率，是大部分医药流通类上市公司市盈率在10~15倍之间徘徊的重要原因之一。投资人的逻辑很简单，“没有想象力空间，自然不会买账”。</w:t>
      </w:r>
    </w:p>
    <w:p>
      <w:pPr>
        <w:ind w:firstLine="620" w:firstLineChars="200"/>
        <w:rPr>
          <w:rStyle w:val="13"/>
          <w:rFonts w:cs="Helvetica" w:asciiTheme="minorEastAsia" w:hAnsiTheme="minorEastAsia"/>
          <w:b w:val="0"/>
          <w:bCs w:val="0"/>
          <w:spacing w:val="15"/>
          <w:sz w:val="28"/>
          <w:szCs w:val="28"/>
        </w:rPr>
      </w:pPr>
      <w:r>
        <w:rPr>
          <w:rStyle w:val="13"/>
          <w:rFonts w:hint="eastAsia" w:cs="Helvetica" w:asciiTheme="minorEastAsia" w:hAnsiTheme="minorEastAsia"/>
          <w:b w:val="0"/>
          <w:bCs w:val="0"/>
          <w:spacing w:val="15"/>
          <w:sz w:val="28"/>
          <w:szCs w:val="28"/>
        </w:rPr>
        <w:t>“医药流通企业能力提升、业务内涵创新，需要一股强大政策的助推力”，原中国医药商业协会常务副会长武滨认为，自2018年国家医保局成立后集采、国谈、双通道等政策的推出，真正让医药流通企业意识到在物理“地盘”抢夺之外，能力“地盘”建设的重要性。</w:t>
      </w:r>
    </w:p>
    <w:p>
      <w:pPr>
        <w:ind w:firstLine="576" w:firstLineChars="200"/>
        <w:rPr>
          <w:rStyle w:val="13"/>
          <w:rFonts w:cs="Helvetica" w:asciiTheme="minorEastAsia" w:hAnsiTheme="minorEastAsia"/>
          <w:spacing w:val="15"/>
          <w:sz w:val="28"/>
          <w:szCs w:val="28"/>
        </w:rPr>
      </w:pPr>
      <w:r>
        <w:rPr>
          <w:rStyle w:val="13"/>
          <w:rFonts w:hint="eastAsia" w:ascii="微软雅黑" w:hAnsi="微软雅黑" w:eastAsia="微软雅黑"/>
          <w:color w:val="021EAA"/>
          <w:spacing w:val="9"/>
          <w:sz w:val="27"/>
          <w:szCs w:val="27"/>
          <w:shd w:val="clear" w:color="auto" w:fill="FFFFFF"/>
        </w:rPr>
        <w:t>物理“地盘”争夺赛基本结束</w:t>
      </w:r>
    </w:p>
    <w:p>
      <w:pPr>
        <w:rPr>
          <w:rStyle w:val="13"/>
          <w:rFonts w:cs="Helvetica" w:asciiTheme="minorEastAsia" w:hAnsiTheme="minorEastAsia"/>
          <w:b w:val="0"/>
          <w:bCs w:val="0"/>
          <w:spacing w:val="15"/>
          <w:sz w:val="28"/>
          <w:szCs w:val="28"/>
        </w:rPr>
      </w:pPr>
      <w:r>
        <w:rPr>
          <w:rStyle w:val="13"/>
          <w:rFonts w:hint="eastAsia" w:cs="Helvetica" w:asciiTheme="minorEastAsia" w:hAnsiTheme="minorEastAsia"/>
          <w:b w:val="0"/>
          <w:bCs w:val="0"/>
          <w:spacing w:val="15"/>
          <w:sz w:val="28"/>
          <w:szCs w:val="28"/>
        </w:rPr>
        <w:t xml:space="preserve">   医药流通行业进入21世纪后，以提升集中度为结果的行业大整合发生过两次。</w:t>
      </w:r>
    </w:p>
    <w:p>
      <w:pPr>
        <w:ind w:firstLine="620" w:firstLineChars="200"/>
        <w:rPr>
          <w:rStyle w:val="13"/>
          <w:rFonts w:cs="Helvetica" w:asciiTheme="minorEastAsia" w:hAnsiTheme="minorEastAsia"/>
          <w:b w:val="0"/>
          <w:bCs w:val="0"/>
          <w:spacing w:val="15"/>
          <w:sz w:val="28"/>
          <w:szCs w:val="28"/>
        </w:rPr>
      </w:pPr>
      <w:r>
        <w:rPr>
          <w:rStyle w:val="13"/>
          <w:rFonts w:hint="eastAsia" w:cs="Helvetica" w:asciiTheme="minorEastAsia" w:hAnsiTheme="minorEastAsia"/>
          <w:b w:val="0"/>
          <w:bCs w:val="0"/>
          <w:spacing w:val="15"/>
          <w:sz w:val="28"/>
          <w:szCs w:val="28"/>
        </w:rPr>
        <w:t>第一次在2010-2012年间，伴随着九州通A股上市、上海医药H股上市，以及《全国药品流通行业发展规划纲要（2011—2015年）》的发布，在政策与资本的双向推动下，上海医药、九州通、华润医药、国药集团，纷纷在全国各地跑马圈地，奠定了这四家全国性布局的医药流通公司基本版图。</w:t>
      </w:r>
    </w:p>
    <w:p>
      <w:pPr>
        <w:ind w:firstLine="620" w:firstLineChars="200"/>
        <w:rPr>
          <w:rStyle w:val="13"/>
          <w:rFonts w:cs="Helvetica" w:asciiTheme="minorEastAsia" w:hAnsiTheme="minorEastAsia"/>
          <w:b w:val="0"/>
          <w:bCs w:val="0"/>
          <w:spacing w:val="15"/>
          <w:sz w:val="28"/>
          <w:szCs w:val="28"/>
        </w:rPr>
      </w:pPr>
      <w:r>
        <w:rPr>
          <w:rStyle w:val="13"/>
          <w:rFonts w:hint="eastAsia" w:cs="Helvetica" w:asciiTheme="minorEastAsia" w:hAnsiTheme="minorEastAsia"/>
          <w:b w:val="0"/>
          <w:bCs w:val="0"/>
          <w:spacing w:val="15"/>
          <w:sz w:val="28"/>
          <w:szCs w:val="28"/>
        </w:rPr>
        <w:t>第二次发生在2016年前后，在“两票制”政策的推动下，医药流通巨头们的地理覆盖版图加速向下延伸，“4+N”的全国医药流通产业格局基本形成。</w:t>
      </w:r>
    </w:p>
    <w:p>
      <w:pPr>
        <w:ind w:firstLine="620" w:firstLineChars="200"/>
        <w:rPr>
          <w:rStyle w:val="13"/>
          <w:rFonts w:cs="Helvetica" w:asciiTheme="minorEastAsia" w:hAnsiTheme="minorEastAsia"/>
          <w:b w:val="0"/>
          <w:bCs w:val="0"/>
          <w:spacing w:val="15"/>
          <w:sz w:val="28"/>
          <w:szCs w:val="28"/>
        </w:rPr>
      </w:pPr>
      <w:r>
        <w:rPr>
          <w:rStyle w:val="13"/>
          <w:rFonts w:hint="eastAsia" w:cs="Helvetica" w:asciiTheme="minorEastAsia" w:hAnsiTheme="minorEastAsia"/>
          <w:b w:val="0"/>
          <w:bCs w:val="0"/>
          <w:spacing w:val="15"/>
          <w:sz w:val="28"/>
          <w:szCs w:val="28"/>
        </w:rPr>
        <w:t>2018年6月，在国家医疗保障局正式“挂牌”一个月后，也是国家药品集中采购实施前，商务部发布《2017年药品流通行业运行统计分析报告》，该报告预判，“未来几年内，在政策驱动下药品流通市场竞争将更加激烈，两极分化日益明显。全国性药品流通企业跨区域并购将进一步加快，区域性药品流通企业也将加速自身发展；规模小、渠道单一的药品流通企业将难以为继，行业集中度将进一步提高。”</w:t>
      </w:r>
    </w:p>
    <w:p>
      <w:pPr>
        <w:ind w:firstLine="620" w:firstLineChars="200"/>
        <w:rPr>
          <w:rStyle w:val="13"/>
          <w:rFonts w:cs="Helvetica" w:asciiTheme="minorEastAsia" w:hAnsiTheme="minorEastAsia"/>
          <w:b w:val="0"/>
          <w:bCs w:val="0"/>
          <w:spacing w:val="15"/>
          <w:sz w:val="28"/>
          <w:szCs w:val="28"/>
        </w:rPr>
      </w:pPr>
      <w:r>
        <w:rPr>
          <w:rStyle w:val="13"/>
          <w:rFonts w:hint="eastAsia" w:cs="Helvetica" w:asciiTheme="minorEastAsia" w:hAnsiTheme="minorEastAsia"/>
          <w:b w:val="0"/>
          <w:bCs w:val="0"/>
          <w:spacing w:val="15"/>
          <w:sz w:val="28"/>
          <w:szCs w:val="28"/>
        </w:rPr>
        <w:t>其后几年，虽然跨区域并购受限于可并购标的的减少，除上海医药并购康德乐外，未呈现出较多大宗交易，但小额交易持续新增，比如国药控股并购贵州意通、安徽医药、成大方圆；重药控股加深在宁夏、大连、海南等地布局等。此外，在2019年国家集采正式执行后，规模小、渠道单一的药品流通企业将难以为继，确实成为集采下小规模医药流通公司的境况，其带来的结果是行业集中度进一步提高，两极分化，大者恒大。</w:t>
      </w:r>
    </w:p>
    <w:p>
      <w:pPr>
        <w:ind w:firstLine="620" w:firstLineChars="200"/>
        <w:rPr>
          <w:rStyle w:val="13"/>
          <w:rFonts w:cs="Helvetica" w:asciiTheme="minorEastAsia" w:hAnsiTheme="minorEastAsia"/>
          <w:b w:val="0"/>
          <w:bCs w:val="0"/>
          <w:spacing w:val="15"/>
          <w:sz w:val="28"/>
          <w:szCs w:val="28"/>
        </w:rPr>
      </w:pPr>
      <w:r>
        <w:rPr>
          <w:rStyle w:val="13"/>
          <w:rFonts w:hint="eastAsia" w:cs="Helvetica" w:asciiTheme="minorEastAsia" w:hAnsiTheme="minorEastAsia"/>
          <w:b w:val="0"/>
          <w:bCs w:val="0"/>
          <w:spacing w:val="15"/>
          <w:sz w:val="28"/>
          <w:szCs w:val="28"/>
        </w:rPr>
        <w:t>集采之于医保部门的目标是提升基金的使用效率，其天然会选择资金能力、目标医院覆盖率、配送时间及配送点位都具备竞争力的大企业。如“4+7”时，上海要求一个中标品种仅委托一家药品配送企业；第二批集采中选结果显示，中标的配送企业也仅是4家全国性布局流通企业。</w:t>
      </w:r>
    </w:p>
    <w:p>
      <w:pPr>
        <w:ind w:firstLine="620" w:firstLineChars="200"/>
        <w:rPr>
          <w:rStyle w:val="13"/>
          <w:rFonts w:cs="Helvetica" w:asciiTheme="minorEastAsia" w:hAnsiTheme="minorEastAsia"/>
          <w:b w:val="0"/>
          <w:bCs w:val="0"/>
          <w:spacing w:val="15"/>
          <w:sz w:val="28"/>
          <w:szCs w:val="28"/>
        </w:rPr>
      </w:pPr>
      <w:r>
        <w:rPr>
          <w:rStyle w:val="13"/>
          <w:rFonts w:hint="eastAsia" w:cs="Helvetica" w:asciiTheme="minorEastAsia" w:hAnsiTheme="minorEastAsia"/>
          <w:b w:val="0"/>
          <w:bCs w:val="0"/>
          <w:spacing w:val="15"/>
          <w:sz w:val="28"/>
          <w:szCs w:val="28"/>
        </w:rPr>
        <w:t>总结来看，集采带给医药流通的影响总结来看有两点挑战，一个利好。</w:t>
      </w:r>
    </w:p>
    <w:p>
      <w:pPr>
        <w:ind w:firstLine="620" w:firstLineChars="200"/>
        <w:rPr>
          <w:rStyle w:val="13"/>
          <w:rFonts w:cs="Helvetica" w:asciiTheme="minorEastAsia" w:hAnsiTheme="minorEastAsia"/>
          <w:b w:val="0"/>
          <w:bCs w:val="0"/>
          <w:spacing w:val="15"/>
          <w:sz w:val="28"/>
          <w:szCs w:val="28"/>
        </w:rPr>
      </w:pPr>
      <w:r>
        <w:rPr>
          <w:rStyle w:val="13"/>
          <w:rFonts w:hint="eastAsia" w:cs="Helvetica" w:asciiTheme="minorEastAsia" w:hAnsiTheme="minorEastAsia"/>
          <w:b w:val="0"/>
          <w:bCs w:val="0"/>
          <w:spacing w:val="15"/>
          <w:sz w:val="28"/>
          <w:szCs w:val="28"/>
        </w:rPr>
        <w:t>第一项挑战是，货值急剧降低后的营收、利润减少。招商证券分析报告显示，受集采后药品价格降低等因素影响，医药流通行业增速下滑，降至10%以下，且平均净利率水平，从近3%下降到2%以下。</w:t>
      </w:r>
    </w:p>
    <w:p>
      <w:pPr>
        <w:ind w:firstLine="620" w:firstLineChars="200"/>
        <w:rPr>
          <w:rStyle w:val="13"/>
          <w:rFonts w:cs="Helvetica" w:asciiTheme="minorEastAsia" w:hAnsiTheme="minorEastAsia"/>
          <w:b w:val="0"/>
          <w:bCs w:val="0"/>
          <w:spacing w:val="15"/>
          <w:sz w:val="28"/>
          <w:szCs w:val="28"/>
        </w:rPr>
      </w:pPr>
      <w:r>
        <w:rPr>
          <w:rStyle w:val="13"/>
          <w:rFonts w:hint="eastAsia" w:cs="Helvetica" w:asciiTheme="minorEastAsia" w:hAnsiTheme="minorEastAsia"/>
          <w:b w:val="0"/>
          <w:bCs w:val="0"/>
          <w:spacing w:val="15"/>
          <w:sz w:val="28"/>
          <w:szCs w:val="28"/>
        </w:rPr>
        <w:t>第二项挑战是资金链压力。“集采之前，我们跟上游工业企业是现款结算或者拉长回款周期的方式，保障我们的资金周转率。现在为了“抢”客户，大型医药流通公司的玩法是直接买断工业企业中标产品的全部供货量，有的甚至是预付款。”一位医药流通公司的相关人士表示，“这其实意味着小公司基本上就没竞争力了”，但同样意味着大医药流通公司在负担原有医院回款周期长带来的资金压力外，又额外增加了一笔支出。</w:t>
      </w:r>
    </w:p>
    <w:p>
      <w:pPr>
        <w:ind w:firstLine="620" w:firstLineChars="200"/>
        <w:rPr>
          <w:rStyle w:val="13"/>
          <w:rFonts w:cs="Helvetica" w:asciiTheme="minorEastAsia" w:hAnsiTheme="minorEastAsia"/>
          <w:b w:val="0"/>
          <w:bCs w:val="0"/>
          <w:spacing w:val="15"/>
          <w:sz w:val="28"/>
          <w:szCs w:val="28"/>
        </w:rPr>
      </w:pPr>
      <w:r>
        <w:rPr>
          <w:rStyle w:val="13"/>
          <w:rFonts w:hint="eastAsia" w:cs="Helvetica" w:asciiTheme="minorEastAsia" w:hAnsiTheme="minorEastAsia"/>
          <w:b w:val="0"/>
          <w:bCs w:val="0"/>
          <w:spacing w:val="15"/>
          <w:sz w:val="28"/>
          <w:szCs w:val="28"/>
        </w:rPr>
        <w:t>利好在于，“拿下了集采配送，等于变相地降低商业流通公司在未覆盖医院的开户难度，比如九州通。众所周知，九州通物流能力强，但医院市场深耕比不上三家国有医药流通公司。”九州通2022年年报中明确写到，“针对九州通而言，集采政策使得公司获得了从事医院业务的机会。”</w:t>
      </w:r>
    </w:p>
    <w:p>
      <w:pPr>
        <w:ind w:firstLine="620" w:firstLineChars="200"/>
        <w:rPr>
          <w:rStyle w:val="13"/>
          <w:rFonts w:cs="Helvetica" w:asciiTheme="minorEastAsia" w:hAnsiTheme="minorEastAsia"/>
          <w:b w:val="0"/>
          <w:bCs w:val="0"/>
          <w:spacing w:val="15"/>
          <w:sz w:val="28"/>
          <w:szCs w:val="28"/>
        </w:rPr>
      </w:pPr>
      <w:r>
        <w:rPr>
          <w:rStyle w:val="13"/>
          <w:rFonts w:hint="eastAsia" w:cs="Helvetica" w:asciiTheme="minorEastAsia" w:hAnsiTheme="minorEastAsia"/>
          <w:b w:val="0"/>
          <w:bCs w:val="0"/>
          <w:spacing w:val="15"/>
          <w:sz w:val="28"/>
          <w:szCs w:val="28"/>
        </w:rPr>
        <w:t>上述相关人士告诉E药经理人融媒体，有的大型医药流通公司为了“抢”工业客户资源，甚至会采取不收配送费的方式，“目标就是开户，这点大家看得还是很明白的”。</w:t>
      </w:r>
    </w:p>
    <w:p>
      <w:pPr>
        <w:ind w:firstLine="620" w:firstLineChars="200"/>
        <w:rPr>
          <w:rStyle w:val="13"/>
          <w:rFonts w:cs="Helvetica" w:asciiTheme="minorEastAsia" w:hAnsiTheme="minorEastAsia"/>
          <w:b w:val="0"/>
          <w:bCs w:val="0"/>
          <w:spacing w:val="15"/>
          <w:sz w:val="28"/>
          <w:szCs w:val="28"/>
        </w:rPr>
      </w:pPr>
      <w:r>
        <w:rPr>
          <w:rStyle w:val="13"/>
          <w:rFonts w:hint="eastAsia" w:cs="Helvetica" w:asciiTheme="minorEastAsia" w:hAnsiTheme="minorEastAsia"/>
          <w:b w:val="0"/>
          <w:bCs w:val="0"/>
          <w:spacing w:val="15"/>
          <w:sz w:val="28"/>
          <w:szCs w:val="28"/>
        </w:rPr>
        <w:t>虽然基于全国性或者地域性优势网络布局，让“4+N”格局中的龙头们，在集采下凭借此前物理“地盘”扩张积累的优势，稳住了基本盘，但从结果来看，分销业务占比在大医药流通企业的营收占比在缩小，也是不争的事实。</w:t>
      </w:r>
    </w:p>
    <w:p>
      <w:pPr>
        <w:ind w:firstLine="620" w:firstLineChars="200"/>
        <w:rPr>
          <w:rStyle w:val="13"/>
          <w:rFonts w:cs="Helvetica" w:asciiTheme="minorEastAsia" w:hAnsiTheme="minorEastAsia"/>
          <w:b w:val="0"/>
          <w:bCs w:val="0"/>
          <w:spacing w:val="15"/>
          <w:sz w:val="28"/>
          <w:szCs w:val="28"/>
        </w:rPr>
      </w:pPr>
      <w:r>
        <w:rPr>
          <w:rStyle w:val="13"/>
          <w:rFonts w:hint="eastAsia" w:cs="Helvetica" w:asciiTheme="minorEastAsia" w:hAnsiTheme="minorEastAsia"/>
          <w:b w:val="0"/>
          <w:bCs w:val="0"/>
          <w:spacing w:val="15"/>
          <w:sz w:val="28"/>
          <w:szCs w:val="28"/>
        </w:rPr>
        <w:t>2022年年报数据显示，与2015年相比，华润医药、国药控股、上海医药分销业务占比都出现相当比重的降幅。国药控股降幅最大，从94%降至71%，上海医药从95%降至89%，华润医药从83%降至81%。</w:t>
      </w:r>
    </w:p>
    <w:p>
      <w:pPr>
        <w:ind w:firstLine="620" w:firstLineChars="200"/>
        <w:rPr>
          <w:rStyle w:val="13"/>
          <w:rFonts w:cs="Helvetica" w:asciiTheme="minorEastAsia" w:hAnsiTheme="minorEastAsia"/>
          <w:b w:val="0"/>
          <w:bCs w:val="0"/>
          <w:spacing w:val="15"/>
          <w:sz w:val="28"/>
          <w:szCs w:val="28"/>
        </w:rPr>
      </w:pPr>
      <w:r>
        <w:rPr>
          <w:rStyle w:val="13"/>
          <w:rFonts w:hint="eastAsia" w:cs="Helvetica" w:asciiTheme="minorEastAsia" w:hAnsiTheme="minorEastAsia"/>
          <w:b w:val="0"/>
          <w:bCs w:val="0"/>
          <w:spacing w:val="15"/>
          <w:sz w:val="28"/>
          <w:szCs w:val="28"/>
        </w:rPr>
        <w:t>整体营收未降，但分销业务占比却减少，数据背后折射出来的好消息是，在政策推动下，医药流通公司寻找的“第二条价值增长曲线”有了成效；但产业需求给出的现实境况则是喜忧参半：占据优势位置的大型且国有医药流通企业们，其转型的速度与产业政策的更新速度、上游药品供应商需求间，存在明显的落差。</w:t>
      </w:r>
    </w:p>
    <w:p>
      <w:pPr>
        <w:ind w:firstLine="620" w:firstLineChars="200"/>
        <w:rPr>
          <w:rStyle w:val="13"/>
          <w:rFonts w:cs="Helvetica" w:asciiTheme="minorEastAsia" w:hAnsiTheme="minorEastAsia"/>
          <w:b w:val="0"/>
          <w:bCs w:val="0"/>
          <w:spacing w:val="15"/>
          <w:sz w:val="28"/>
          <w:szCs w:val="28"/>
        </w:rPr>
      </w:pPr>
      <w:r>
        <w:rPr>
          <w:rStyle w:val="13"/>
          <w:rFonts w:hint="eastAsia" w:cs="Helvetica" w:asciiTheme="minorEastAsia" w:hAnsiTheme="minorEastAsia"/>
          <w:b w:val="0"/>
          <w:bCs w:val="0"/>
          <w:spacing w:val="15"/>
          <w:sz w:val="28"/>
          <w:szCs w:val="28"/>
        </w:rPr>
        <w:t>所幸，改变已经开始。</w:t>
      </w:r>
    </w:p>
    <w:p>
      <w:pPr>
        <w:ind w:firstLine="576" w:firstLineChars="200"/>
        <w:rPr>
          <w:rStyle w:val="13"/>
          <w:rFonts w:ascii="微软雅黑" w:hAnsi="微软雅黑" w:eastAsia="微软雅黑"/>
          <w:color w:val="021EAA"/>
          <w:spacing w:val="9"/>
          <w:sz w:val="27"/>
          <w:szCs w:val="27"/>
          <w:shd w:val="clear" w:color="auto" w:fill="FFFFFF"/>
        </w:rPr>
      </w:pPr>
      <w:r>
        <w:rPr>
          <w:rStyle w:val="13"/>
          <w:rFonts w:hint="eastAsia" w:ascii="微软雅黑" w:hAnsi="微软雅黑" w:eastAsia="微软雅黑"/>
          <w:color w:val="021EAA"/>
          <w:spacing w:val="9"/>
          <w:sz w:val="27"/>
          <w:szCs w:val="27"/>
          <w:shd w:val="clear" w:color="auto" w:fill="FFFFFF"/>
        </w:rPr>
        <w:t>能力“地盘”提升赛刚刚开启</w:t>
      </w:r>
    </w:p>
    <w:p>
      <w:pPr>
        <w:ind w:firstLine="620" w:firstLineChars="200"/>
        <w:rPr>
          <w:rStyle w:val="13"/>
          <w:rFonts w:hint="eastAsia" w:ascii="PingFangSC-light" w:hAnsi="PingFangSC-light"/>
          <w:b w:val="0"/>
          <w:bCs w:val="0"/>
          <w:color w:val="000000" w:themeColor="text1"/>
          <w:spacing w:val="15"/>
          <w:sz w:val="28"/>
          <w:szCs w:val="28"/>
          <w:shd w:val="clear" w:color="auto" w:fill="FFFFFF"/>
          <w14:textFill>
            <w14:solidFill>
              <w14:schemeClr w14:val="tx1"/>
            </w14:solidFill>
          </w14:textFill>
        </w:rPr>
      </w:pPr>
      <w:r>
        <w:rPr>
          <w:rStyle w:val="13"/>
          <w:rFonts w:hint="eastAsia" w:ascii="PingFangSC-light" w:hAnsi="PingFangSC-light"/>
          <w:b w:val="0"/>
          <w:bCs w:val="0"/>
          <w:color w:val="000000" w:themeColor="text1"/>
          <w:spacing w:val="15"/>
          <w:sz w:val="28"/>
          <w:szCs w:val="28"/>
          <w:shd w:val="clear" w:color="auto" w:fill="FFFFFF"/>
          <w14:textFill>
            <w14:solidFill>
              <w14:schemeClr w14:val="tx1"/>
            </w14:solidFill>
          </w14:textFill>
        </w:rPr>
        <w:t>一家国有医药流通企业政府事务负责人一直关注医药流通公司的能力升级建设，并将所思所想应用到具体工作实战中。她总结，现在医药流通公司业务拓展可以概括为“横向围绕一个能力中心'，无边界拓展品类；纵向围绕，一套服务'，为上游工业客户和下游用药终端提供无缝链接。”这里的能力中心，指的是此前多年积累起来的分销能力与下游终端的覆盖。</w:t>
      </w:r>
    </w:p>
    <w:p>
      <w:pPr>
        <w:ind w:firstLine="620" w:firstLineChars="200"/>
        <w:rPr>
          <w:rStyle w:val="13"/>
          <w:rFonts w:hint="eastAsia" w:ascii="PingFangSC-light" w:hAnsi="PingFangSC-light"/>
          <w:b w:val="0"/>
          <w:bCs w:val="0"/>
          <w:color w:val="000000" w:themeColor="text1"/>
          <w:spacing w:val="15"/>
          <w:sz w:val="28"/>
          <w:szCs w:val="28"/>
          <w:shd w:val="clear" w:color="auto" w:fill="FFFFFF"/>
          <w14:textFill>
            <w14:solidFill>
              <w14:schemeClr w14:val="tx1"/>
            </w14:solidFill>
          </w14:textFill>
        </w:rPr>
      </w:pPr>
      <w:r>
        <w:rPr>
          <w:rStyle w:val="13"/>
          <w:rFonts w:hint="eastAsia" w:ascii="PingFangSC-light" w:hAnsi="PingFangSC-light"/>
          <w:b w:val="0"/>
          <w:bCs w:val="0"/>
          <w:color w:val="000000" w:themeColor="text1"/>
          <w:spacing w:val="15"/>
          <w:sz w:val="28"/>
          <w:szCs w:val="28"/>
          <w:shd w:val="clear" w:color="auto" w:fill="FFFFFF"/>
          <w14:textFill>
            <w14:solidFill>
              <w14:schemeClr w14:val="tx1"/>
            </w14:solidFill>
          </w14:textFill>
        </w:rPr>
        <w:t>以她所在的公司为例，目前公司以“器械先行，药械并举，多元化发展”为理念，围绕此前积累的分销覆盖能力，在产品品类上，不断从处方药、OTC，拓展至医美、生美乃至动物药等领域，而在服务提升上，公司会定期召开各种形式的培训会议、闭门沙龙，与上下游客户一起，分享行业趋势、政策走向，同时在医械耗材服务层面，加强SPD系统建设，协助医疗机构将耗材管理做的更为精细化。</w:t>
      </w:r>
    </w:p>
    <w:p>
      <w:pPr>
        <w:ind w:firstLine="620" w:firstLineChars="200"/>
        <w:rPr>
          <w:rStyle w:val="13"/>
          <w:rFonts w:hint="eastAsia" w:ascii="PingFangSC-light" w:hAnsi="PingFangSC-light"/>
          <w:b w:val="0"/>
          <w:bCs w:val="0"/>
          <w:color w:val="000000" w:themeColor="text1"/>
          <w:spacing w:val="15"/>
          <w:sz w:val="28"/>
          <w:szCs w:val="28"/>
          <w:shd w:val="clear" w:color="auto" w:fill="FFFFFF"/>
          <w14:textFill>
            <w14:solidFill>
              <w14:schemeClr w14:val="tx1"/>
            </w14:solidFill>
          </w14:textFill>
        </w:rPr>
      </w:pPr>
      <w:r>
        <w:rPr>
          <w:rStyle w:val="13"/>
          <w:rFonts w:hint="eastAsia" w:ascii="PingFangSC-light" w:hAnsi="PingFangSC-light"/>
          <w:b w:val="0"/>
          <w:bCs w:val="0"/>
          <w:color w:val="000000" w:themeColor="text1"/>
          <w:spacing w:val="15"/>
          <w:sz w:val="28"/>
          <w:szCs w:val="28"/>
          <w:shd w:val="clear" w:color="auto" w:fill="FFFFFF"/>
          <w14:textFill>
            <w14:solidFill>
              <w14:schemeClr w14:val="tx1"/>
            </w14:solidFill>
          </w14:textFill>
        </w:rPr>
        <w:t>总结来看，大型医药流通公司能力拓展可以归结为12个字：夯实存量、挖掘增量、技术增效。</w:t>
      </w:r>
    </w:p>
    <w:p>
      <w:pPr>
        <w:ind w:firstLine="620" w:firstLineChars="200"/>
        <w:rPr>
          <w:rStyle w:val="13"/>
          <w:rFonts w:hint="eastAsia" w:ascii="PingFangSC-light" w:hAnsi="PingFangSC-light"/>
          <w:b w:val="0"/>
          <w:bCs w:val="0"/>
          <w:color w:val="000000" w:themeColor="text1"/>
          <w:spacing w:val="15"/>
          <w:sz w:val="28"/>
          <w:szCs w:val="28"/>
          <w:shd w:val="clear" w:color="auto" w:fill="FFFFFF"/>
          <w14:textFill>
            <w14:solidFill>
              <w14:schemeClr w14:val="tx1"/>
            </w14:solidFill>
          </w14:textFill>
        </w:rPr>
      </w:pPr>
      <w:r>
        <w:rPr>
          <w:rStyle w:val="13"/>
          <w:rFonts w:hint="eastAsia" w:ascii="PingFangSC-light" w:hAnsi="PingFangSC-light"/>
          <w:b w:val="0"/>
          <w:bCs w:val="0"/>
          <w:color w:val="000000" w:themeColor="text1"/>
          <w:spacing w:val="15"/>
          <w:sz w:val="28"/>
          <w:szCs w:val="28"/>
          <w:shd w:val="clear" w:color="auto" w:fill="FFFFFF"/>
          <w14:textFill>
            <w14:solidFill>
              <w14:schemeClr w14:val="tx1"/>
            </w14:solidFill>
          </w14:textFill>
        </w:rPr>
        <w:t>夯实存量，围绕“服务”开展。其目标主要是通过提供更多增值服务的方式，增加与上游药品供应商与下游药品使用终端的粘性。比如大多商业公司的做法是：凭借地域优势，协助上游企业完成各项准入，协助医疗机构做好仓储管理等。“这是传统商业一直以来的做法，不过在新的环境下，要做得更全面、更精细、更深入。”上述政府事务负责人表示。</w:t>
      </w:r>
    </w:p>
    <w:p>
      <w:pPr>
        <w:ind w:firstLine="620" w:firstLineChars="200"/>
        <w:rPr>
          <w:rStyle w:val="13"/>
          <w:rFonts w:hint="eastAsia" w:ascii="PingFangSC-light" w:hAnsi="PingFangSC-light"/>
          <w:b w:val="0"/>
          <w:bCs w:val="0"/>
          <w:color w:val="000000" w:themeColor="text1"/>
          <w:spacing w:val="15"/>
          <w:sz w:val="28"/>
          <w:szCs w:val="28"/>
          <w:shd w:val="clear" w:color="auto" w:fill="FFFFFF"/>
          <w14:textFill>
            <w14:solidFill>
              <w14:schemeClr w14:val="tx1"/>
            </w14:solidFill>
          </w14:textFill>
        </w:rPr>
      </w:pPr>
      <w:r>
        <w:rPr>
          <w:rStyle w:val="13"/>
          <w:rFonts w:hint="eastAsia" w:ascii="PingFangSC-light" w:hAnsi="PingFangSC-light"/>
          <w:b w:val="0"/>
          <w:bCs w:val="0"/>
          <w:color w:val="000000" w:themeColor="text1"/>
          <w:spacing w:val="15"/>
          <w:sz w:val="28"/>
          <w:szCs w:val="28"/>
          <w:shd w:val="clear" w:color="auto" w:fill="FFFFFF"/>
          <w14:textFill>
            <w14:solidFill>
              <w14:schemeClr w14:val="tx1"/>
            </w14:solidFill>
          </w14:textFill>
        </w:rPr>
        <w:t>挖掘增量，围绕“高附加值”开展。主要体现在向工业延伸、向多品类延伸、向“批零一体化”延伸。</w:t>
      </w:r>
    </w:p>
    <w:p>
      <w:pPr>
        <w:ind w:firstLine="620" w:firstLineChars="200"/>
        <w:rPr>
          <w:rStyle w:val="13"/>
          <w:rFonts w:hint="eastAsia" w:ascii="PingFangSC-light" w:hAnsi="PingFangSC-light"/>
          <w:b w:val="0"/>
          <w:bCs w:val="0"/>
          <w:color w:val="000000" w:themeColor="text1"/>
          <w:spacing w:val="15"/>
          <w:sz w:val="28"/>
          <w:szCs w:val="28"/>
          <w:shd w:val="clear" w:color="auto" w:fill="FFFFFF"/>
          <w14:textFill>
            <w14:solidFill>
              <w14:schemeClr w14:val="tx1"/>
            </w14:solidFill>
          </w14:textFill>
        </w:rPr>
      </w:pPr>
      <w:r>
        <w:rPr>
          <w:rStyle w:val="13"/>
          <w:rFonts w:hint="eastAsia" w:ascii="PingFangSC-light" w:hAnsi="PingFangSC-light"/>
          <w:b w:val="0"/>
          <w:bCs w:val="0"/>
          <w:color w:val="000000" w:themeColor="text1"/>
          <w:spacing w:val="15"/>
          <w:sz w:val="28"/>
          <w:szCs w:val="28"/>
          <w:shd w:val="clear" w:color="auto" w:fill="FFFFFF"/>
          <w14:textFill>
            <w14:solidFill>
              <w14:schemeClr w14:val="tx1"/>
            </w14:solidFill>
          </w14:textFill>
        </w:rPr>
        <w:t>受历史因素影响，国内医药流通公司大部分都是工商一体，只是各家比重有所不同。但在新环境下，工业板块的重要性愈加显现。以上海医药为例，2022年其医药工业板块实现收入267.58亿元，比恒瑞医药2022年的营收多出50亿元；利润22.47亿元，同比增长10.55%。</w:t>
      </w:r>
    </w:p>
    <w:p>
      <w:pPr>
        <w:ind w:firstLine="620" w:firstLineChars="200"/>
        <w:rPr>
          <w:rStyle w:val="13"/>
          <w:rFonts w:hint="eastAsia" w:ascii="PingFangSC-light" w:hAnsi="PingFangSC-light"/>
          <w:b w:val="0"/>
          <w:bCs w:val="0"/>
          <w:color w:val="000000" w:themeColor="text1"/>
          <w:spacing w:val="15"/>
          <w:sz w:val="28"/>
          <w:szCs w:val="28"/>
          <w:shd w:val="clear" w:color="auto" w:fill="FFFFFF"/>
          <w14:textFill>
            <w14:solidFill>
              <w14:schemeClr w14:val="tx1"/>
            </w14:solidFill>
          </w14:textFill>
        </w:rPr>
      </w:pPr>
      <w:r>
        <w:rPr>
          <w:rStyle w:val="13"/>
          <w:rFonts w:hint="eastAsia" w:ascii="PingFangSC-light" w:hAnsi="PingFangSC-light"/>
          <w:b w:val="0"/>
          <w:bCs w:val="0"/>
          <w:color w:val="000000" w:themeColor="text1"/>
          <w:spacing w:val="15"/>
          <w:sz w:val="28"/>
          <w:szCs w:val="28"/>
          <w:shd w:val="clear" w:color="auto" w:fill="FFFFFF"/>
          <w14:textFill>
            <w14:solidFill>
              <w14:schemeClr w14:val="tx1"/>
            </w14:solidFill>
          </w14:textFill>
        </w:rPr>
        <w:t>九州通也在积极拓展工业自产，目前拥有西药工业、中药工业自产及OEM业务，形成自有品种的集群。该业务板块，2022年为九州通带来销售收入24亿元，较上年同期增长23.48%，毛利率为23.17%，毛利额为5.59亿元。</w:t>
      </w:r>
    </w:p>
    <w:p>
      <w:pPr>
        <w:rPr>
          <w:rStyle w:val="13"/>
          <w:rFonts w:cs="Helvetica" w:asciiTheme="minorEastAsia" w:hAnsiTheme="minorEastAsia"/>
          <w:b w:val="0"/>
          <w:bCs w:val="0"/>
          <w:spacing w:val="15"/>
          <w:sz w:val="28"/>
          <w:szCs w:val="28"/>
        </w:rPr>
      </w:pPr>
      <w:r>
        <w:rPr>
          <w:rFonts w:cs="Helvetica" w:asciiTheme="minorEastAsia" w:hAnsiTheme="minorEastAsia"/>
          <w:spacing w:val="15"/>
          <w:sz w:val="28"/>
          <w:szCs w:val="28"/>
        </w:rPr>
        <w:drawing>
          <wp:inline distT="0" distB="0" distL="0" distR="0">
            <wp:extent cx="5274310" cy="3244850"/>
            <wp:effectExtent l="0" t="0" r="2540" b="0"/>
            <wp:docPr id="1125639749" name="图片 1125639749" descr="C:\Users\Administrator\Documents\WeChat Files\ppdeboke\FileStorage\Temp\f1e7722d076bc401a7f1ab79a20ba4c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5639749" name="图片 1125639749" descr="C:\Users\Administrator\Documents\WeChat Files\ppdeboke\FileStorage\Temp\f1e7722d076bc401a7f1ab79a20ba4c4.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5274310" cy="3245376"/>
                    </a:xfrm>
                    <a:prstGeom prst="rect">
                      <a:avLst/>
                    </a:prstGeom>
                    <a:noFill/>
                    <a:ln>
                      <a:noFill/>
                    </a:ln>
                  </pic:spPr>
                </pic:pic>
              </a:graphicData>
            </a:graphic>
          </wp:inline>
        </w:drawing>
      </w:r>
    </w:p>
    <w:p>
      <w:pPr>
        <w:ind w:firstLine="620" w:firstLineChars="200"/>
        <w:rPr>
          <w:rStyle w:val="13"/>
          <w:rFonts w:cs="Helvetica" w:asciiTheme="minorEastAsia" w:hAnsiTheme="minorEastAsia"/>
          <w:b w:val="0"/>
          <w:bCs w:val="0"/>
          <w:spacing w:val="15"/>
          <w:sz w:val="28"/>
          <w:szCs w:val="28"/>
        </w:rPr>
      </w:pPr>
      <w:r>
        <w:rPr>
          <w:rStyle w:val="13"/>
          <w:rFonts w:hint="eastAsia" w:cs="Helvetica" w:asciiTheme="minorEastAsia" w:hAnsiTheme="minorEastAsia"/>
          <w:b w:val="0"/>
          <w:bCs w:val="0"/>
          <w:spacing w:val="15"/>
          <w:sz w:val="28"/>
          <w:szCs w:val="28"/>
        </w:rPr>
        <w:t>最近，有多年医药行业投资经验的杨莉加入了一家区域性医药流通企业，负责投资及业务拓展。她告诉E药经理人融媒体，目前除了横向并购商业流通与医药零售之外，也在产业链上下游延展，想去并购或投资医疗器械与IVD企业，还会做一些参股型投资，谋求产业协同与生态链价值最大化。</w:t>
      </w:r>
    </w:p>
    <w:p>
      <w:pPr>
        <w:ind w:firstLine="620" w:firstLineChars="200"/>
        <w:rPr>
          <w:rStyle w:val="13"/>
          <w:rFonts w:cs="Helvetica" w:asciiTheme="minorEastAsia" w:hAnsiTheme="minorEastAsia"/>
          <w:b w:val="0"/>
          <w:bCs w:val="0"/>
          <w:spacing w:val="15"/>
          <w:sz w:val="28"/>
          <w:szCs w:val="28"/>
        </w:rPr>
      </w:pPr>
      <w:r>
        <w:rPr>
          <w:rStyle w:val="13"/>
          <w:rFonts w:hint="eastAsia" w:cs="Helvetica" w:asciiTheme="minorEastAsia" w:hAnsiTheme="minorEastAsia"/>
          <w:b w:val="0"/>
          <w:bCs w:val="0"/>
          <w:spacing w:val="15"/>
          <w:sz w:val="28"/>
          <w:szCs w:val="28"/>
        </w:rPr>
        <w:t>品类拓展上不设边界。从目前各大医药流通公司的品类布局看，包括但不限于中西成药、生物制品、医疗器械、耗材、中药饮片、医美产品等都已经纳入到其品类拓展规划中。此外，产品权益也是“百花齐放”，独家经销权、总代理权、所有权、销售分成、独家配送等，其目标很明确，“通过多产品、多合作模式的匹配，形成对不同市场渠道的竞争力，获得高于分销配送的毛利或净利。”杨萍表示。</w:t>
      </w:r>
    </w:p>
    <w:p>
      <w:pPr>
        <w:ind w:firstLine="620" w:firstLineChars="200"/>
        <w:rPr>
          <w:rStyle w:val="13"/>
          <w:rFonts w:cs="Helvetica" w:asciiTheme="minorEastAsia" w:hAnsiTheme="minorEastAsia"/>
          <w:b w:val="0"/>
          <w:bCs w:val="0"/>
          <w:spacing w:val="15"/>
          <w:sz w:val="28"/>
          <w:szCs w:val="28"/>
        </w:rPr>
      </w:pPr>
      <w:r>
        <w:rPr>
          <w:rStyle w:val="13"/>
          <w:rFonts w:hint="eastAsia" w:cs="Helvetica" w:asciiTheme="minorEastAsia" w:hAnsiTheme="minorEastAsia"/>
          <w:b w:val="0"/>
          <w:bCs w:val="0"/>
          <w:spacing w:val="15"/>
          <w:sz w:val="28"/>
          <w:szCs w:val="28"/>
        </w:rPr>
        <w:t>批零一体化力度加大。事实上，分销+物流配送+线下零售药店一直以来是大型医药物流公司的业务标配。不过在院外市场扩容、双通道政策的助推下，大型医药流通企业纷纷加大在DTP药房中的布局力度。目前国内布局DTP药房的公司有三类，分别是医药流通公司、连锁药店与医疗科技公司，从门店数量占比看，医药流通公司占比较高。</w:t>
      </w:r>
    </w:p>
    <w:p>
      <w:pPr>
        <w:ind w:firstLine="620" w:firstLineChars="200"/>
        <w:rPr>
          <w:rStyle w:val="13"/>
          <w:rFonts w:cs="Helvetica" w:asciiTheme="minorEastAsia" w:hAnsiTheme="minorEastAsia"/>
          <w:b w:val="0"/>
          <w:bCs w:val="0"/>
          <w:spacing w:val="15"/>
          <w:sz w:val="28"/>
          <w:szCs w:val="28"/>
        </w:rPr>
      </w:pPr>
      <w:r>
        <w:rPr>
          <w:rStyle w:val="13"/>
          <w:rFonts w:hint="eastAsia" w:cs="Helvetica" w:asciiTheme="minorEastAsia" w:hAnsiTheme="minorEastAsia"/>
          <w:b w:val="0"/>
          <w:bCs w:val="0"/>
          <w:spacing w:val="15"/>
          <w:sz w:val="28"/>
          <w:szCs w:val="28"/>
        </w:rPr>
        <w:t>技术增效虽是工具层面，但也产生了很多新业态，比如基于“互联网+”的各类2B/2C的平台。</w:t>
      </w:r>
    </w:p>
    <w:p>
      <w:pPr>
        <w:ind w:firstLine="620" w:firstLineChars="200"/>
        <w:rPr>
          <w:rStyle w:val="13"/>
          <w:rFonts w:cs="Helvetica" w:asciiTheme="minorEastAsia" w:hAnsiTheme="minorEastAsia"/>
          <w:b w:val="0"/>
          <w:bCs w:val="0"/>
          <w:spacing w:val="15"/>
          <w:sz w:val="28"/>
          <w:szCs w:val="28"/>
        </w:rPr>
      </w:pPr>
      <w:r>
        <w:rPr>
          <w:rStyle w:val="13"/>
          <w:rFonts w:hint="eastAsia" w:cs="Helvetica" w:asciiTheme="minorEastAsia" w:hAnsiTheme="minorEastAsia"/>
          <w:b w:val="0"/>
          <w:bCs w:val="0"/>
          <w:spacing w:val="15"/>
          <w:sz w:val="28"/>
          <w:szCs w:val="28"/>
        </w:rPr>
        <w:t>B2B比较有代表性的是九州通的药久久，2022年营收达到116亿元，占主营收入的8.3%。据九州通年报数据显示，目前该平台拥有注册用户40万+，活跃用户35万+，覆盖全国99%的行政区域。</w:t>
      </w:r>
    </w:p>
    <w:p>
      <w:pPr>
        <w:ind w:firstLine="620" w:firstLineChars="200"/>
        <w:rPr>
          <w:rStyle w:val="13"/>
          <w:rFonts w:cs="Helvetica" w:asciiTheme="minorEastAsia" w:hAnsiTheme="minorEastAsia"/>
          <w:b w:val="0"/>
          <w:bCs w:val="0"/>
          <w:spacing w:val="15"/>
          <w:sz w:val="28"/>
          <w:szCs w:val="28"/>
        </w:rPr>
      </w:pPr>
      <w:r>
        <w:rPr>
          <w:rStyle w:val="13"/>
          <w:rFonts w:hint="eastAsia" w:cs="Helvetica" w:asciiTheme="minorEastAsia" w:hAnsiTheme="minorEastAsia"/>
          <w:b w:val="0"/>
          <w:bCs w:val="0"/>
          <w:spacing w:val="15"/>
          <w:sz w:val="28"/>
          <w:szCs w:val="28"/>
        </w:rPr>
        <w:t>B2C比较有代表性的是上海医药的上药云健康。上药云健康是由上海医药孵化并持续支持的“互联网+”医药商业科技平台，2022年，上药云健康将创新药专业药房和普慢药互联网旗舰店合二为一，其自营一体化互联网医院轻问诊平台月均处方量超10万张，全年销售额已经破亿。目前，上药云健康拥有203家DTP药房及授权院边店，累计已与300多家新特药企达成合作。</w:t>
      </w:r>
    </w:p>
    <w:p>
      <w:pPr>
        <w:ind w:firstLine="620" w:firstLineChars="200"/>
        <w:rPr>
          <w:rStyle w:val="13"/>
          <w:rFonts w:cs="Helvetica" w:asciiTheme="minorEastAsia" w:hAnsiTheme="minorEastAsia"/>
          <w:b w:val="0"/>
          <w:bCs w:val="0"/>
          <w:spacing w:val="15"/>
          <w:sz w:val="28"/>
          <w:szCs w:val="28"/>
        </w:rPr>
      </w:pPr>
      <w:r>
        <w:rPr>
          <w:rStyle w:val="13"/>
          <w:rFonts w:hint="eastAsia" w:cs="Helvetica" w:asciiTheme="minorEastAsia" w:hAnsiTheme="minorEastAsia"/>
          <w:b w:val="0"/>
          <w:bCs w:val="0"/>
          <w:spacing w:val="15"/>
          <w:sz w:val="28"/>
          <w:szCs w:val="28"/>
        </w:rPr>
        <w:t>综合比较，在能力“地盘”的构建上，提供更多有“价值”服务的重要性明确彰显。</w:t>
      </w:r>
    </w:p>
    <w:p>
      <w:pPr>
        <w:ind w:firstLine="620" w:firstLineChars="200"/>
        <w:rPr>
          <w:rStyle w:val="13"/>
          <w:rFonts w:cs="Helvetica" w:asciiTheme="minorEastAsia" w:hAnsiTheme="minorEastAsia"/>
          <w:b w:val="0"/>
          <w:bCs w:val="0"/>
          <w:spacing w:val="15"/>
          <w:sz w:val="28"/>
          <w:szCs w:val="28"/>
        </w:rPr>
      </w:pPr>
      <w:r>
        <w:rPr>
          <w:rStyle w:val="13"/>
          <w:rFonts w:hint="eastAsia" w:cs="Helvetica" w:asciiTheme="minorEastAsia" w:hAnsiTheme="minorEastAsia"/>
          <w:b w:val="0"/>
          <w:bCs w:val="0"/>
          <w:spacing w:val="15"/>
          <w:sz w:val="28"/>
          <w:szCs w:val="28"/>
        </w:rPr>
        <w:t>国药控股在2022年年报中写道，接下来，公司将“以价值创造为关键抓手，以持续高质量发展为首要任务，提升市场份额、优化服务能力、改善运营效率、严控业务风险，加速推进业务转型升级，迈入全新发展阶段。”</w:t>
      </w:r>
    </w:p>
    <w:p>
      <w:pPr>
        <w:ind w:firstLine="620" w:firstLineChars="200"/>
        <w:rPr>
          <w:rStyle w:val="13"/>
          <w:rFonts w:cs="Helvetica" w:asciiTheme="minorEastAsia" w:hAnsiTheme="minorEastAsia"/>
          <w:b w:val="0"/>
          <w:bCs w:val="0"/>
          <w:spacing w:val="15"/>
          <w:sz w:val="28"/>
          <w:szCs w:val="28"/>
        </w:rPr>
      </w:pPr>
      <w:r>
        <w:rPr>
          <w:rStyle w:val="13"/>
          <w:rFonts w:hint="eastAsia" w:cs="Helvetica" w:asciiTheme="minorEastAsia" w:hAnsiTheme="minorEastAsia"/>
          <w:b w:val="0"/>
          <w:bCs w:val="0"/>
          <w:spacing w:val="15"/>
          <w:sz w:val="28"/>
          <w:szCs w:val="28"/>
        </w:rPr>
        <w:t>路径也明确，首先是持续拓展物理“地盘”，持续拓展终端网络，巩固分销龙头地位。提升各等级医院的销售份额，补充完善地级市、县级医疗机构的业务布局。</w:t>
      </w:r>
    </w:p>
    <w:p>
      <w:pPr>
        <w:ind w:firstLine="620" w:firstLineChars="200"/>
        <w:rPr>
          <w:rStyle w:val="13"/>
          <w:rFonts w:cs="Helvetica" w:asciiTheme="minorEastAsia" w:hAnsiTheme="minorEastAsia"/>
          <w:b w:val="0"/>
          <w:bCs w:val="0"/>
          <w:spacing w:val="15"/>
          <w:sz w:val="28"/>
          <w:szCs w:val="28"/>
        </w:rPr>
      </w:pPr>
      <w:r>
        <w:rPr>
          <w:rStyle w:val="13"/>
          <w:rFonts w:hint="eastAsia" w:cs="Helvetica" w:asciiTheme="minorEastAsia" w:hAnsiTheme="minorEastAsia"/>
          <w:b w:val="0"/>
          <w:bCs w:val="0"/>
          <w:spacing w:val="15"/>
          <w:sz w:val="28"/>
          <w:szCs w:val="28"/>
        </w:rPr>
        <w:t>其次是延展能力“地盘”，“拓展增值服务项目，强化延伸服务能力。拓展器械制造、医疗资产智能管理和第三方配套服务等创新业务，加速完善覆盖器械品类全生命周期的供应链服务能力。”</w:t>
      </w:r>
    </w:p>
    <w:p>
      <w:pPr>
        <w:ind w:firstLine="620" w:firstLineChars="200"/>
        <w:rPr>
          <w:rStyle w:val="13"/>
          <w:rFonts w:cs="Helvetica" w:asciiTheme="minorEastAsia" w:hAnsiTheme="minorEastAsia"/>
          <w:b w:val="0"/>
          <w:bCs w:val="0"/>
          <w:spacing w:val="15"/>
          <w:sz w:val="28"/>
          <w:szCs w:val="28"/>
        </w:rPr>
      </w:pPr>
      <w:r>
        <w:rPr>
          <w:rStyle w:val="13"/>
          <w:rFonts w:hint="eastAsia" w:cs="Helvetica" w:asciiTheme="minorEastAsia" w:hAnsiTheme="minorEastAsia"/>
          <w:b w:val="0"/>
          <w:bCs w:val="0"/>
          <w:spacing w:val="15"/>
          <w:sz w:val="28"/>
          <w:szCs w:val="28"/>
        </w:rPr>
        <w:t>第三是持续发力批零一体化，“以患者为中心打造综合性全国医药零售平台，持续提升在线线下一体化服务能力。”</w:t>
      </w:r>
    </w:p>
    <w:p>
      <w:pPr>
        <w:ind w:firstLine="620" w:firstLineChars="200"/>
        <w:rPr>
          <w:rStyle w:val="13"/>
          <w:rFonts w:cs="Helvetica" w:asciiTheme="minorEastAsia" w:hAnsiTheme="minorEastAsia"/>
          <w:b w:val="0"/>
          <w:bCs w:val="0"/>
          <w:spacing w:val="15"/>
          <w:sz w:val="28"/>
          <w:szCs w:val="28"/>
        </w:rPr>
      </w:pPr>
      <w:r>
        <w:rPr>
          <w:rStyle w:val="13"/>
          <w:rFonts w:hint="eastAsia" w:cs="Helvetica" w:asciiTheme="minorEastAsia" w:hAnsiTheme="minorEastAsia"/>
          <w:b w:val="0"/>
          <w:bCs w:val="0"/>
          <w:spacing w:val="15"/>
          <w:sz w:val="28"/>
          <w:szCs w:val="28"/>
        </w:rPr>
        <w:t>此外，国药控股还希望创新服务能力，在医、药、险三个领域，以患者为中心逐步整合服务体系，构建新服务生态，持续加强与科研院所、高校、科技型企业的融合协作。</w:t>
      </w:r>
    </w:p>
    <w:p>
      <w:pPr>
        <w:ind w:firstLine="620" w:firstLineChars="200"/>
        <w:rPr>
          <w:rStyle w:val="13"/>
          <w:rFonts w:cs="Helvetica" w:asciiTheme="minorEastAsia" w:hAnsiTheme="minorEastAsia"/>
          <w:b w:val="0"/>
          <w:bCs w:val="0"/>
          <w:spacing w:val="15"/>
          <w:sz w:val="28"/>
          <w:szCs w:val="28"/>
        </w:rPr>
      </w:pPr>
      <w:r>
        <w:rPr>
          <w:rStyle w:val="13"/>
          <w:rFonts w:hint="eastAsia" w:cs="Helvetica" w:asciiTheme="minorEastAsia" w:hAnsiTheme="minorEastAsia"/>
          <w:b w:val="0"/>
          <w:bCs w:val="0"/>
          <w:spacing w:val="15"/>
          <w:sz w:val="28"/>
          <w:szCs w:val="28"/>
        </w:rPr>
        <w:t>“有点遗憾，在四家全国布局的医药流通企业中，其未来战略重点大部分都是围绕着业务讨论，鲜少有将人才作为重要的议题提出来。国药控股2022年年报里只有6处提到'人才，华润医药15处，上海医药14处，九州通23处。”一位长期关注医药流通产业发展的行业人士觉得，这些看似微不足道的细节，事实上折射出医药流通企业对自己的定位：劳动密集型还是创新密集型？</w:t>
      </w:r>
    </w:p>
    <w:p>
      <w:pPr>
        <w:ind w:firstLine="620" w:firstLineChars="200"/>
        <w:rPr>
          <w:rStyle w:val="13"/>
          <w:rFonts w:cs="Helvetica" w:asciiTheme="minorEastAsia" w:hAnsiTheme="minorEastAsia"/>
          <w:b w:val="0"/>
          <w:bCs w:val="0"/>
          <w:spacing w:val="15"/>
          <w:sz w:val="28"/>
          <w:szCs w:val="28"/>
        </w:rPr>
      </w:pPr>
      <w:r>
        <w:rPr>
          <w:rStyle w:val="13"/>
          <w:rFonts w:hint="eastAsia" w:cs="Helvetica" w:asciiTheme="minorEastAsia" w:hAnsiTheme="minorEastAsia"/>
          <w:b w:val="0"/>
          <w:bCs w:val="0"/>
          <w:spacing w:val="15"/>
          <w:sz w:val="28"/>
          <w:szCs w:val="28"/>
        </w:rPr>
        <w:t>他观察到，“一直以来，医药流通企业大部分是在被动适应政策带来的影响，而缺少对政策以及上游供应商需求的预判能力，这对于一个总营收达到两万亿元的大产业而言，是不应该的。”武滨也持类似观点。</w:t>
      </w:r>
    </w:p>
    <w:p>
      <w:pPr>
        <w:ind w:firstLine="620" w:firstLineChars="200"/>
        <w:rPr>
          <w:rStyle w:val="13"/>
          <w:rFonts w:cs="Helvetica" w:asciiTheme="minorEastAsia" w:hAnsiTheme="minorEastAsia"/>
          <w:b w:val="0"/>
          <w:bCs w:val="0"/>
          <w:spacing w:val="15"/>
          <w:sz w:val="28"/>
          <w:szCs w:val="28"/>
        </w:rPr>
      </w:pPr>
      <w:r>
        <w:rPr>
          <w:rStyle w:val="13"/>
          <w:rFonts w:hint="eastAsia" w:cs="Helvetica" w:asciiTheme="minorEastAsia" w:hAnsiTheme="minorEastAsia"/>
          <w:b w:val="0"/>
          <w:bCs w:val="0"/>
          <w:spacing w:val="15"/>
          <w:sz w:val="28"/>
          <w:szCs w:val="28"/>
        </w:rPr>
        <w:t>结合海外医药流通企业的发展轨迹，武滨认为医药流通企业在医药产业中的作用应该是价值发现后的价值创造，以及深耕产业后的创新趋势引领，而目前的状态是，“从连接价值到发掘价值，再到创造价值，中国医药流通企业'连接'做得可以，发掘正在进行，'创造'还待提升。”</w:t>
      </w:r>
    </w:p>
    <w:p>
      <w:pPr>
        <w:ind w:firstLine="620" w:firstLineChars="200"/>
        <w:rPr>
          <w:rStyle w:val="13"/>
          <w:rFonts w:cs="Helvetica" w:asciiTheme="minorEastAsia" w:hAnsiTheme="minorEastAsia"/>
          <w:b w:val="0"/>
          <w:bCs w:val="0"/>
          <w:spacing w:val="15"/>
          <w:sz w:val="28"/>
          <w:szCs w:val="28"/>
        </w:rPr>
      </w:pPr>
      <w:r>
        <w:rPr>
          <w:rStyle w:val="13"/>
          <w:rFonts w:hint="eastAsia" w:cs="Helvetica" w:asciiTheme="minorEastAsia" w:hAnsiTheme="minorEastAsia"/>
          <w:b w:val="0"/>
          <w:bCs w:val="0"/>
          <w:spacing w:val="15"/>
          <w:sz w:val="28"/>
          <w:szCs w:val="28"/>
        </w:rPr>
        <w:t>所以，从这一视角来看，能力“地盘”提升才刚刚开始。</w:t>
      </w:r>
    </w:p>
    <w:p>
      <w:pPr>
        <w:widowControl/>
        <w:spacing w:before="100" w:beforeAutospacing="1" w:after="100" w:afterAutospacing="1" w:line="900" w:lineRule="atLeast"/>
        <w:outlineLvl w:val="1"/>
        <w:rPr>
          <w:rFonts w:ascii="微软雅黑" w:hAnsi="微软雅黑" w:eastAsia="微软雅黑" w:cs="宋体"/>
          <w:b/>
          <w:color w:val="333333"/>
          <w:kern w:val="36"/>
          <w:sz w:val="24"/>
        </w:rPr>
      </w:pPr>
    </w:p>
    <w:p>
      <w:pPr>
        <w:widowControl/>
        <w:spacing w:before="100" w:beforeAutospacing="1" w:after="100" w:afterAutospacing="1" w:line="900" w:lineRule="atLeast"/>
        <w:outlineLvl w:val="1"/>
        <w:rPr>
          <w:rFonts w:ascii="微软雅黑" w:hAnsi="微软雅黑" w:eastAsia="微软雅黑" w:cs="宋体"/>
          <w:b/>
          <w:color w:val="333333"/>
          <w:kern w:val="36"/>
          <w:sz w:val="24"/>
        </w:rPr>
      </w:pPr>
    </w:p>
    <w:p>
      <w:pPr>
        <w:widowControl/>
        <w:spacing w:before="100" w:beforeAutospacing="1" w:after="100" w:afterAutospacing="1" w:line="900" w:lineRule="atLeast"/>
        <w:outlineLvl w:val="1"/>
        <w:rPr>
          <w:rFonts w:ascii="微软雅黑" w:hAnsi="微软雅黑" w:eastAsia="微软雅黑" w:cs="宋体"/>
          <w:b/>
          <w:color w:val="333333"/>
          <w:kern w:val="36"/>
          <w:sz w:val="24"/>
        </w:rPr>
      </w:pPr>
    </w:p>
    <w:p>
      <w:pPr>
        <w:widowControl/>
        <w:spacing w:before="100" w:beforeAutospacing="1" w:after="100" w:afterAutospacing="1" w:line="900" w:lineRule="atLeast"/>
        <w:outlineLvl w:val="1"/>
        <w:rPr>
          <w:rFonts w:ascii="微软雅黑" w:hAnsi="微软雅黑" w:eastAsia="微软雅黑" w:cs="宋体"/>
          <w:b/>
          <w:color w:val="333333"/>
          <w:kern w:val="36"/>
          <w:sz w:val="24"/>
        </w:rPr>
      </w:pPr>
    </w:p>
    <w:p>
      <w:pPr>
        <w:widowControl/>
        <w:spacing w:before="100" w:beforeAutospacing="1" w:after="100" w:afterAutospacing="1" w:line="900" w:lineRule="atLeast"/>
        <w:outlineLvl w:val="1"/>
        <w:rPr>
          <w:rFonts w:ascii="微软雅黑" w:hAnsi="微软雅黑" w:eastAsia="微软雅黑" w:cs="宋体"/>
          <w:b/>
          <w:color w:val="333333"/>
          <w:kern w:val="36"/>
          <w:sz w:val="24"/>
        </w:rPr>
      </w:pPr>
    </w:p>
    <w:p>
      <w:pPr>
        <w:widowControl/>
        <w:spacing w:before="100" w:beforeAutospacing="1" w:after="100" w:afterAutospacing="1" w:line="900" w:lineRule="atLeast"/>
        <w:outlineLvl w:val="1"/>
        <w:rPr>
          <w:rFonts w:ascii="微软雅黑" w:hAnsi="微软雅黑" w:eastAsia="微软雅黑" w:cs="宋体"/>
          <w:b/>
          <w:color w:val="333333"/>
          <w:kern w:val="36"/>
          <w:sz w:val="24"/>
        </w:rPr>
      </w:pPr>
    </w:p>
    <w:p>
      <w:pPr>
        <w:widowControl/>
        <w:spacing w:before="100" w:beforeAutospacing="1" w:after="100" w:afterAutospacing="1" w:line="900" w:lineRule="atLeast"/>
        <w:outlineLvl w:val="1"/>
        <w:rPr>
          <w:rFonts w:ascii="微软雅黑" w:hAnsi="微软雅黑" w:eastAsia="微软雅黑" w:cs="宋体"/>
          <w:b/>
          <w:color w:val="333333"/>
          <w:kern w:val="36"/>
          <w:sz w:val="24"/>
        </w:rPr>
      </w:pPr>
    </w:p>
    <w:p>
      <w:pPr>
        <w:widowControl/>
        <w:spacing w:before="100" w:beforeAutospacing="1" w:after="100" w:afterAutospacing="1" w:line="900" w:lineRule="atLeast"/>
        <w:outlineLvl w:val="1"/>
        <w:rPr>
          <w:rFonts w:ascii="微软雅黑" w:hAnsi="微软雅黑" w:eastAsia="微软雅黑" w:cs="宋体"/>
          <w:b/>
          <w:color w:val="333333"/>
          <w:kern w:val="36"/>
          <w:sz w:val="24"/>
        </w:rPr>
      </w:pPr>
      <w:r>
        <w:rPr>
          <w:rFonts w:hint="eastAsia" w:ascii="微软雅黑" w:hAnsi="微软雅黑" w:eastAsia="微软雅黑" w:cs="宋体"/>
          <w:b/>
          <w:color w:val="333333"/>
          <w:kern w:val="36"/>
          <w:sz w:val="24"/>
        </w:rPr>
        <w:t>附件3</w:t>
      </w:r>
    </w:p>
    <w:p>
      <w:pPr>
        <w:jc w:val="left"/>
        <w:rPr>
          <w:rFonts w:ascii="微软雅黑" w:hAnsi="微软雅黑" w:eastAsia="微软雅黑" w:cs="宋体"/>
          <w:color w:val="333333"/>
          <w:spacing w:val="8"/>
          <w:kern w:val="0"/>
          <w:sz w:val="33"/>
          <w:szCs w:val="33"/>
        </w:rPr>
      </w:pPr>
    </w:p>
    <w:p>
      <w:pPr>
        <w:jc w:val="left"/>
      </w:pPr>
      <w:r>
        <w:rPr>
          <w:rFonts w:hint="eastAsia" w:ascii="微软雅黑" w:hAnsi="微软雅黑" w:eastAsia="微软雅黑" w:cs="宋体"/>
          <w:color w:val="333333"/>
          <w:spacing w:val="8"/>
          <w:kern w:val="0"/>
          <w:sz w:val="33"/>
          <w:szCs w:val="33"/>
        </w:rPr>
        <w:t>销售规模超2600亿！网上药店“地盘”持续扩张，全域融合时代来临</w:t>
      </w:r>
    </w:p>
    <w:p/>
    <w:p>
      <w:r>
        <w:rPr>
          <w:rFonts w:hint="eastAsia"/>
        </w:rPr>
        <w:t>来源：米内零售观察    2023-08-01</w:t>
      </w:r>
    </w:p>
    <w:p>
      <w:pPr>
        <w:rPr>
          <w:rStyle w:val="13"/>
          <w:rFonts w:cs="Helvetica" w:asciiTheme="minorEastAsia" w:hAnsiTheme="minorEastAsia"/>
          <w:b w:val="0"/>
          <w:spacing w:val="15"/>
          <w:sz w:val="96"/>
          <w:szCs w:val="28"/>
        </w:rPr>
      </w:pPr>
    </w:p>
    <w:p>
      <w:pPr>
        <w:rPr>
          <w:rStyle w:val="13"/>
          <w:spacing w:val="30"/>
        </w:rPr>
      </w:pPr>
    </w:p>
    <w:p>
      <w:pPr>
        <w:ind w:firstLine="620" w:firstLineChars="200"/>
        <w:rPr>
          <w:rStyle w:val="13"/>
          <w:rFonts w:cs="Helvetica" w:asciiTheme="minorEastAsia" w:hAnsiTheme="minorEastAsia"/>
          <w:b w:val="0"/>
          <w:spacing w:val="15"/>
          <w:sz w:val="28"/>
          <w:szCs w:val="28"/>
        </w:rPr>
      </w:pPr>
      <w:r>
        <w:rPr>
          <w:rStyle w:val="13"/>
          <w:rFonts w:hint="eastAsia" w:cs="Helvetica" w:asciiTheme="minorEastAsia" w:hAnsiTheme="minorEastAsia"/>
          <w:b w:val="0"/>
          <w:spacing w:val="15"/>
          <w:sz w:val="28"/>
          <w:szCs w:val="28"/>
        </w:rPr>
        <w:t>销售规模（含药品和非药品）超2600亿元、销售额占比从2016年的5.80%提升至2022年的29.90%；药品销售额达507亿元、同比增长37.6%、七年复合增长率达48.4%......这几组数据，足以向业内展示医药电商的未来可期。</w:t>
      </w:r>
    </w:p>
    <w:p>
      <w:pPr>
        <w:ind w:firstLine="620" w:firstLineChars="200"/>
        <w:rPr>
          <w:rStyle w:val="13"/>
          <w:rFonts w:cs="Helvetica" w:asciiTheme="minorEastAsia" w:hAnsiTheme="minorEastAsia"/>
          <w:b w:val="0"/>
          <w:spacing w:val="15"/>
          <w:sz w:val="28"/>
          <w:szCs w:val="28"/>
        </w:rPr>
      </w:pPr>
      <w:r>
        <w:rPr>
          <w:rStyle w:val="13"/>
          <w:rFonts w:hint="eastAsia" w:cs="Helvetica" w:asciiTheme="minorEastAsia" w:hAnsiTheme="minorEastAsia"/>
          <w:b w:val="0"/>
          <w:spacing w:val="15"/>
          <w:sz w:val="28"/>
          <w:szCs w:val="28"/>
        </w:rPr>
        <w:t>“行业长期增长逻辑不变，B2C医药电商的增长动力已逐渐向药品转移。”米内网商务中心副总监、中国医药教育协会药店管理专委会秘书长焦启明分析认为，未来医药电商下沉趋势明显。</w:t>
      </w:r>
    </w:p>
    <w:p>
      <w:pPr>
        <w:ind w:firstLine="620" w:firstLineChars="200"/>
        <w:rPr>
          <w:rStyle w:val="13"/>
          <w:rFonts w:cs="Helvetica" w:asciiTheme="minorEastAsia" w:hAnsiTheme="minorEastAsia"/>
          <w:b w:val="0"/>
          <w:spacing w:val="15"/>
          <w:sz w:val="28"/>
          <w:szCs w:val="28"/>
        </w:rPr>
      </w:pPr>
      <w:r>
        <w:rPr>
          <w:rStyle w:val="13"/>
          <w:rFonts w:hint="eastAsia" w:cs="Helvetica" w:asciiTheme="minorEastAsia" w:hAnsiTheme="minorEastAsia"/>
          <w:b w:val="0"/>
          <w:spacing w:val="15"/>
          <w:sz w:val="28"/>
          <w:szCs w:val="28"/>
        </w:rPr>
        <w:t>“网上药店改变了药品可及性，从驱动因素看，政策推进处方外流，药品持续流向院外零售端，供给规范化进一步加强；同时，线上购药在便利性、SKU的丰富性等方面更具优势，药品零售的线上化是用户需求推动下的自然趋势。”他建议，业界可关注处方药、健康消费升级类产品。</w:t>
      </w:r>
    </w:p>
    <w:p>
      <w:pPr>
        <w:ind w:firstLine="622" w:firstLineChars="200"/>
        <w:rPr>
          <w:rStyle w:val="13"/>
          <w:rFonts w:cs="Helvetica" w:asciiTheme="minorEastAsia" w:hAnsiTheme="minorEastAsia"/>
          <w:spacing w:val="15"/>
          <w:sz w:val="28"/>
          <w:szCs w:val="28"/>
        </w:rPr>
      </w:pPr>
      <w:r>
        <w:rPr>
          <w:rStyle w:val="13"/>
          <w:rFonts w:hint="eastAsia" w:cs="Helvetica" w:asciiTheme="minorEastAsia" w:hAnsiTheme="minorEastAsia"/>
          <w:spacing w:val="15"/>
          <w:sz w:val="28"/>
          <w:szCs w:val="28"/>
        </w:rPr>
        <w:t>同比增长16.7％ 网上药店“地盘”持续扩张</w:t>
      </w:r>
    </w:p>
    <w:p>
      <w:pPr>
        <w:ind w:firstLine="620" w:firstLineChars="200"/>
        <w:rPr>
          <w:rStyle w:val="13"/>
          <w:rFonts w:cs="Helvetica" w:asciiTheme="minorEastAsia" w:hAnsiTheme="minorEastAsia"/>
          <w:b w:val="0"/>
          <w:spacing w:val="15"/>
          <w:sz w:val="28"/>
          <w:szCs w:val="28"/>
        </w:rPr>
      </w:pPr>
      <w:r>
        <w:rPr>
          <w:rStyle w:val="13"/>
          <w:rFonts w:hint="eastAsia" w:cs="Helvetica" w:asciiTheme="minorEastAsia" w:hAnsiTheme="minorEastAsia"/>
          <w:b w:val="0"/>
          <w:spacing w:val="15"/>
          <w:sz w:val="28"/>
          <w:szCs w:val="28"/>
        </w:rPr>
        <w:t>随着处方药网售政策放开、线上医保支付打通、电子处方流转等利好政策的加速释放，“互联网+医疗”服务迎来历史发展新机遇。</w:t>
      </w:r>
    </w:p>
    <w:p>
      <w:pPr>
        <w:ind w:firstLine="620" w:firstLineChars="200"/>
        <w:rPr>
          <w:rStyle w:val="13"/>
          <w:rFonts w:cs="Helvetica" w:asciiTheme="minorEastAsia" w:hAnsiTheme="minorEastAsia"/>
          <w:b w:val="0"/>
          <w:spacing w:val="15"/>
          <w:sz w:val="28"/>
          <w:szCs w:val="28"/>
        </w:rPr>
      </w:pPr>
      <w:r>
        <w:rPr>
          <w:rStyle w:val="13"/>
          <w:rFonts w:hint="eastAsia" w:cs="Helvetica" w:asciiTheme="minorEastAsia" w:hAnsiTheme="minorEastAsia"/>
          <w:b w:val="0"/>
          <w:spacing w:val="15"/>
          <w:sz w:val="28"/>
          <w:szCs w:val="28"/>
        </w:rPr>
        <w:t>米内网数据显示，按终端平均零售价计算，2022年中国实体药店和网上药店(含药品和非药品)销售规模达8725亿元，同比增长9.7%。</w:t>
      </w:r>
    </w:p>
    <w:p>
      <w:pPr>
        <w:ind w:firstLine="620" w:firstLineChars="200"/>
        <w:rPr>
          <w:rStyle w:val="13"/>
          <w:rFonts w:cs="Helvetica" w:asciiTheme="minorEastAsia" w:hAnsiTheme="minorEastAsia"/>
          <w:b w:val="0"/>
          <w:spacing w:val="15"/>
          <w:sz w:val="28"/>
          <w:szCs w:val="28"/>
        </w:rPr>
      </w:pPr>
      <w:r>
        <w:rPr>
          <w:rStyle w:val="13"/>
          <w:rFonts w:hint="eastAsia" w:cs="Helvetica" w:asciiTheme="minorEastAsia" w:hAnsiTheme="minorEastAsia"/>
          <w:b w:val="0"/>
          <w:spacing w:val="15"/>
          <w:sz w:val="28"/>
          <w:szCs w:val="28"/>
        </w:rPr>
        <w:t>2013-2022年中国实体药店和网上药店(含药品和非药品)销售情况（单位：亿元）</w:t>
      </w:r>
    </w:p>
    <w:p>
      <w:pPr>
        <w:rPr>
          <w:rStyle w:val="13"/>
          <w:rFonts w:cs="Helvetica" w:asciiTheme="minorEastAsia" w:hAnsiTheme="minorEastAsia"/>
          <w:b w:val="0"/>
          <w:spacing w:val="15"/>
          <w:sz w:val="28"/>
          <w:szCs w:val="28"/>
        </w:rPr>
      </w:pPr>
      <w:r>
        <w:rPr>
          <w:rFonts w:cs="Helvetica" w:asciiTheme="minorEastAsia" w:hAnsiTheme="minorEastAsia"/>
          <w:bCs/>
          <w:spacing w:val="15"/>
          <w:sz w:val="28"/>
          <w:szCs w:val="28"/>
        </w:rPr>
        <w:drawing>
          <wp:inline distT="0" distB="0" distL="0" distR="0">
            <wp:extent cx="5274310" cy="2838450"/>
            <wp:effectExtent l="0" t="0" r="2540" b="0"/>
            <wp:docPr id="1" name="图片 1" descr="C:\Users\Administrator\Documents\WeChat Files\ppdeboke\FileStorage\Temp\16920697095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strator\Documents\WeChat Files\ppdeboke\FileStorage\Temp\1692069709535.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5274310" cy="2838797"/>
                    </a:xfrm>
                    <a:prstGeom prst="rect">
                      <a:avLst/>
                    </a:prstGeom>
                    <a:noFill/>
                    <a:ln>
                      <a:noFill/>
                    </a:ln>
                  </pic:spPr>
                </pic:pic>
              </a:graphicData>
            </a:graphic>
          </wp:inline>
        </w:drawing>
      </w:r>
    </w:p>
    <w:p>
      <w:pPr>
        <w:ind w:firstLine="620" w:firstLineChars="200"/>
        <w:rPr>
          <w:rStyle w:val="13"/>
          <w:rFonts w:cs="Helvetica" w:asciiTheme="minorEastAsia" w:hAnsiTheme="minorEastAsia"/>
          <w:b w:val="0"/>
          <w:spacing w:val="15"/>
          <w:sz w:val="28"/>
          <w:szCs w:val="28"/>
        </w:rPr>
      </w:pPr>
      <w:r>
        <w:rPr>
          <w:rStyle w:val="13"/>
          <w:rFonts w:hint="eastAsia" w:cs="Helvetica" w:asciiTheme="minorEastAsia" w:hAnsiTheme="minorEastAsia"/>
          <w:b w:val="0"/>
          <w:spacing w:val="15"/>
          <w:sz w:val="28"/>
          <w:szCs w:val="28"/>
        </w:rPr>
        <w:t>2022年中国网上药店(含药品和非药品)销售规模达2608亿元，受中国经济大环境与网上药店规模影响，增速有所放缓，同比增长16.7%。实体药店(含药品和非药品)2022年销售规模为6117亿元，同比增长7.0%，恢复快速增长态势。</w:t>
      </w:r>
    </w:p>
    <w:p>
      <w:pPr>
        <w:ind w:firstLine="620" w:firstLineChars="200"/>
        <w:rPr>
          <w:rStyle w:val="13"/>
          <w:rFonts w:cs="Helvetica" w:asciiTheme="minorEastAsia" w:hAnsiTheme="minorEastAsia"/>
          <w:b w:val="0"/>
          <w:spacing w:val="15"/>
          <w:sz w:val="28"/>
          <w:szCs w:val="28"/>
        </w:rPr>
      </w:pPr>
      <w:r>
        <w:rPr>
          <w:rStyle w:val="13"/>
          <w:rFonts w:hint="eastAsia" w:cs="Helvetica" w:asciiTheme="minorEastAsia" w:hAnsiTheme="minorEastAsia"/>
          <w:b w:val="0"/>
          <w:spacing w:val="15"/>
          <w:sz w:val="28"/>
          <w:szCs w:val="28"/>
        </w:rPr>
        <w:t>2013-2022年中国网上药店(含药品和非药品)销售情况（单位：亿元）</w:t>
      </w:r>
    </w:p>
    <w:p>
      <w:pPr>
        <w:rPr>
          <w:rStyle w:val="13"/>
          <w:rFonts w:cs="Helvetica" w:asciiTheme="minorEastAsia" w:hAnsiTheme="minorEastAsia"/>
          <w:b w:val="0"/>
          <w:spacing w:val="15"/>
          <w:sz w:val="28"/>
          <w:szCs w:val="28"/>
        </w:rPr>
      </w:pPr>
      <w:r>
        <w:rPr>
          <w:rFonts w:cs="Helvetica" w:asciiTheme="minorEastAsia" w:hAnsiTheme="minorEastAsia"/>
          <w:bCs/>
          <w:spacing w:val="15"/>
          <w:sz w:val="28"/>
          <w:szCs w:val="28"/>
        </w:rPr>
        <w:drawing>
          <wp:inline distT="0" distB="0" distL="0" distR="0">
            <wp:extent cx="5274310" cy="2982595"/>
            <wp:effectExtent l="0" t="0" r="2540" b="8255"/>
            <wp:docPr id="5" name="图片 5" descr="C:\Users\Administrator\Documents\WeChat Files\ppdeboke\FileStorage\Temp\16920699009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Documents\WeChat Files\ppdeboke\FileStorage\Temp\1692069900983.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5274310" cy="2982597"/>
                    </a:xfrm>
                    <a:prstGeom prst="rect">
                      <a:avLst/>
                    </a:prstGeom>
                    <a:noFill/>
                    <a:ln>
                      <a:noFill/>
                    </a:ln>
                  </pic:spPr>
                </pic:pic>
              </a:graphicData>
            </a:graphic>
          </wp:inline>
        </w:drawing>
      </w:r>
    </w:p>
    <w:p>
      <w:pPr>
        <w:ind w:firstLine="620" w:firstLineChars="200"/>
        <w:rPr>
          <w:rStyle w:val="13"/>
          <w:rFonts w:cs="Helvetica" w:asciiTheme="minorEastAsia" w:hAnsiTheme="minorEastAsia"/>
          <w:b w:val="0"/>
          <w:spacing w:val="15"/>
          <w:sz w:val="28"/>
          <w:szCs w:val="28"/>
        </w:rPr>
      </w:pPr>
      <w:r>
        <w:rPr>
          <w:rStyle w:val="13"/>
          <w:rFonts w:cs="Helvetica" w:asciiTheme="minorEastAsia" w:hAnsiTheme="minorEastAsia"/>
          <w:b w:val="0"/>
          <w:spacing w:val="15"/>
          <w:sz w:val="28"/>
          <w:szCs w:val="28"/>
        </w:rPr>
        <w:t>2013-2022中国实体药店(含药品和非药品)销售情况（单位：亿元）</w:t>
      </w:r>
    </w:p>
    <w:p>
      <w:pPr>
        <w:rPr>
          <w:rStyle w:val="13"/>
          <w:rFonts w:cs="Helvetica" w:asciiTheme="minorEastAsia" w:hAnsiTheme="minorEastAsia"/>
          <w:b w:val="0"/>
          <w:spacing w:val="15"/>
          <w:sz w:val="28"/>
          <w:szCs w:val="28"/>
        </w:rPr>
      </w:pPr>
      <w:r>
        <w:rPr>
          <w:rFonts w:cs="Helvetica" w:asciiTheme="minorEastAsia" w:hAnsiTheme="minorEastAsia"/>
          <w:bCs/>
          <w:spacing w:val="15"/>
          <w:sz w:val="28"/>
          <w:szCs w:val="28"/>
        </w:rPr>
        <w:drawing>
          <wp:inline distT="0" distB="0" distL="0" distR="0">
            <wp:extent cx="5274310" cy="2804795"/>
            <wp:effectExtent l="0" t="0" r="2540" b="0"/>
            <wp:docPr id="6" name="图片 6" descr="C:\Users\Administrator\Documents\WeChat Files\ppdeboke\FileStorage\Temp\16920699501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Documents\WeChat Files\ppdeboke\FileStorage\Temp\1692069950199.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5274310" cy="2805152"/>
                    </a:xfrm>
                    <a:prstGeom prst="rect">
                      <a:avLst/>
                    </a:prstGeom>
                    <a:noFill/>
                    <a:ln>
                      <a:noFill/>
                    </a:ln>
                  </pic:spPr>
                </pic:pic>
              </a:graphicData>
            </a:graphic>
          </wp:inline>
        </w:drawing>
      </w:r>
    </w:p>
    <w:p>
      <w:pPr>
        <w:ind w:firstLine="620" w:firstLineChars="200"/>
        <w:rPr>
          <w:rStyle w:val="13"/>
          <w:rFonts w:cs="Helvetica" w:asciiTheme="minorEastAsia" w:hAnsiTheme="minorEastAsia"/>
          <w:b w:val="0"/>
          <w:spacing w:val="15"/>
          <w:sz w:val="28"/>
          <w:szCs w:val="28"/>
        </w:rPr>
      </w:pPr>
      <w:r>
        <w:rPr>
          <w:rStyle w:val="13"/>
          <w:rFonts w:hint="eastAsia" w:cs="Helvetica" w:asciiTheme="minorEastAsia" w:hAnsiTheme="minorEastAsia"/>
          <w:b w:val="0"/>
          <w:spacing w:val="15"/>
          <w:sz w:val="28"/>
          <w:szCs w:val="28"/>
        </w:rPr>
        <w:t>尽管药品的线下销售仍远超线上，但可以看到这个差距在不断缩小。从零售药店类型看，网上药店（含药品和非药品）销售额占比从2016年的5.80％提升至2022年的29.90％，网上药店的“地盘”仍在持续扩张。</w:t>
      </w:r>
    </w:p>
    <w:p>
      <w:pPr>
        <w:ind w:firstLine="620" w:firstLineChars="200"/>
        <w:rPr>
          <w:rStyle w:val="13"/>
          <w:rFonts w:cs="Helvetica" w:asciiTheme="minorEastAsia" w:hAnsiTheme="minorEastAsia"/>
          <w:b w:val="0"/>
          <w:spacing w:val="15"/>
          <w:sz w:val="28"/>
          <w:szCs w:val="28"/>
        </w:rPr>
      </w:pPr>
      <w:r>
        <w:rPr>
          <w:rStyle w:val="13"/>
          <w:rFonts w:hint="eastAsia" w:cs="Helvetica" w:asciiTheme="minorEastAsia" w:hAnsiTheme="minorEastAsia"/>
          <w:b w:val="0"/>
          <w:spacing w:val="15"/>
          <w:sz w:val="28"/>
          <w:szCs w:val="28"/>
        </w:rPr>
        <w:t>2013-2022年中国实体药店和网上药店(含药品和非药品)销售额占比</w:t>
      </w:r>
    </w:p>
    <w:p>
      <w:pPr>
        <w:rPr>
          <w:rStyle w:val="13"/>
          <w:rFonts w:cs="Helvetica" w:asciiTheme="minorEastAsia" w:hAnsiTheme="minorEastAsia"/>
          <w:b w:val="0"/>
          <w:spacing w:val="15"/>
          <w:sz w:val="28"/>
          <w:szCs w:val="28"/>
        </w:rPr>
      </w:pPr>
      <w:r>
        <w:rPr>
          <w:rFonts w:cs="Helvetica" w:asciiTheme="minorEastAsia" w:hAnsiTheme="minorEastAsia"/>
          <w:bCs/>
          <w:spacing w:val="15"/>
          <w:sz w:val="28"/>
          <w:szCs w:val="28"/>
        </w:rPr>
        <w:drawing>
          <wp:inline distT="0" distB="0" distL="0" distR="0">
            <wp:extent cx="5274310" cy="2798445"/>
            <wp:effectExtent l="0" t="0" r="2540" b="1905"/>
            <wp:docPr id="7" name="图片 7" descr="C:\Users\Administrator\Documents\WeChat Files\ppdeboke\FileStorage\Temp\16920699830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Documents\WeChat Files\ppdeboke\FileStorage\Temp\1692069983025.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5274310" cy="2798774"/>
                    </a:xfrm>
                    <a:prstGeom prst="rect">
                      <a:avLst/>
                    </a:prstGeom>
                    <a:noFill/>
                    <a:ln>
                      <a:noFill/>
                    </a:ln>
                  </pic:spPr>
                </pic:pic>
              </a:graphicData>
            </a:graphic>
          </wp:inline>
        </w:drawing>
      </w:r>
    </w:p>
    <w:p>
      <w:pPr>
        <w:ind w:firstLine="620" w:firstLineChars="200"/>
        <w:rPr>
          <w:rStyle w:val="13"/>
          <w:rFonts w:cs="Helvetica" w:asciiTheme="minorEastAsia" w:hAnsiTheme="minorEastAsia"/>
          <w:b w:val="0"/>
          <w:spacing w:val="15"/>
          <w:sz w:val="28"/>
          <w:szCs w:val="28"/>
        </w:rPr>
      </w:pPr>
      <w:r>
        <w:rPr>
          <w:rStyle w:val="13"/>
          <w:rFonts w:hint="eastAsia" w:cs="Helvetica" w:asciiTheme="minorEastAsia" w:hAnsiTheme="minorEastAsia"/>
          <w:b w:val="0"/>
          <w:spacing w:val="15"/>
          <w:sz w:val="28"/>
          <w:szCs w:val="28"/>
        </w:rPr>
        <w:t>其中，2022年，网上药店市场药品销售额达到507亿元，占全国药品市场2.8％，2022年同比2021年增长37.6％。</w:t>
      </w:r>
    </w:p>
    <w:p>
      <w:pPr>
        <w:ind w:firstLine="620" w:firstLineChars="200"/>
        <w:rPr>
          <w:rStyle w:val="13"/>
          <w:rFonts w:cs="Helvetica" w:asciiTheme="minorEastAsia" w:hAnsiTheme="minorEastAsia"/>
          <w:b w:val="0"/>
          <w:spacing w:val="15"/>
          <w:sz w:val="28"/>
          <w:szCs w:val="28"/>
        </w:rPr>
      </w:pPr>
      <w:r>
        <w:rPr>
          <w:rStyle w:val="13"/>
          <w:rFonts w:hint="eastAsia" w:cs="Helvetica" w:asciiTheme="minorEastAsia" w:hAnsiTheme="minorEastAsia"/>
          <w:b w:val="0"/>
          <w:spacing w:val="15"/>
          <w:sz w:val="28"/>
          <w:szCs w:val="28"/>
        </w:rPr>
        <w:t>2015年-2020年中国网上药店的药品销售额及增长率</w:t>
      </w:r>
    </w:p>
    <w:p>
      <w:pPr>
        <w:rPr>
          <w:rStyle w:val="13"/>
          <w:rFonts w:cs="Helvetica" w:asciiTheme="minorEastAsia" w:hAnsiTheme="minorEastAsia"/>
          <w:b w:val="0"/>
          <w:spacing w:val="15"/>
          <w:sz w:val="28"/>
          <w:szCs w:val="28"/>
        </w:rPr>
      </w:pPr>
      <w:r>
        <w:rPr>
          <w:rFonts w:cs="Helvetica" w:asciiTheme="minorEastAsia" w:hAnsiTheme="minorEastAsia"/>
          <w:bCs/>
          <w:spacing w:val="15"/>
          <w:sz w:val="28"/>
          <w:szCs w:val="28"/>
        </w:rPr>
        <w:drawing>
          <wp:inline distT="0" distB="0" distL="0" distR="0">
            <wp:extent cx="5274310" cy="3365500"/>
            <wp:effectExtent l="0" t="0" r="2540" b="6350"/>
            <wp:docPr id="8" name="图片 8" descr="C:\Users\Administrator\Documents\WeChat Files\ppdeboke\FileStorage\Temp\16920700187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Documents\WeChat Files\ppdeboke\FileStorage\Temp\1692070018712.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5274310" cy="3365896"/>
                    </a:xfrm>
                    <a:prstGeom prst="rect">
                      <a:avLst/>
                    </a:prstGeom>
                    <a:noFill/>
                    <a:ln>
                      <a:noFill/>
                    </a:ln>
                  </pic:spPr>
                </pic:pic>
              </a:graphicData>
            </a:graphic>
          </wp:inline>
        </w:drawing>
      </w:r>
    </w:p>
    <w:p>
      <w:pPr>
        <w:ind w:firstLine="620" w:firstLineChars="200"/>
        <w:rPr>
          <w:rStyle w:val="13"/>
          <w:rFonts w:cs="Helvetica" w:asciiTheme="minorEastAsia" w:hAnsiTheme="minorEastAsia"/>
          <w:b w:val="0"/>
          <w:spacing w:val="15"/>
          <w:sz w:val="28"/>
          <w:szCs w:val="28"/>
        </w:rPr>
      </w:pPr>
      <w:r>
        <w:rPr>
          <w:rStyle w:val="13"/>
          <w:rFonts w:hint="eastAsia" w:cs="Helvetica" w:asciiTheme="minorEastAsia" w:hAnsiTheme="minorEastAsia"/>
          <w:b w:val="0"/>
          <w:spacing w:val="15"/>
          <w:sz w:val="28"/>
          <w:szCs w:val="28"/>
        </w:rPr>
        <w:t>从实现销售额的药品类型分布来看，化学药的市场份额最大，2022年占比为61.0％；从药品处方药/非处方药分布来看，处方药的市场份额最大，2022年占比为47.8％。</w:t>
      </w:r>
    </w:p>
    <w:p>
      <w:pPr>
        <w:ind w:firstLine="620" w:firstLineChars="200"/>
        <w:rPr>
          <w:rStyle w:val="13"/>
          <w:rFonts w:cs="Helvetica" w:asciiTheme="minorEastAsia" w:hAnsiTheme="minorEastAsia"/>
          <w:b w:val="0"/>
          <w:spacing w:val="15"/>
          <w:sz w:val="28"/>
          <w:szCs w:val="28"/>
        </w:rPr>
      </w:pPr>
      <w:r>
        <w:rPr>
          <w:rStyle w:val="13"/>
          <w:rFonts w:hint="eastAsia" w:cs="Helvetica" w:asciiTheme="minorEastAsia" w:hAnsiTheme="minorEastAsia"/>
          <w:b w:val="0"/>
          <w:spacing w:val="15"/>
          <w:sz w:val="28"/>
          <w:szCs w:val="28"/>
        </w:rPr>
        <w:t>在网上药店中，除了受疫情拉动的产品（如呼吸系统疾病用药）有较好表现外，针对消费者需求的功能药品也受到青睐。</w:t>
      </w:r>
    </w:p>
    <w:p>
      <w:pPr>
        <w:ind w:firstLine="620" w:firstLineChars="200"/>
        <w:rPr>
          <w:rStyle w:val="13"/>
          <w:rFonts w:cs="Helvetica" w:asciiTheme="minorEastAsia" w:hAnsiTheme="minorEastAsia"/>
          <w:b w:val="0"/>
          <w:spacing w:val="15"/>
          <w:sz w:val="28"/>
          <w:szCs w:val="28"/>
        </w:rPr>
      </w:pPr>
      <w:r>
        <w:rPr>
          <w:rStyle w:val="13"/>
          <w:rFonts w:hint="eastAsia" w:cs="Helvetica" w:asciiTheme="minorEastAsia" w:hAnsiTheme="minorEastAsia"/>
          <w:b w:val="0"/>
          <w:spacing w:val="15"/>
          <w:sz w:val="28"/>
          <w:szCs w:val="28"/>
        </w:rPr>
        <w:t>2022年我国网上药店市场化学药销售额达309亿元。TOP20品牌中，浙江万晟药业的米诺地尔酊以9亿元领跑榜单，增长率达201.3％；生殖泌尿系统及性激素类药物、消化系统及代谢药物共占据14个席位。焦启明认为可重点关注脱发类、维矿类、男科、皮肤类产品。</w:t>
      </w:r>
    </w:p>
    <w:p>
      <w:pPr>
        <w:ind w:firstLine="620" w:firstLineChars="200"/>
        <w:rPr>
          <w:rStyle w:val="13"/>
          <w:rFonts w:cs="Helvetica" w:asciiTheme="minorEastAsia" w:hAnsiTheme="minorEastAsia"/>
          <w:b w:val="0"/>
          <w:spacing w:val="15"/>
          <w:sz w:val="28"/>
          <w:szCs w:val="28"/>
        </w:rPr>
      </w:pPr>
      <w:r>
        <w:rPr>
          <w:rStyle w:val="13"/>
          <w:rFonts w:hint="eastAsia" w:cs="Helvetica" w:asciiTheme="minorEastAsia" w:hAnsiTheme="minorEastAsia"/>
          <w:b w:val="0"/>
          <w:spacing w:val="15"/>
          <w:sz w:val="28"/>
          <w:szCs w:val="28"/>
        </w:rPr>
        <w:t>中国网上药店化学药市场TOP20品牌销售额</w:t>
      </w:r>
    </w:p>
    <w:p>
      <w:pPr>
        <w:rPr>
          <w:rStyle w:val="13"/>
          <w:rFonts w:cs="Helvetica" w:asciiTheme="minorEastAsia" w:hAnsiTheme="minorEastAsia"/>
          <w:b w:val="0"/>
          <w:spacing w:val="15"/>
          <w:sz w:val="28"/>
          <w:szCs w:val="28"/>
        </w:rPr>
      </w:pPr>
      <w:r>
        <w:rPr>
          <w:rFonts w:cs="Helvetica" w:asciiTheme="minorEastAsia" w:hAnsiTheme="minorEastAsia"/>
          <w:bCs/>
          <w:spacing w:val="15"/>
          <w:sz w:val="28"/>
          <w:szCs w:val="28"/>
        </w:rPr>
        <w:drawing>
          <wp:inline distT="0" distB="0" distL="0" distR="0">
            <wp:extent cx="5274310" cy="3885565"/>
            <wp:effectExtent l="0" t="0" r="2540" b="635"/>
            <wp:docPr id="9" name="图片 9" descr="C:\Users\Administrator\Documents\WeChat Files\ppdeboke\FileStorage\Temp\16920700576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Documents\WeChat Files\ppdeboke\FileStorage\Temp\1692070057669.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5274310" cy="3885925"/>
                    </a:xfrm>
                    <a:prstGeom prst="rect">
                      <a:avLst/>
                    </a:prstGeom>
                    <a:noFill/>
                    <a:ln>
                      <a:noFill/>
                    </a:ln>
                  </pic:spPr>
                </pic:pic>
              </a:graphicData>
            </a:graphic>
          </wp:inline>
        </w:drawing>
      </w:r>
    </w:p>
    <w:p>
      <w:pPr>
        <w:ind w:firstLine="620" w:firstLineChars="200"/>
        <w:rPr>
          <w:rStyle w:val="13"/>
          <w:rFonts w:cs="Helvetica" w:asciiTheme="minorEastAsia" w:hAnsiTheme="minorEastAsia"/>
          <w:b w:val="0"/>
          <w:spacing w:val="15"/>
          <w:sz w:val="28"/>
          <w:szCs w:val="28"/>
        </w:rPr>
      </w:pPr>
      <w:r>
        <w:rPr>
          <w:rStyle w:val="13"/>
          <w:rFonts w:hint="eastAsia" w:cs="Helvetica" w:asciiTheme="minorEastAsia" w:hAnsiTheme="minorEastAsia"/>
          <w:b w:val="0"/>
          <w:spacing w:val="15"/>
          <w:sz w:val="28"/>
          <w:szCs w:val="28"/>
        </w:rPr>
        <w:t>2022年我国网上药店市场中成药销售额达162亿元。TOP20品牌中，漳州片仔癀药业的片仔癀以7亿元位列榜首，以岭药业的连花清瘟胶囊和华润三九的感冒灵颗粒以4亿元的营收分列第2、3位。片仔癀、防疫相关（如：莲花清瘟）和补益类药品的发展值得关注。</w:t>
      </w:r>
    </w:p>
    <w:p>
      <w:pPr>
        <w:ind w:firstLine="620" w:firstLineChars="200"/>
        <w:rPr>
          <w:rStyle w:val="13"/>
          <w:rFonts w:cs="Helvetica" w:asciiTheme="minorEastAsia" w:hAnsiTheme="minorEastAsia"/>
          <w:b w:val="0"/>
          <w:spacing w:val="15"/>
          <w:sz w:val="28"/>
          <w:szCs w:val="28"/>
        </w:rPr>
      </w:pPr>
      <w:r>
        <w:rPr>
          <w:rStyle w:val="13"/>
          <w:rFonts w:hint="eastAsia" w:cs="Helvetica" w:asciiTheme="minorEastAsia" w:hAnsiTheme="minorEastAsia"/>
          <w:b w:val="0"/>
          <w:spacing w:val="15"/>
          <w:sz w:val="28"/>
          <w:szCs w:val="28"/>
        </w:rPr>
        <w:t>中国网上药店中成药市场TOP20品牌销售额</w:t>
      </w:r>
    </w:p>
    <w:p>
      <w:pPr>
        <w:rPr>
          <w:rStyle w:val="13"/>
          <w:rFonts w:cs="Helvetica" w:asciiTheme="minorEastAsia" w:hAnsiTheme="minorEastAsia"/>
          <w:b w:val="0"/>
          <w:spacing w:val="15"/>
          <w:sz w:val="28"/>
          <w:szCs w:val="28"/>
        </w:rPr>
      </w:pPr>
      <w:r>
        <w:rPr>
          <w:rFonts w:cs="Helvetica" w:asciiTheme="minorEastAsia" w:hAnsiTheme="minorEastAsia"/>
          <w:bCs/>
          <w:spacing w:val="15"/>
          <w:sz w:val="28"/>
          <w:szCs w:val="28"/>
        </w:rPr>
        <w:drawing>
          <wp:inline distT="0" distB="0" distL="0" distR="0">
            <wp:extent cx="5274310" cy="4019550"/>
            <wp:effectExtent l="0" t="0" r="2540" b="0"/>
            <wp:docPr id="10" name="图片 10" descr="C:\Users\Administrator\Documents\WeChat Files\ppdeboke\FileStorage\Temp\16920700900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Documents\WeChat Files\ppdeboke\FileStorage\Temp\1692070090058.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5274310" cy="4019664"/>
                    </a:xfrm>
                    <a:prstGeom prst="rect">
                      <a:avLst/>
                    </a:prstGeom>
                    <a:noFill/>
                    <a:ln>
                      <a:noFill/>
                    </a:ln>
                  </pic:spPr>
                </pic:pic>
              </a:graphicData>
            </a:graphic>
          </wp:inline>
        </w:drawing>
      </w:r>
    </w:p>
    <w:p>
      <w:pPr>
        <w:ind w:firstLine="622" w:firstLineChars="200"/>
        <w:rPr>
          <w:rStyle w:val="13"/>
          <w:rFonts w:cs="Helvetica" w:asciiTheme="minorEastAsia" w:hAnsiTheme="minorEastAsia"/>
          <w:spacing w:val="15"/>
          <w:sz w:val="28"/>
          <w:szCs w:val="28"/>
        </w:rPr>
      </w:pPr>
      <w:r>
        <w:rPr>
          <w:rStyle w:val="13"/>
          <w:rFonts w:hint="eastAsia" w:cs="Helvetica" w:asciiTheme="minorEastAsia" w:hAnsiTheme="minorEastAsia"/>
          <w:spacing w:val="15"/>
          <w:sz w:val="28"/>
          <w:szCs w:val="28"/>
        </w:rPr>
        <w:t>全融合时代来临 医药电商有望实现双增长</w:t>
      </w:r>
    </w:p>
    <w:p>
      <w:pPr>
        <w:ind w:firstLine="620" w:firstLineChars="200"/>
        <w:rPr>
          <w:rStyle w:val="13"/>
          <w:rFonts w:cs="Helvetica" w:asciiTheme="minorEastAsia" w:hAnsiTheme="minorEastAsia"/>
          <w:b w:val="0"/>
          <w:spacing w:val="15"/>
          <w:sz w:val="28"/>
          <w:szCs w:val="28"/>
        </w:rPr>
      </w:pPr>
      <w:r>
        <w:rPr>
          <w:rStyle w:val="13"/>
          <w:rFonts w:hint="eastAsia" w:cs="Helvetica" w:asciiTheme="minorEastAsia" w:hAnsiTheme="minorEastAsia"/>
          <w:b w:val="0"/>
          <w:spacing w:val="15"/>
          <w:sz w:val="28"/>
          <w:szCs w:val="28"/>
        </w:rPr>
        <w:t>无论是各大上市连锁中报，还是各大商业公司的财报，线上渠道业务基本保持较高增长的态势，可以说这是医药电商发展进入新阶段的一个缩影，即全行业触网。</w:t>
      </w:r>
    </w:p>
    <w:p>
      <w:pPr>
        <w:ind w:firstLine="620" w:firstLineChars="200"/>
        <w:rPr>
          <w:rStyle w:val="13"/>
          <w:rFonts w:cs="Helvetica" w:asciiTheme="minorEastAsia" w:hAnsiTheme="minorEastAsia"/>
          <w:b w:val="0"/>
          <w:spacing w:val="15"/>
          <w:sz w:val="28"/>
          <w:szCs w:val="28"/>
        </w:rPr>
      </w:pPr>
      <w:r>
        <w:rPr>
          <w:rStyle w:val="13"/>
          <w:rFonts w:hint="eastAsia" w:cs="Helvetica" w:asciiTheme="minorEastAsia" w:hAnsiTheme="minorEastAsia"/>
          <w:b w:val="0"/>
          <w:spacing w:val="15"/>
          <w:sz w:val="28"/>
          <w:szCs w:val="28"/>
        </w:rPr>
        <w:t>对此，焦启明认为，行业进入全域融合的新零售时代，线上线下协同，以用户为中心的闭环服务体系，公域私域联动将成为新常态。“公域实现精准触达、广泛获取与转化流量的功能；私域则用于提升消费者忠诚度，形成深度洞察，全域融合数字化营销及履约服务。”</w:t>
      </w:r>
    </w:p>
    <w:p>
      <w:pPr>
        <w:ind w:firstLine="620" w:firstLineChars="200"/>
        <w:rPr>
          <w:rStyle w:val="13"/>
          <w:rFonts w:cs="Helvetica" w:asciiTheme="minorEastAsia" w:hAnsiTheme="minorEastAsia"/>
          <w:b w:val="0"/>
          <w:spacing w:val="15"/>
          <w:sz w:val="28"/>
          <w:szCs w:val="28"/>
        </w:rPr>
      </w:pPr>
      <w:r>
        <w:rPr>
          <w:rStyle w:val="13"/>
          <w:rFonts w:hint="eastAsia" w:cs="Helvetica" w:asciiTheme="minorEastAsia" w:hAnsiTheme="minorEastAsia"/>
          <w:b w:val="0"/>
          <w:spacing w:val="15"/>
          <w:sz w:val="28"/>
          <w:szCs w:val="28"/>
        </w:rPr>
        <w:t>在新常态下，集齐“天时地利人和”的医药B2C有望迈入营收和净利双增长的盈利时代。</w:t>
      </w:r>
    </w:p>
    <w:p>
      <w:pPr>
        <w:ind w:firstLine="620" w:firstLineChars="200"/>
        <w:rPr>
          <w:rStyle w:val="13"/>
          <w:rFonts w:cs="Helvetica" w:asciiTheme="minorEastAsia" w:hAnsiTheme="minorEastAsia"/>
          <w:b w:val="0"/>
          <w:spacing w:val="15"/>
          <w:sz w:val="28"/>
          <w:szCs w:val="28"/>
        </w:rPr>
      </w:pPr>
      <w:r>
        <w:rPr>
          <w:rStyle w:val="13"/>
          <w:rFonts w:hint="eastAsia" w:cs="Helvetica" w:asciiTheme="minorEastAsia" w:hAnsiTheme="minorEastAsia"/>
          <w:b w:val="0"/>
          <w:spacing w:val="15"/>
          <w:sz w:val="28"/>
          <w:szCs w:val="28"/>
        </w:rPr>
        <w:t>处方药被认为是电商增量空间的最大来源。2022年9月出台的《药品网络销售监督管理办法》从政策层面上肯定了网售处方药的发展，围绕“线上线下一体化”原则持续推进网售处方药规范化将是大势所趋，此可谓天时。</w:t>
      </w:r>
    </w:p>
    <w:p>
      <w:pPr>
        <w:ind w:firstLine="620" w:firstLineChars="200"/>
        <w:rPr>
          <w:rStyle w:val="13"/>
          <w:rFonts w:cs="Helvetica" w:asciiTheme="minorEastAsia" w:hAnsiTheme="minorEastAsia"/>
          <w:b w:val="0"/>
          <w:spacing w:val="15"/>
          <w:sz w:val="28"/>
          <w:szCs w:val="28"/>
        </w:rPr>
      </w:pPr>
      <w:r>
        <w:rPr>
          <w:rStyle w:val="13"/>
          <w:rFonts w:hint="eastAsia" w:cs="Helvetica" w:asciiTheme="minorEastAsia" w:hAnsiTheme="minorEastAsia"/>
          <w:b w:val="0"/>
          <w:spacing w:val="15"/>
          <w:sz w:val="28"/>
          <w:szCs w:val="28"/>
        </w:rPr>
        <w:t>“政策严格规范，供需端持续推进处方外流，短期看政策趋严，长期看政策底夯实，进入规范发展阶段；随着人口老龄化加剧，占处方药较大份额的慢病管理市场将迎来万亿级的市场空间。”焦启明指出，随着互联网医疗模式在政策规范下逐步成熟，医保有望接入线上平台，为B2C医药电商创造庞大的市场空间。</w:t>
      </w:r>
    </w:p>
    <w:p>
      <w:pPr>
        <w:ind w:firstLine="620" w:firstLineChars="200"/>
        <w:rPr>
          <w:rStyle w:val="13"/>
          <w:rFonts w:cs="Helvetica" w:asciiTheme="minorEastAsia" w:hAnsiTheme="minorEastAsia"/>
          <w:b w:val="0"/>
          <w:spacing w:val="15"/>
          <w:sz w:val="28"/>
          <w:szCs w:val="28"/>
        </w:rPr>
      </w:pPr>
      <w:r>
        <w:rPr>
          <w:rStyle w:val="13"/>
          <w:rFonts w:hint="eastAsia" w:cs="Helvetica" w:asciiTheme="minorEastAsia" w:hAnsiTheme="minorEastAsia"/>
          <w:b w:val="0"/>
          <w:spacing w:val="15"/>
          <w:sz w:val="28"/>
          <w:szCs w:val="28"/>
        </w:rPr>
        <w:t>医药物流以及第三方平台已发展成熟是得地利，而消费者网购习惯的形成则能称为人和。考虑到OTC药品在流通性上限制较小，加之消费习惯的线上化迁移驱动，OTC药品渗透率将有一个逐步提升的过程。</w:t>
      </w:r>
    </w:p>
    <w:p>
      <w:pPr>
        <w:ind w:firstLine="620" w:firstLineChars="200"/>
        <w:rPr>
          <w:rStyle w:val="13"/>
          <w:rFonts w:cs="Helvetica" w:asciiTheme="minorEastAsia" w:hAnsiTheme="minorEastAsia"/>
          <w:b w:val="0"/>
          <w:spacing w:val="15"/>
          <w:sz w:val="28"/>
          <w:szCs w:val="28"/>
        </w:rPr>
      </w:pPr>
      <w:r>
        <w:rPr>
          <w:rStyle w:val="13"/>
          <w:rFonts w:hint="eastAsia" w:cs="Helvetica" w:asciiTheme="minorEastAsia" w:hAnsiTheme="minorEastAsia"/>
          <w:b w:val="0"/>
          <w:spacing w:val="15"/>
          <w:sz w:val="28"/>
          <w:szCs w:val="28"/>
        </w:rPr>
        <w:t>非药方面，由于保健品医疗属性弱，企业通过互联网营销优势赋能等方式，将推动线上零售规模增长；随着民众健康管理认知的加强和自我检测的需求持续增加，线上成为医疗器械零售的主要渠道。</w:t>
      </w:r>
    </w:p>
    <w:p>
      <w:pPr>
        <w:ind w:firstLine="620" w:firstLineChars="200"/>
        <w:rPr>
          <w:rStyle w:val="13"/>
          <w:rFonts w:cs="Helvetica" w:asciiTheme="minorEastAsia" w:hAnsiTheme="minorEastAsia"/>
          <w:b w:val="0"/>
          <w:spacing w:val="15"/>
          <w:sz w:val="28"/>
          <w:szCs w:val="28"/>
        </w:rPr>
      </w:pPr>
      <w:r>
        <w:rPr>
          <w:rStyle w:val="13"/>
          <w:rFonts w:hint="eastAsia" w:cs="Helvetica" w:asciiTheme="minorEastAsia" w:hAnsiTheme="minorEastAsia"/>
          <w:b w:val="0"/>
          <w:spacing w:val="15"/>
          <w:sz w:val="28"/>
          <w:szCs w:val="28"/>
        </w:rPr>
        <w:t>“目前医药电商渗透率已提升至13％，预计到2025年医药电商的渗透率有望突破20％。”焦启明表示，医药电商消费人群仍以26-45岁的中青年为主，整体消费类型更为均衡，以覆盖家庭健康所需为主要目的进行备药，B2C渠道因其药品可及、种类齐全的优势成为家庭一站式综合购药核心渠道之一。</w:t>
      </w:r>
    </w:p>
    <w:p>
      <w:pPr>
        <w:ind w:firstLine="620" w:firstLineChars="200"/>
        <w:rPr>
          <w:rStyle w:val="13"/>
          <w:rFonts w:cs="Helvetica" w:asciiTheme="minorEastAsia" w:hAnsiTheme="minorEastAsia"/>
          <w:b w:val="0"/>
          <w:spacing w:val="15"/>
          <w:sz w:val="28"/>
          <w:szCs w:val="28"/>
        </w:rPr>
      </w:pPr>
      <w:r>
        <w:rPr>
          <w:rStyle w:val="13"/>
          <w:rFonts w:hint="eastAsia" w:cs="Helvetica" w:asciiTheme="minorEastAsia" w:hAnsiTheme="minorEastAsia"/>
          <w:b w:val="0"/>
          <w:spacing w:val="15"/>
          <w:sz w:val="28"/>
          <w:szCs w:val="28"/>
        </w:rPr>
        <w:t>焦启明认为，未来B2C医药电商市场格局逐步稳固，京东和阿里两大平台具有规模效应和长期优势，活跃用户持续增长，复购率和ARPU值提升，马太效应明显。</w:t>
      </w:r>
    </w:p>
    <w:p>
      <w:pPr>
        <w:ind w:firstLine="622" w:firstLineChars="200"/>
        <w:rPr>
          <w:rStyle w:val="13"/>
          <w:rFonts w:cs="Helvetica" w:asciiTheme="minorEastAsia" w:hAnsiTheme="minorEastAsia"/>
          <w:spacing w:val="15"/>
          <w:sz w:val="28"/>
          <w:szCs w:val="28"/>
        </w:rPr>
      </w:pPr>
      <w:r>
        <w:rPr>
          <w:rStyle w:val="13"/>
          <w:rFonts w:hint="eastAsia" w:cs="Helvetica" w:asciiTheme="minorEastAsia" w:hAnsiTheme="minorEastAsia"/>
          <w:spacing w:val="15"/>
          <w:sz w:val="28"/>
          <w:szCs w:val="28"/>
        </w:rPr>
        <w:t>头部加速打造私域流量池 O2O迎来黄金发展期</w:t>
      </w:r>
    </w:p>
    <w:p>
      <w:pPr>
        <w:ind w:firstLine="620" w:firstLineChars="200"/>
        <w:rPr>
          <w:rStyle w:val="13"/>
          <w:rFonts w:cs="Helvetica" w:asciiTheme="minorEastAsia" w:hAnsiTheme="minorEastAsia"/>
          <w:b w:val="0"/>
          <w:spacing w:val="15"/>
          <w:sz w:val="28"/>
          <w:szCs w:val="28"/>
        </w:rPr>
      </w:pPr>
      <w:r>
        <w:rPr>
          <w:rStyle w:val="13"/>
          <w:rFonts w:hint="eastAsia" w:cs="Helvetica" w:asciiTheme="minorEastAsia" w:hAnsiTheme="minorEastAsia"/>
          <w:b w:val="0"/>
          <w:spacing w:val="15"/>
          <w:sz w:val="28"/>
          <w:szCs w:val="28"/>
        </w:rPr>
        <w:t>随着互联网科技、医疗的高速发展，消费者购药习惯的改变及心智的培养，O2O成为消费者购药的主要渠道之一。作为实体药店“触网”的重要工具，近年来O2O表现勇猛。</w:t>
      </w:r>
    </w:p>
    <w:p>
      <w:pPr>
        <w:ind w:firstLine="620" w:firstLineChars="200"/>
        <w:rPr>
          <w:rStyle w:val="13"/>
          <w:rFonts w:cs="Helvetica" w:asciiTheme="minorEastAsia" w:hAnsiTheme="minorEastAsia"/>
          <w:b w:val="0"/>
          <w:spacing w:val="15"/>
          <w:sz w:val="28"/>
          <w:szCs w:val="28"/>
        </w:rPr>
      </w:pPr>
      <w:r>
        <w:rPr>
          <w:rStyle w:val="13"/>
          <w:rFonts w:hint="eastAsia" w:cs="Helvetica" w:asciiTheme="minorEastAsia" w:hAnsiTheme="minorEastAsia"/>
          <w:b w:val="0"/>
          <w:spacing w:val="15"/>
          <w:sz w:val="28"/>
          <w:szCs w:val="28"/>
        </w:rPr>
        <w:t>米内网数据显示，2021 年零售药店 O2O 的销售额达 202 亿元，占实体药店整体市场份额从 2019 年的 0.8%上升至 2021年的 3.5%，近 3 年的复合增长率高达 115.3%，而零售实体药店同期复合增长率仅为 3.2%。</w:t>
      </w:r>
    </w:p>
    <w:p>
      <w:pPr>
        <w:ind w:firstLine="620" w:firstLineChars="200"/>
        <w:rPr>
          <w:rStyle w:val="13"/>
          <w:rFonts w:cs="Helvetica" w:asciiTheme="minorEastAsia" w:hAnsiTheme="minorEastAsia"/>
          <w:b w:val="0"/>
          <w:spacing w:val="15"/>
          <w:sz w:val="28"/>
          <w:szCs w:val="28"/>
        </w:rPr>
      </w:pPr>
      <w:r>
        <w:rPr>
          <w:rStyle w:val="13"/>
          <w:rFonts w:hint="eastAsia" w:cs="Helvetica" w:asciiTheme="minorEastAsia" w:hAnsiTheme="minorEastAsia"/>
          <w:b w:val="0"/>
          <w:spacing w:val="15"/>
          <w:sz w:val="28"/>
          <w:szCs w:val="28"/>
        </w:rPr>
        <w:t>“消费行为改变、政策驱动、渗透率和运营能力持续增长等因素推动O2O不断发展，药店将迎来黄金发展期。”焦启明认为，线上医保支付的放开，将成为零售药店O2O的下一个发力点。</w:t>
      </w:r>
    </w:p>
    <w:p>
      <w:pPr>
        <w:ind w:firstLine="620" w:firstLineChars="200"/>
        <w:rPr>
          <w:rStyle w:val="13"/>
          <w:rFonts w:cs="Helvetica" w:asciiTheme="minorEastAsia" w:hAnsiTheme="minorEastAsia"/>
          <w:b w:val="0"/>
          <w:spacing w:val="15"/>
          <w:sz w:val="28"/>
          <w:szCs w:val="28"/>
        </w:rPr>
      </w:pPr>
      <w:r>
        <w:rPr>
          <w:rStyle w:val="13"/>
          <w:rFonts w:hint="eastAsia" w:cs="Helvetica" w:asciiTheme="minorEastAsia" w:hAnsiTheme="minorEastAsia"/>
          <w:b w:val="0"/>
          <w:spacing w:val="15"/>
          <w:sz w:val="28"/>
          <w:szCs w:val="28"/>
        </w:rPr>
        <w:t>米内网预计，假设线上医保未全面放开，预测到2030年零售药店O2O的规模将达1444亿元，占实体药店整体市场的份额将升至19.2%；如果线上医保全面开放，那该市场规模将达2407亿元，份额将升至32.1%。</w:t>
      </w:r>
    </w:p>
    <w:p>
      <w:pPr>
        <w:ind w:firstLine="620" w:firstLineChars="200"/>
        <w:rPr>
          <w:rStyle w:val="13"/>
          <w:rFonts w:cs="Helvetica" w:asciiTheme="minorEastAsia" w:hAnsiTheme="minorEastAsia"/>
          <w:b w:val="0"/>
          <w:spacing w:val="15"/>
          <w:sz w:val="28"/>
          <w:szCs w:val="28"/>
        </w:rPr>
      </w:pPr>
      <w:r>
        <w:rPr>
          <w:rStyle w:val="13"/>
          <w:rFonts w:hint="eastAsia" w:cs="Helvetica" w:asciiTheme="minorEastAsia" w:hAnsiTheme="minorEastAsia"/>
          <w:b w:val="0"/>
          <w:spacing w:val="15"/>
          <w:sz w:val="28"/>
          <w:szCs w:val="28"/>
        </w:rPr>
        <w:t>2019-2030 年中国零售药店 O2O 的市场规模及预测（假设线上医保未全面开放）</w:t>
      </w:r>
    </w:p>
    <w:p>
      <w:pPr>
        <w:rPr>
          <w:rStyle w:val="13"/>
          <w:rFonts w:cs="Helvetica" w:asciiTheme="minorEastAsia" w:hAnsiTheme="minorEastAsia"/>
          <w:b w:val="0"/>
          <w:spacing w:val="15"/>
          <w:sz w:val="28"/>
          <w:szCs w:val="28"/>
        </w:rPr>
      </w:pPr>
      <w:r>
        <w:rPr>
          <w:rFonts w:cs="Helvetica" w:asciiTheme="minorEastAsia" w:hAnsiTheme="minorEastAsia"/>
          <w:bCs/>
          <w:spacing w:val="15"/>
          <w:sz w:val="28"/>
          <w:szCs w:val="28"/>
        </w:rPr>
        <w:drawing>
          <wp:inline distT="0" distB="0" distL="0" distR="0">
            <wp:extent cx="5274310" cy="1958340"/>
            <wp:effectExtent l="0" t="0" r="2540" b="3810"/>
            <wp:docPr id="11" name="图片 11" descr="C:\Users\Administrator\Documents\WeChat Files\ppdeboke\FileStorage\Temp\16920702383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Documents\WeChat Files\ppdeboke\FileStorage\Temp\1692070238379.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5274310" cy="1958539"/>
                    </a:xfrm>
                    <a:prstGeom prst="rect">
                      <a:avLst/>
                    </a:prstGeom>
                    <a:noFill/>
                    <a:ln>
                      <a:noFill/>
                    </a:ln>
                  </pic:spPr>
                </pic:pic>
              </a:graphicData>
            </a:graphic>
          </wp:inline>
        </w:drawing>
      </w:r>
    </w:p>
    <w:p>
      <w:pPr>
        <w:ind w:firstLine="620" w:firstLineChars="200"/>
        <w:rPr>
          <w:rStyle w:val="13"/>
          <w:rFonts w:cs="Helvetica" w:asciiTheme="minorEastAsia" w:hAnsiTheme="minorEastAsia"/>
          <w:b w:val="0"/>
          <w:spacing w:val="15"/>
          <w:sz w:val="28"/>
          <w:szCs w:val="28"/>
        </w:rPr>
      </w:pPr>
      <w:r>
        <w:rPr>
          <w:rStyle w:val="13"/>
          <w:rFonts w:hint="eastAsia" w:cs="Helvetica" w:asciiTheme="minorEastAsia" w:hAnsiTheme="minorEastAsia"/>
          <w:b w:val="0"/>
          <w:spacing w:val="15"/>
          <w:sz w:val="28"/>
          <w:szCs w:val="28"/>
        </w:rPr>
        <w:t>2019-2030 年中国零售药店 O2O 的市场规模及预测（假设线上医保全面开放）</w:t>
      </w:r>
    </w:p>
    <w:p>
      <w:pPr>
        <w:rPr>
          <w:rStyle w:val="13"/>
          <w:rFonts w:cs="Helvetica" w:asciiTheme="minorEastAsia" w:hAnsiTheme="minorEastAsia"/>
          <w:b w:val="0"/>
          <w:spacing w:val="15"/>
          <w:sz w:val="28"/>
          <w:szCs w:val="28"/>
        </w:rPr>
      </w:pPr>
      <w:r>
        <w:rPr>
          <w:rFonts w:cs="Helvetica" w:asciiTheme="minorEastAsia" w:hAnsiTheme="minorEastAsia"/>
          <w:bCs/>
          <w:spacing w:val="15"/>
          <w:sz w:val="28"/>
          <w:szCs w:val="28"/>
        </w:rPr>
        <w:drawing>
          <wp:inline distT="0" distB="0" distL="0" distR="0">
            <wp:extent cx="5274310" cy="1781810"/>
            <wp:effectExtent l="0" t="0" r="2540" b="8890"/>
            <wp:docPr id="36" name="图片 36" descr="C:\Users\Administrator\Documents\WeChat Files\ppdeboke\FileStorage\Temp\16920702639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C:\Users\Administrator\Documents\WeChat Files\ppdeboke\FileStorage\Temp\1692070263944.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5274310" cy="1781982"/>
                    </a:xfrm>
                    <a:prstGeom prst="rect">
                      <a:avLst/>
                    </a:prstGeom>
                    <a:noFill/>
                    <a:ln>
                      <a:noFill/>
                    </a:ln>
                  </pic:spPr>
                </pic:pic>
              </a:graphicData>
            </a:graphic>
          </wp:inline>
        </w:drawing>
      </w:r>
    </w:p>
    <w:p>
      <w:pPr>
        <w:ind w:firstLine="620" w:firstLineChars="200"/>
        <w:rPr>
          <w:rStyle w:val="13"/>
          <w:rFonts w:cs="Helvetica" w:asciiTheme="minorEastAsia" w:hAnsiTheme="minorEastAsia"/>
          <w:b w:val="0"/>
          <w:spacing w:val="15"/>
          <w:sz w:val="28"/>
          <w:szCs w:val="28"/>
        </w:rPr>
      </w:pPr>
      <w:r>
        <w:rPr>
          <w:rStyle w:val="13"/>
          <w:rFonts w:hint="eastAsia" w:cs="Helvetica" w:asciiTheme="minorEastAsia" w:hAnsiTheme="minorEastAsia"/>
          <w:b w:val="0"/>
          <w:spacing w:val="15"/>
          <w:sz w:val="28"/>
          <w:szCs w:val="28"/>
        </w:rPr>
        <w:t>从年报披露的数据上看，过去一年各大上市连锁的新零售业务均实现了快速增长，积极推动私域流量的发展，逐步提升私域流量占线上销售的比例也成为新的着力点。</w:t>
      </w:r>
    </w:p>
    <w:p>
      <w:pPr>
        <w:ind w:firstLine="620" w:firstLineChars="200"/>
        <w:rPr>
          <w:rStyle w:val="13"/>
          <w:rFonts w:cs="Helvetica" w:asciiTheme="minorEastAsia" w:hAnsiTheme="minorEastAsia"/>
          <w:b w:val="0"/>
          <w:spacing w:val="15"/>
          <w:sz w:val="28"/>
          <w:szCs w:val="28"/>
        </w:rPr>
      </w:pPr>
      <w:r>
        <w:rPr>
          <w:rStyle w:val="13"/>
          <w:rFonts w:hint="eastAsia" w:cs="Helvetica" w:asciiTheme="minorEastAsia" w:hAnsiTheme="minorEastAsia"/>
          <w:b w:val="0"/>
          <w:spacing w:val="15"/>
          <w:sz w:val="28"/>
          <w:szCs w:val="28"/>
        </w:rPr>
        <w:t>据披露，2022年老百姓公域业务保持高速增长，O2O 全年订单量进入全国前三。私域平台“老百姓大药房”小程序全年收入超过 9000 万元，订单达 60 万单。漱玉平民重视以微信公众号、企业微信、视频号及小程序等为载体的私域运营，累计私域用户量达 800 万，自有平台销售同比提升 80%。</w:t>
      </w:r>
    </w:p>
    <w:p>
      <w:pPr>
        <w:ind w:firstLine="620" w:firstLineChars="200"/>
        <w:rPr>
          <w:rStyle w:val="13"/>
          <w:rFonts w:cs="Helvetica" w:asciiTheme="minorEastAsia" w:hAnsiTheme="minorEastAsia"/>
          <w:b w:val="0"/>
          <w:spacing w:val="15"/>
          <w:sz w:val="28"/>
          <w:szCs w:val="28"/>
        </w:rPr>
      </w:pPr>
      <w:r>
        <w:rPr>
          <w:rStyle w:val="13"/>
          <w:rFonts w:hint="eastAsia" w:cs="Helvetica" w:asciiTheme="minorEastAsia" w:hAnsiTheme="minorEastAsia"/>
          <w:b w:val="0"/>
          <w:spacing w:val="15"/>
          <w:sz w:val="28"/>
          <w:szCs w:val="28"/>
        </w:rPr>
        <w:t>相对于头部连锁的全速前进，中小药店则显得力不从心。中小药店在成本、人才、流量等方面与头部连锁存在实力差距。因此，很多药店选择进驻第三方平台，来解决线上渠道建设等难题，但这背后包含诸多的无奈。</w:t>
      </w:r>
    </w:p>
    <w:p>
      <w:pPr>
        <w:ind w:firstLine="620" w:firstLineChars="200"/>
        <w:rPr>
          <w:rStyle w:val="13"/>
          <w:rFonts w:cs="Helvetica" w:asciiTheme="minorEastAsia" w:hAnsiTheme="minorEastAsia"/>
          <w:b w:val="0"/>
          <w:spacing w:val="15"/>
          <w:sz w:val="28"/>
          <w:szCs w:val="28"/>
        </w:rPr>
      </w:pPr>
      <w:r>
        <w:rPr>
          <w:rStyle w:val="13"/>
          <w:rFonts w:hint="eastAsia" w:cs="Helvetica" w:asciiTheme="minorEastAsia" w:hAnsiTheme="minorEastAsia"/>
          <w:b w:val="0"/>
          <w:spacing w:val="15"/>
          <w:sz w:val="28"/>
          <w:szCs w:val="28"/>
        </w:rPr>
        <w:t>米内网调研显示，2021年，O2O整体客单价在32-35元左右，商品毛利率均值为22％，平台履约及运费为14-15％，手续费为5％。不仅投入不低，效果难以估计，且无法掌握消费者信息，担心平台会“下场经营”导致药店在O2O的扩张上有所隐忧。</w:t>
      </w:r>
    </w:p>
    <w:p>
      <w:pPr>
        <w:rPr>
          <w:rStyle w:val="13"/>
          <w:rFonts w:cs="Helvetica" w:asciiTheme="minorEastAsia" w:hAnsiTheme="minorEastAsia"/>
          <w:b w:val="0"/>
          <w:spacing w:val="15"/>
          <w:sz w:val="28"/>
          <w:szCs w:val="28"/>
        </w:rPr>
      </w:pPr>
      <w:r>
        <w:rPr>
          <w:rFonts w:cs="Helvetica" w:asciiTheme="minorEastAsia" w:hAnsiTheme="minorEastAsia"/>
          <w:bCs/>
          <w:spacing w:val="15"/>
          <w:sz w:val="28"/>
          <w:szCs w:val="28"/>
        </w:rPr>
        <w:drawing>
          <wp:inline distT="0" distB="0" distL="0" distR="0">
            <wp:extent cx="4438650" cy="2943225"/>
            <wp:effectExtent l="0" t="0" r="0" b="9525"/>
            <wp:docPr id="37" name="图片 37" descr="C:\Users\Administrator\Documents\WeChat Files\ppdeboke\FileStorage\Temp\16920702973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C:\Users\Administrator\Documents\WeChat Files\ppdeboke\FileStorage\Temp\1692070297379.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4438650" cy="2943225"/>
                    </a:xfrm>
                    <a:prstGeom prst="rect">
                      <a:avLst/>
                    </a:prstGeom>
                    <a:noFill/>
                    <a:ln>
                      <a:noFill/>
                    </a:ln>
                  </pic:spPr>
                </pic:pic>
              </a:graphicData>
            </a:graphic>
          </wp:inline>
        </w:drawing>
      </w:r>
    </w:p>
    <w:p>
      <w:pPr>
        <w:ind w:firstLine="620" w:firstLineChars="200"/>
        <w:rPr>
          <w:rStyle w:val="13"/>
          <w:rFonts w:cs="Helvetica" w:asciiTheme="minorEastAsia" w:hAnsiTheme="minorEastAsia"/>
          <w:b w:val="0"/>
          <w:spacing w:val="15"/>
          <w:sz w:val="28"/>
          <w:szCs w:val="28"/>
        </w:rPr>
      </w:pPr>
      <w:r>
        <w:rPr>
          <w:rStyle w:val="13"/>
          <w:rFonts w:hint="eastAsia" w:cs="Helvetica" w:asciiTheme="minorEastAsia" w:hAnsiTheme="minorEastAsia"/>
          <w:b w:val="0"/>
          <w:spacing w:val="15"/>
          <w:sz w:val="28"/>
          <w:szCs w:val="28"/>
        </w:rPr>
        <w:t>从品类上看，消费者购买类别最多的为“肠胃用药”、“感冒发烧”类，其次为“抗菌消炎”、“清热解毒”、“消毒用品”类药品，再次是“皮肤用药”、“滋补保健”类药品。调研发现，消费者选择药品不仅仅集中在紧急、隐私类用药，也有一些慢病用药。随着消费者逐渐将 O2O 作为基本的购药方式后，产品需求会从急用药扩展到全品类，品类扩充与调整势在必行。</w:t>
      </w:r>
    </w:p>
    <w:p>
      <w:pPr>
        <w:ind w:firstLine="620" w:firstLineChars="200"/>
        <w:rPr>
          <w:rStyle w:val="13"/>
          <w:rFonts w:cs="Helvetica" w:asciiTheme="minorEastAsia" w:hAnsiTheme="minorEastAsia"/>
          <w:b w:val="0"/>
          <w:spacing w:val="15"/>
          <w:sz w:val="28"/>
          <w:szCs w:val="28"/>
        </w:rPr>
      </w:pPr>
      <w:r>
        <w:rPr>
          <w:rStyle w:val="13"/>
          <w:rFonts w:hint="eastAsia" w:cs="Helvetica" w:asciiTheme="minorEastAsia" w:hAnsiTheme="minorEastAsia"/>
          <w:b w:val="0"/>
          <w:spacing w:val="15"/>
          <w:sz w:val="28"/>
          <w:szCs w:val="28"/>
        </w:rPr>
        <w:t>消费者通过 O2O 渠道购买的前 15 品类</w:t>
      </w:r>
    </w:p>
    <w:p>
      <w:pPr>
        <w:rPr>
          <w:rStyle w:val="13"/>
          <w:rFonts w:cs="Helvetica" w:asciiTheme="minorEastAsia" w:hAnsiTheme="minorEastAsia"/>
          <w:b w:val="0"/>
          <w:spacing w:val="15"/>
          <w:sz w:val="28"/>
          <w:szCs w:val="28"/>
        </w:rPr>
      </w:pPr>
      <w:r>
        <w:rPr>
          <w:rFonts w:cs="Helvetica" w:asciiTheme="minorEastAsia" w:hAnsiTheme="minorEastAsia"/>
          <w:bCs/>
          <w:spacing w:val="15"/>
          <w:sz w:val="28"/>
          <w:szCs w:val="28"/>
        </w:rPr>
        <w:drawing>
          <wp:inline distT="0" distB="0" distL="0" distR="0">
            <wp:extent cx="5274310" cy="2705735"/>
            <wp:effectExtent l="0" t="0" r="2540" b="0"/>
            <wp:docPr id="38" name="图片 38" descr="C:\Users\Administrator\Documents\WeChat Files\ppdeboke\FileStorage\Temp\16920703239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C:\Users\Administrator\Documents\WeChat Files\ppdeboke\FileStorage\Temp\1692070323931.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274310" cy="2706150"/>
                    </a:xfrm>
                    <a:prstGeom prst="rect">
                      <a:avLst/>
                    </a:prstGeom>
                    <a:noFill/>
                    <a:ln>
                      <a:noFill/>
                    </a:ln>
                  </pic:spPr>
                </pic:pic>
              </a:graphicData>
            </a:graphic>
          </wp:inline>
        </w:drawing>
      </w:r>
    </w:p>
    <w:p>
      <w:pPr>
        <w:rPr>
          <w:rStyle w:val="13"/>
          <w:rFonts w:cs="Helvetica" w:asciiTheme="minorEastAsia" w:hAnsiTheme="minorEastAsia"/>
          <w:b w:val="0"/>
          <w:spacing w:val="15"/>
          <w:sz w:val="28"/>
          <w:szCs w:val="28"/>
        </w:rPr>
      </w:pPr>
      <w:r>
        <w:rPr>
          <w:rStyle w:val="13"/>
          <w:rFonts w:hint="eastAsia" w:cs="Helvetica" w:asciiTheme="minorEastAsia" w:hAnsiTheme="minorEastAsia"/>
          <w:b w:val="0"/>
          <w:spacing w:val="15"/>
          <w:sz w:val="28"/>
          <w:szCs w:val="28"/>
        </w:rPr>
        <w:t>资料来源：米内网数据库</w:t>
      </w:r>
    </w:p>
    <w:p>
      <w:pPr>
        <w:rPr>
          <w:rStyle w:val="13"/>
          <w:rFonts w:cs="Helvetica" w:asciiTheme="minorEastAsia" w:hAnsiTheme="minorEastAsia"/>
          <w:b w:val="0"/>
          <w:spacing w:val="15"/>
          <w:sz w:val="28"/>
          <w:szCs w:val="28"/>
        </w:rPr>
      </w:pPr>
      <w:r>
        <w:rPr>
          <w:rStyle w:val="13"/>
          <w:rFonts w:hint="eastAsia" w:cs="Helvetica" w:asciiTheme="minorEastAsia" w:hAnsiTheme="minorEastAsia"/>
          <w:b w:val="0"/>
          <w:spacing w:val="15"/>
          <w:sz w:val="28"/>
          <w:szCs w:val="28"/>
        </w:rPr>
        <w:t>注：米内网《中国城市实体药店药品终端竞争格局》，统计范围是：全国地级及以上城市实体药店，不含县乡村药店；《中国网上药店药品终端竞争格局》，统计范围是：全国网上药店所有药品数据，包括天猫、京东等第三方平台及私域平台上所有网上药店药品数据；上述销售额以产品在终端的平均零售价计算。</w:t>
      </w:r>
    </w:p>
    <w:p>
      <w:pPr>
        <w:widowControl/>
        <w:spacing w:before="100" w:beforeAutospacing="1" w:after="100" w:afterAutospacing="1" w:line="900" w:lineRule="atLeast"/>
        <w:outlineLvl w:val="1"/>
        <w:rPr>
          <w:rFonts w:ascii="微软雅黑" w:hAnsi="微软雅黑" w:eastAsia="微软雅黑" w:cs="宋体"/>
          <w:b/>
          <w:color w:val="333333"/>
          <w:kern w:val="36"/>
          <w:sz w:val="24"/>
        </w:rPr>
      </w:pPr>
    </w:p>
    <w:p>
      <w:pPr>
        <w:widowControl/>
        <w:spacing w:before="100" w:beforeAutospacing="1" w:after="100" w:afterAutospacing="1" w:line="900" w:lineRule="atLeast"/>
        <w:outlineLvl w:val="1"/>
        <w:rPr>
          <w:rFonts w:ascii="微软雅黑" w:hAnsi="微软雅黑" w:eastAsia="微软雅黑" w:cs="宋体"/>
          <w:b/>
          <w:color w:val="333333"/>
          <w:kern w:val="36"/>
          <w:sz w:val="24"/>
        </w:rPr>
      </w:pPr>
    </w:p>
    <w:p>
      <w:pPr>
        <w:widowControl/>
        <w:spacing w:before="100" w:beforeAutospacing="1" w:after="100" w:afterAutospacing="1" w:line="900" w:lineRule="atLeast"/>
        <w:outlineLvl w:val="1"/>
        <w:rPr>
          <w:rFonts w:ascii="微软雅黑" w:hAnsi="微软雅黑" w:eastAsia="微软雅黑" w:cs="宋体"/>
          <w:b/>
          <w:color w:val="333333"/>
          <w:kern w:val="36"/>
          <w:sz w:val="24"/>
        </w:rPr>
      </w:pPr>
    </w:p>
    <w:p>
      <w:pPr>
        <w:widowControl/>
        <w:spacing w:before="100" w:beforeAutospacing="1" w:after="100" w:afterAutospacing="1" w:line="900" w:lineRule="atLeast"/>
        <w:outlineLvl w:val="1"/>
        <w:rPr>
          <w:rFonts w:ascii="微软雅黑" w:hAnsi="微软雅黑" w:eastAsia="微软雅黑" w:cs="宋体"/>
          <w:b/>
          <w:color w:val="333333"/>
          <w:kern w:val="36"/>
          <w:sz w:val="24"/>
        </w:rPr>
        <w:sectPr>
          <w:pgSz w:w="11906" w:h="16838"/>
          <w:pgMar w:top="1440" w:right="1797" w:bottom="1134" w:left="1797" w:header="851" w:footer="992" w:gutter="0"/>
          <w:cols w:space="425" w:num="1"/>
          <w:titlePg/>
          <w:docGrid w:type="lines" w:linePitch="312" w:charSpace="0"/>
        </w:sectPr>
      </w:pPr>
    </w:p>
    <w:p>
      <w:pPr>
        <w:widowControl/>
        <w:spacing w:before="100" w:beforeAutospacing="1" w:after="100" w:afterAutospacing="1" w:line="900" w:lineRule="atLeast"/>
        <w:outlineLvl w:val="1"/>
        <w:rPr>
          <w:rFonts w:ascii="微软雅黑" w:hAnsi="微软雅黑" w:eastAsia="微软雅黑" w:cs="宋体"/>
          <w:b/>
          <w:color w:val="333333"/>
          <w:kern w:val="36"/>
          <w:sz w:val="24"/>
        </w:rPr>
      </w:pPr>
      <w:r>
        <w:rPr>
          <w:rFonts w:hint="eastAsia" w:ascii="微软雅黑" w:hAnsi="微软雅黑" w:eastAsia="微软雅黑" w:cs="宋体"/>
          <w:b/>
          <w:color w:val="333333"/>
          <w:kern w:val="36"/>
          <w:sz w:val="24"/>
        </w:rPr>
        <w:t>附件4</w:t>
      </w:r>
    </w:p>
    <w:p>
      <w:pPr>
        <w:jc w:val="left"/>
        <w:rPr>
          <w:rFonts w:ascii="微软雅黑" w:hAnsi="微软雅黑" w:eastAsia="微软雅黑" w:cs="宋体"/>
          <w:color w:val="333333"/>
          <w:spacing w:val="8"/>
          <w:kern w:val="0"/>
          <w:sz w:val="33"/>
          <w:szCs w:val="33"/>
        </w:rPr>
      </w:pPr>
    </w:p>
    <w:p>
      <w:pPr>
        <w:jc w:val="left"/>
        <w:rPr>
          <w:rFonts w:ascii="微软雅黑" w:hAnsi="微软雅黑" w:eastAsia="微软雅黑" w:cs="宋体"/>
          <w:color w:val="333333"/>
          <w:spacing w:val="8"/>
          <w:kern w:val="0"/>
          <w:sz w:val="33"/>
          <w:szCs w:val="33"/>
        </w:rPr>
      </w:pPr>
      <w:r>
        <w:rPr>
          <w:rFonts w:hint="eastAsia" w:ascii="微软雅黑" w:hAnsi="微软雅黑" w:eastAsia="微软雅黑" w:cs="宋体"/>
          <w:color w:val="333333"/>
          <w:spacing w:val="8"/>
          <w:kern w:val="0"/>
          <w:sz w:val="33"/>
          <w:szCs w:val="33"/>
        </w:rPr>
        <w:t>2030中国健康产业全景预测</w:t>
      </w:r>
    </w:p>
    <w:p>
      <w:pPr>
        <w:jc w:val="left"/>
      </w:pPr>
    </w:p>
    <w:p>
      <w:r>
        <w:rPr>
          <w:rFonts w:hint="eastAsia"/>
        </w:rPr>
        <w:t>西普会 中康科技 2023-08-10</w:t>
      </w:r>
    </w:p>
    <w:p>
      <w:pPr>
        <w:rPr>
          <w:rStyle w:val="13"/>
          <w:rFonts w:cs="Helvetica" w:asciiTheme="minorEastAsia" w:hAnsiTheme="minorEastAsia"/>
          <w:b w:val="0"/>
          <w:spacing w:val="15"/>
          <w:sz w:val="96"/>
          <w:szCs w:val="28"/>
        </w:rPr>
      </w:pPr>
      <w:r>
        <w:rPr>
          <w:rFonts w:cs="Helvetica" w:asciiTheme="minorEastAsia" w:hAnsiTheme="minorEastAsia"/>
          <w:bCs/>
          <w:spacing w:val="15"/>
          <w:sz w:val="96"/>
          <w:szCs w:val="28"/>
        </w:rPr>
        <w:drawing>
          <wp:inline distT="0" distB="0" distL="0" distR="0">
            <wp:extent cx="9039225" cy="3009900"/>
            <wp:effectExtent l="0" t="0" r="9525" b="0"/>
            <wp:docPr id="39" name="图片 39" descr="C:\Users\Administrator\Documents\WeChat Files\ppdeboke\FileStorage\Temp\16927684298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C:\Users\Administrator\Documents\WeChat Files\ppdeboke\FileStorage\Temp\1692768429801.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9053619" cy="3014693"/>
                    </a:xfrm>
                    <a:prstGeom prst="rect">
                      <a:avLst/>
                    </a:prstGeom>
                    <a:noFill/>
                    <a:ln>
                      <a:noFill/>
                    </a:ln>
                  </pic:spPr>
                </pic:pic>
              </a:graphicData>
            </a:graphic>
          </wp:inline>
        </w:drawing>
      </w:r>
    </w:p>
    <w:p>
      <w:pPr>
        <w:rPr>
          <w:rStyle w:val="13"/>
          <w:rFonts w:cs="Helvetica" w:asciiTheme="minorEastAsia" w:hAnsiTheme="minorEastAsia"/>
          <w:b w:val="0"/>
          <w:spacing w:val="15"/>
          <w:sz w:val="28"/>
          <w:szCs w:val="28"/>
        </w:rPr>
      </w:pPr>
      <w:r>
        <w:rPr>
          <w:rFonts w:cs="Helvetica" w:asciiTheme="minorEastAsia" w:hAnsiTheme="minorEastAsia"/>
          <w:bCs/>
          <w:spacing w:val="15"/>
          <w:sz w:val="28"/>
          <w:szCs w:val="28"/>
        </w:rPr>
        <w:drawing>
          <wp:inline distT="0" distB="0" distL="0" distR="0">
            <wp:extent cx="9057640" cy="5087620"/>
            <wp:effectExtent l="0" t="0" r="0" b="0"/>
            <wp:docPr id="40" name="图片 40" descr="C:\Users\Administrator\Documents\WeChat Files\ppdeboke\FileStorage\Temp\16927684982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C:\Users\Administrator\Documents\WeChat Files\ppdeboke\FileStorage\Temp\1692768498203.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9057640" cy="5087817"/>
                    </a:xfrm>
                    <a:prstGeom prst="rect">
                      <a:avLst/>
                    </a:prstGeom>
                    <a:noFill/>
                    <a:ln>
                      <a:noFill/>
                    </a:ln>
                  </pic:spPr>
                </pic:pic>
              </a:graphicData>
            </a:graphic>
          </wp:inline>
        </w:drawing>
      </w:r>
    </w:p>
    <w:p>
      <w:pPr>
        <w:rPr>
          <w:rStyle w:val="13"/>
          <w:rFonts w:cs="Helvetica" w:asciiTheme="minorEastAsia" w:hAnsiTheme="minorEastAsia"/>
          <w:b w:val="0"/>
          <w:spacing w:val="15"/>
          <w:sz w:val="52"/>
          <w:szCs w:val="28"/>
        </w:rPr>
      </w:pPr>
      <w:r>
        <w:rPr>
          <w:rFonts w:cs="Helvetica" w:asciiTheme="minorEastAsia" w:hAnsiTheme="minorEastAsia"/>
          <w:bCs/>
          <w:spacing w:val="15"/>
          <w:sz w:val="28"/>
          <w:szCs w:val="28"/>
        </w:rPr>
        <w:drawing>
          <wp:inline distT="0" distB="0" distL="0" distR="0">
            <wp:extent cx="9057640" cy="5086350"/>
            <wp:effectExtent l="0" t="0" r="0" b="0"/>
            <wp:docPr id="41" name="图片 41" descr="C:\Users\Administrator\Documents\WeChat Files\ppdeboke\FileStorage\Temp\16927685686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C:\Users\Administrator\Documents\WeChat Files\ppdeboke\FileStorage\Temp\1692768568638.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9057640" cy="5086650"/>
                    </a:xfrm>
                    <a:prstGeom prst="rect">
                      <a:avLst/>
                    </a:prstGeom>
                    <a:noFill/>
                    <a:ln>
                      <a:noFill/>
                    </a:ln>
                  </pic:spPr>
                </pic:pic>
              </a:graphicData>
            </a:graphic>
          </wp:inline>
        </w:drawing>
      </w:r>
      <w:r>
        <w:rPr>
          <w:rFonts w:cs="Helvetica" w:asciiTheme="minorEastAsia" w:hAnsiTheme="minorEastAsia"/>
          <w:bCs/>
          <w:spacing w:val="15"/>
          <w:sz w:val="28"/>
          <w:szCs w:val="28"/>
        </w:rPr>
        <w:drawing>
          <wp:inline distT="0" distB="0" distL="0" distR="0">
            <wp:extent cx="9057640" cy="5090160"/>
            <wp:effectExtent l="0" t="0" r="0" b="0"/>
            <wp:docPr id="42" name="图片 42" descr="C:\Users\Administrator\Documents\WeChat Files\ppdeboke\FileStorage\Temp\16927685863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C:\Users\Administrator\Documents\WeChat Files\ppdeboke\FileStorage\Temp\1692768586384.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9057640" cy="5090790"/>
                    </a:xfrm>
                    <a:prstGeom prst="rect">
                      <a:avLst/>
                    </a:prstGeom>
                    <a:noFill/>
                    <a:ln>
                      <a:noFill/>
                    </a:ln>
                  </pic:spPr>
                </pic:pic>
              </a:graphicData>
            </a:graphic>
          </wp:inline>
        </w:drawing>
      </w:r>
      <w:r>
        <w:rPr>
          <w:rFonts w:cs="Helvetica" w:asciiTheme="minorEastAsia" w:hAnsiTheme="minorEastAsia"/>
          <w:bCs/>
          <w:spacing w:val="15"/>
          <w:sz w:val="28"/>
          <w:szCs w:val="28"/>
        </w:rPr>
        <w:drawing>
          <wp:inline distT="0" distB="0" distL="0" distR="0">
            <wp:extent cx="9057640" cy="5070475"/>
            <wp:effectExtent l="0" t="0" r="0" b="0"/>
            <wp:docPr id="43" name="图片 43" descr="C:\Users\Administrator\Documents\WeChat Files\ppdeboke\FileStorage\Temp\16927686669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C:\Users\Administrator\Documents\WeChat Files\ppdeboke\FileStorage\Temp\1692768666900.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9057640" cy="5070770"/>
                    </a:xfrm>
                    <a:prstGeom prst="rect">
                      <a:avLst/>
                    </a:prstGeom>
                    <a:noFill/>
                    <a:ln>
                      <a:noFill/>
                    </a:ln>
                  </pic:spPr>
                </pic:pic>
              </a:graphicData>
            </a:graphic>
          </wp:inline>
        </w:drawing>
      </w:r>
      <w:r>
        <w:rPr>
          <w:rFonts w:cs="Helvetica" w:asciiTheme="minorEastAsia" w:hAnsiTheme="minorEastAsia"/>
          <w:bCs/>
          <w:spacing w:val="15"/>
          <w:sz w:val="28"/>
          <w:szCs w:val="28"/>
        </w:rPr>
        <w:drawing>
          <wp:inline distT="0" distB="0" distL="0" distR="0">
            <wp:extent cx="9057640" cy="5074285"/>
            <wp:effectExtent l="0" t="0" r="0" b="0"/>
            <wp:docPr id="45" name="图片 45" descr="C:\Users\Administrator\Documents\WeChat Files\ppdeboke\FileStorage\Temp\16927686893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C:\Users\Administrator\Documents\WeChat Files\ppdeboke\FileStorage\Temp\1692768689377.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9057640" cy="5074915"/>
                    </a:xfrm>
                    <a:prstGeom prst="rect">
                      <a:avLst/>
                    </a:prstGeom>
                    <a:noFill/>
                    <a:ln>
                      <a:noFill/>
                    </a:ln>
                  </pic:spPr>
                </pic:pic>
              </a:graphicData>
            </a:graphic>
          </wp:inline>
        </w:drawing>
      </w:r>
      <w:r>
        <w:rPr>
          <w:rFonts w:cs="Helvetica" w:asciiTheme="minorEastAsia" w:hAnsiTheme="minorEastAsia"/>
          <w:bCs/>
          <w:spacing w:val="15"/>
          <w:sz w:val="28"/>
          <w:szCs w:val="28"/>
        </w:rPr>
        <w:drawing>
          <wp:inline distT="0" distB="0" distL="0" distR="0">
            <wp:extent cx="9057640" cy="5094605"/>
            <wp:effectExtent l="0" t="0" r="0" b="0"/>
            <wp:docPr id="50" name="图片 50" descr="C:\Users\Administrator\Documents\WeChat Files\ppdeboke\FileStorage\Temp\16927687067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C:\Users\Administrator\Documents\WeChat Files\ppdeboke\FileStorage\Temp\1692768706709.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9057640" cy="5094923"/>
                    </a:xfrm>
                    <a:prstGeom prst="rect">
                      <a:avLst/>
                    </a:prstGeom>
                    <a:noFill/>
                    <a:ln>
                      <a:noFill/>
                    </a:ln>
                  </pic:spPr>
                </pic:pic>
              </a:graphicData>
            </a:graphic>
          </wp:inline>
        </w:drawing>
      </w:r>
      <w:r>
        <w:rPr>
          <w:rFonts w:cs="Helvetica" w:asciiTheme="minorEastAsia" w:hAnsiTheme="minorEastAsia"/>
          <w:bCs/>
          <w:spacing w:val="15"/>
          <w:sz w:val="28"/>
          <w:szCs w:val="28"/>
        </w:rPr>
        <w:drawing>
          <wp:inline distT="0" distB="0" distL="0" distR="0">
            <wp:extent cx="9057640" cy="5102860"/>
            <wp:effectExtent l="0" t="0" r="0" b="2540"/>
            <wp:docPr id="53" name="图片 53" descr="C:\Users\Administrator\Documents\WeChat Files\ppdeboke\FileStorage\Temp\16927687250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C:\Users\Administrator\Documents\WeChat Files\ppdeboke\FileStorage\Temp\1692768725060.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9057640" cy="5103161"/>
                    </a:xfrm>
                    <a:prstGeom prst="rect">
                      <a:avLst/>
                    </a:prstGeom>
                    <a:noFill/>
                    <a:ln>
                      <a:noFill/>
                    </a:ln>
                  </pic:spPr>
                </pic:pic>
              </a:graphicData>
            </a:graphic>
          </wp:inline>
        </w:drawing>
      </w:r>
      <w:r>
        <w:rPr>
          <w:rFonts w:cs="Helvetica" w:asciiTheme="minorEastAsia" w:hAnsiTheme="minorEastAsia"/>
          <w:bCs/>
          <w:spacing w:val="15"/>
          <w:sz w:val="28"/>
          <w:szCs w:val="28"/>
        </w:rPr>
        <w:drawing>
          <wp:inline distT="0" distB="0" distL="0" distR="0">
            <wp:extent cx="9057640" cy="5060950"/>
            <wp:effectExtent l="0" t="0" r="0" b="6350"/>
            <wp:docPr id="54" name="图片 54" descr="C:\Users\Administrator\Documents\WeChat Files\ppdeboke\FileStorage\Temp\16927687434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C:\Users\Administrator\Documents\WeChat Files\ppdeboke\FileStorage\Temp\1692768743497.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9057640" cy="5061345"/>
                    </a:xfrm>
                    <a:prstGeom prst="rect">
                      <a:avLst/>
                    </a:prstGeom>
                    <a:noFill/>
                    <a:ln>
                      <a:noFill/>
                    </a:ln>
                  </pic:spPr>
                </pic:pic>
              </a:graphicData>
            </a:graphic>
          </wp:inline>
        </w:drawing>
      </w:r>
      <w:bookmarkStart w:id="0" w:name="_GoBack"/>
      <w:bookmarkEnd w:id="0"/>
      <w:r>
        <w:rPr>
          <w:rStyle w:val="13"/>
          <w:rFonts w:cs="Helvetica" w:asciiTheme="minorEastAsia" w:hAnsiTheme="minorEastAsia"/>
          <w:b w:val="0"/>
          <w:spacing w:val="15"/>
          <w:sz w:val="52"/>
          <w:szCs w:val="28"/>
        </w:rPr>
        <w:t xml:space="preserve"> </w:t>
      </w:r>
    </w:p>
    <w:p>
      <w:pPr>
        <w:widowControl/>
        <w:spacing w:before="100" w:beforeAutospacing="1" w:after="100" w:afterAutospacing="1" w:line="900" w:lineRule="atLeast"/>
        <w:outlineLvl w:val="1"/>
        <w:rPr>
          <w:rFonts w:ascii="微软雅黑" w:hAnsi="微软雅黑" w:eastAsia="微软雅黑" w:cs="宋体"/>
          <w:b/>
          <w:color w:val="333333"/>
          <w:kern w:val="36"/>
          <w:sz w:val="24"/>
        </w:rPr>
        <w:sectPr>
          <w:pgSz w:w="16838" w:h="11906" w:orient="landscape"/>
          <w:pgMar w:top="1797" w:right="1134" w:bottom="1797" w:left="1440" w:header="851" w:footer="992" w:gutter="0"/>
          <w:cols w:space="425" w:num="1"/>
          <w:titlePg/>
          <w:docGrid w:type="lines" w:linePitch="312" w:charSpace="0"/>
        </w:sectPr>
      </w:pPr>
    </w:p>
    <w:p>
      <w:pPr>
        <w:widowControl/>
        <w:spacing w:before="100" w:beforeAutospacing="1" w:after="100" w:afterAutospacing="1" w:line="900" w:lineRule="atLeast"/>
        <w:outlineLvl w:val="1"/>
        <w:rPr>
          <w:rFonts w:ascii="微软雅黑" w:hAnsi="微软雅黑" w:eastAsia="微软雅黑" w:cs="宋体"/>
          <w:b/>
          <w:color w:val="333333"/>
          <w:kern w:val="36"/>
          <w:sz w:val="24"/>
        </w:rPr>
      </w:pPr>
      <w:r>
        <w:rPr>
          <w:rFonts w:hint="eastAsia" w:ascii="微软雅黑" w:hAnsi="微软雅黑" w:eastAsia="微软雅黑" w:cs="宋体"/>
          <w:b/>
          <w:color w:val="333333"/>
          <w:kern w:val="36"/>
          <w:sz w:val="24"/>
        </w:rPr>
        <w:t>附件5</w:t>
      </w:r>
    </w:p>
    <w:p>
      <w:pPr>
        <w:jc w:val="left"/>
        <w:rPr>
          <w:rFonts w:ascii="微软雅黑" w:hAnsi="微软雅黑" w:eastAsia="微软雅黑" w:cs="宋体"/>
          <w:color w:val="333333"/>
          <w:spacing w:val="8"/>
          <w:kern w:val="0"/>
          <w:sz w:val="33"/>
          <w:szCs w:val="33"/>
        </w:rPr>
      </w:pPr>
    </w:p>
    <w:p>
      <w:pPr>
        <w:jc w:val="left"/>
      </w:pPr>
      <w:r>
        <w:rPr>
          <w:rFonts w:hint="eastAsia" w:ascii="微软雅黑" w:hAnsi="微软雅黑" w:eastAsia="微软雅黑" w:cs="宋体"/>
          <w:color w:val="333333"/>
          <w:spacing w:val="8"/>
          <w:kern w:val="0"/>
          <w:sz w:val="33"/>
          <w:szCs w:val="33"/>
        </w:rPr>
        <w:t>九洲大药房如何实现三年市占翻三倍！</w:t>
      </w:r>
      <w:r>
        <w:t xml:space="preserve"> </w:t>
      </w:r>
    </w:p>
    <w:p/>
    <w:p>
      <w:pPr>
        <w:rPr>
          <w:rStyle w:val="13"/>
          <w:spacing w:val="30"/>
        </w:rPr>
      </w:pPr>
      <w:r>
        <w:rPr>
          <w:rFonts w:hint="eastAsia"/>
        </w:rPr>
        <w:t>第一药店财智 2023-07-31</w:t>
      </w:r>
    </w:p>
    <w:p>
      <w:pPr>
        <w:rPr>
          <w:rStyle w:val="13"/>
          <w:spacing w:val="30"/>
        </w:rPr>
      </w:pPr>
    </w:p>
    <w:p>
      <w:pPr>
        <w:rPr>
          <w:rStyle w:val="13"/>
          <w:spacing w:val="30"/>
        </w:rPr>
      </w:pPr>
    </w:p>
    <w:p>
      <w:pPr>
        <w:ind w:firstLine="620" w:firstLineChars="200"/>
        <w:rPr>
          <w:rStyle w:val="13"/>
          <w:rFonts w:cs="Helvetica" w:asciiTheme="minorEastAsia" w:hAnsiTheme="minorEastAsia"/>
          <w:b w:val="0"/>
          <w:bCs w:val="0"/>
          <w:spacing w:val="15"/>
          <w:sz w:val="28"/>
          <w:szCs w:val="28"/>
        </w:rPr>
      </w:pPr>
      <w:r>
        <w:rPr>
          <w:rStyle w:val="13"/>
          <w:rFonts w:hint="eastAsia" w:cs="Helvetica" w:asciiTheme="minorEastAsia" w:hAnsiTheme="minorEastAsia"/>
          <w:b w:val="0"/>
          <w:bCs w:val="0"/>
          <w:spacing w:val="15"/>
          <w:sz w:val="28"/>
          <w:szCs w:val="28"/>
        </w:rPr>
        <w:t>近年来，大连锁凭借强大的运营能力和资金技术实力扩张发展，反观中小区域连锁由于在资金和技术层面没有大连锁雄厚，在竞争中往往处于被动。</w:t>
      </w:r>
    </w:p>
    <w:p>
      <w:pPr>
        <w:ind w:firstLine="620" w:firstLineChars="200"/>
        <w:rPr>
          <w:rStyle w:val="13"/>
          <w:rFonts w:cs="Helvetica" w:asciiTheme="minorEastAsia" w:hAnsiTheme="minorEastAsia"/>
          <w:b w:val="0"/>
          <w:bCs w:val="0"/>
          <w:spacing w:val="15"/>
          <w:sz w:val="28"/>
          <w:szCs w:val="28"/>
        </w:rPr>
      </w:pPr>
      <w:r>
        <w:rPr>
          <w:rStyle w:val="13"/>
          <w:rFonts w:hint="eastAsia" w:cs="Helvetica" w:asciiTheme="minorEastAsia" w:hAnsiTheme="minorEastAsia"/>
          <w:b w:val="0"/>
          <w:bCs w:val="0"/>
          <w:spacing w:val="15"/>
          <w:sz w:val="28"/>
          <w:szCs w:val="28"/>
        </w:rPr>
        <w:t>中小连锁如何能够在竞争中逆袭？带着疑问，第一药店财智在连锁实地走访中发现，位于浙江的区域连锁——九洲大药房，依靠着深度挖掘和不断迭代的运营策略，在没有体量优势、商品成本优势和总部运营支持优势的情况下，在与全国大型连锁的竞争中，交易额市场占比从2021年的7%左右，提升到2023年的20%，实现市场份额翻倍。</w:t>
      </w:r>
    </w:p>
    <w:p>
      <w:pPr>
        <w:rPr>
          <w:rStyle w:val="13"/>
          <w:rFonts w:cs="Helvetica" w:asciiTheme="minorEastAsia" w:hAnsiTheme="minorEastAsia"/>
          <w:b w:val="0"/>
          <w:bCs w:val="0"/>
          <w:spacing w:val="15"/>
          <w:sz w:val="28"/>
          <w:szCs w:val="28"/>
        </w:rPr>
      </w:pPr>
      <w:r>
        <w:rPr>
          <w:rStyle w:val="13"/>
          <w:rFonts w:hint="eastAsia" w:ascii="Microsoft YaHei UI" w:hAnsi="Microsoft YaHei UI" w:eastAsia="Microsoft YaHei UI"/>
          <w:b w:val="0"/>
          <w:bCs w:val="0"/>
          <w:color w:val="CD0202"/>
          <w:spacing w:val="9"/>
          <w:sz w:val="60"/>
          <w:szCs w:val="60"/>
        </w:rPr>
        <w:t>01</w:t>
      </w:r>
      <w:r>
        <w:rPr>
          <w:rStyle w:val="13"/>
          <w:spacing w:val="30"/>
          <w:sz w:val="24"/>
          <w:szCs w:val="28"/>
        </w:rPr>
        <w:t>区域连锁的逆袭：三年市占翻三倍</w:t>
      </w:r>
    </w:p>
    <w:p>
      <w:pPr>
        <w:ind w:firstLine="620" w:firstLineChars="200"/>
        <w:rPr>
          <w:rStyle w:val="13"/>
          <w:rFonts w:cs="Helvetica" w:asciiTheme="minorEastAsia" w:hAnsiTheme="minorEastAsia"/>
          <w:b w:val="0"/>
          <w:bCs w:val="0"/>
          <w:spacing w:val="15"/>
          <w:sz w:val="28"/>
          <w:szCs w:val="28"/>
        </w:rPr>
      </w:pPr>
      <w:r>
        <w:rPr>
          <w:rStyle w:val="13"/>
          <w:rFonts w:hint="eastAsia" w:cs="Helvetica" w:asciiTheme="minorEastAsia" w:hAnsiTheme="minorEastAsia"/>
          <w:b w:val="0"/>
          <w:bCs w:val="0"/>
          <w:spacing w:val="15"/>
          <w:sz w:val="28"/>
          <w:szCs w:val="28"/>
        </w:rPr>
        <w:t>近年来连锁药店行业集中度不断升高，大连锁的扩店速度不断提升。</w:t>
      </w:r>
    </w:p>
    <w:p>
      <w:pPr>
        <w:ind w:firstLine="620" w:firstLineChars="200"/>
        <w:rPr>
          <w:rStyle w:val="13"/>
          <w:rFonts w:cs="Helvetica" w:asciiTheme="minorEastAsia" w:hAnsiTheme="minorEastAsia"/>
          <w:b w:val="0"/>
          <w:bCs w:val="0"/>
          <w:spacing w:val="15"/>
          <w:sz w:val="28"/>
          <w:szCs w:val="28"/>
        </w:rPr>
      </w:pPr>
      <w:r>
        <w:rPr>
          <w:rStyle w:val="13"/>
          <w:rFonts w:hint="eastAsia" w:cs="Helvetica" w:asciiTheme="minorEastAsia" w:hAnsiTheme="minorEastAsia"/>
          <w:b w:val="0"/>
          <w:bCs w:val="0"/>
          <w:spacing w:val="15"/>
          <w:sz w:val="28"/>
          <w:szCs w:val="28"/>
        </w:rPr>
        <w:t>国家药监局发布的《药品监管管理统计年度数据（2022）》显示，2022年,全国药店数量继续保持增长态势,连锁率由57.2%提升至57.8%。从六大上市连锁药店公司财报来看，大连锁的扩张步伐不断加快，老百姓、益丰、大参林三家连锁药店公司的门店数纷纷突破1万家，其中老百姓的门店达到10783家，2022年就新增了2764家，益丰大药房则是2022年新增门店最多的，新增了2816家，总门店数也达到了10268家；大参林的门店总数则是达到了10045家，其中2022年新增2071家。</w:t>
      </w:r>
    </w:p>
    <w:p>
      <w:pPr>
        <w:ind w:firstLine="620" w:firstLineChars="200"/>
        <w:rPr>
          <w:rStyle w:val="13"/>
          <w:rFonts w:cs="Helvetica" w:asciiTheme="minorEastAsia" w:hAnsiTheme="minorEastAsia"/>
          <w:b w:val="0"/>
          <w:bCs w:val="0"/>
          <w:spacing w:val="15"/>
          <w:sz w:val="28"/>
          <w:szCs w:val="28"/>
        </w:rPr>
      </w:pPr>
      <w:r>
        <w:rPr>
          <w:rStyle w:val="13"/>
          <w:rFonts w:hint="eastAsia" w:cs="Helvetica" w:asciiTheme="minorEastAsia" w:hAnsiTheme="minorEastAsia"/>
          <w:b w:val="0"/>
          <w:bCs w:val="0"/>
          <w:spacing w:val="15"/>
          <w:sz w:val="28"/>
          <w:szCs w:val="28"/>
        </w:rPr>
        <w:t>相对大连锁而言，区域中小连锁在竞争中往往处于劣势，但在第一药店财智的一线走访中，发现在竞争激烈的电商重镇浙江市场中，有一家在大连锁的竞争中突围而出，实现逆袭的样本，那就是深耕杭州20年的知名连锁九洲大药房。</w:t>
      </w:r>
    </w:p>
    <w:p>
      <w:pPr>
        <w:ind w:firstLine="620" w:firstLineChars="200"/>
        <w:rPr>
          <w:rStyle w:val="13"/>
          <w:rFonts w:cs="Helvetica" w:asciiTheme="minorEastAsia" w:hAnsiTheme="minorEastAsia"/>
          <w:b w:val="0"/>
          <w:bCs w:val="0"/>
          <w:spacing w:val="15"/>
          <w:sz w:val="28"/>
          <w:szCs w:val="28"/>
        </w:rPr>
      </w:pPr>
      <w:r>
        <w:rPr>
          <w:rStyle w:val="13"/>
          <w:rFonts w:hint="eastAsia" w:cs="Helvetica" w:asciiTheme="minorEastAsia" w:hAnsiTheme="minorEastAsia"/>
          <w:b w:val="0"/>
          <w:bCs w:val="0"/>
          <w:spacing w:val="15"/>
          <w:sz w:val="28"/>
          <w:szCs w:val="28"/>
        </w:rPr>
        <w:t>数据显示，近三年来九洲大药房整体在业务、门店拓展、O2O、B2C、B2B销售等方面，都呈快速增长的趋势。公司的市场份额从7%提升到20%，整个业务板块的销售额以及线上交易次数，都呈翻倍增长。在市场份额接近3倍增长背后，实际销售额3年以来涨了5倍以上。</w:t>
      </w:r>
    </w:p>
    <w:p>
      <w:pPr>
        <w:ind w:firstLine="620" w:firstLineChars="200"/>
        <w:rPr>
          <w:rStyle w:val="13"/>
          <w:rFonts w:cs="Helvetica" w:asciiTheme="minorEastAsia" w:hAnsiTheme="minorEastAsia"/>
          <w:b w:val="0"/>
          <w:bCs w:val="0"/>
          <w:spacing w:val="15"/>
          <w:sz w:val="28"/>
          <w:szCs w:val="28"/>
        </w:rPr>
      </w:pPr>
      <w:r>
        <w:rPr>
          <w:rStyle w:val="13"/>
          <w:rFonts w:hint="eastAsia" w:cs="Helvetica" w:asciiTheme="minorEastAsia" w:hAnsiTheme="minorEastAsia"/>
          <w:b w:val="0"/>
          <w:bCs w:val="0"/>
          <w:spacing w:val="15"/>
          <w:sz w:val="28"/>
          <w:szCs w:val="28"/>
        </w:rPr>
        <w:t>不仅仅是市场份额和实际销售额的大幅提升，“我们SKU的动销率、库存周转天数也提升了非常多，周转天数缩短到之前的一半，店铺的月动销率可以提升至85%以上，这个动销率其实是非常高的。”九洲大药房相关业务负责人表示。</w:t>
      </w:r>
    </w:p>
    <w:p>
      <w:pPr>
        <w:rPr>
          <w:rStyle w:val="13"/>
          <w:rFonts w:cs="Helvetica" w:asciiTheme="minorEastAsia" w:hAnsiTheme="minorEastAsia"/>
          <w:b w:val="0"/>
          <w:bCs w:val="0"/>
          <w:spacing w:val="15"/>
          <w:sz w:val="28"/>
          <w:szCs w:val="28"/>
        </w:rPr>
      </w:pPr>
      <w:r>
        <w:rPr>
          <w:rStyle w:val="13"/>
          <w:rFonts w:hint="eastAsia" w:ascii="Microsoft YaHei UI" w:hAnsi="Microsoft YaHei UI" w:eastAsia="Microsoft YaHei UI"/>
          <w:b w:val="0"/>
          <w:bCs w:val="0"/>
          <w:color w:val="CD0202"/>
          <w:spacing w:val="9"/>
          <w:sz w:val="60"/>
          <w:szCs w:val="60"/>
        </w:rPr>
        <w:t>02</w:t>
      </w:r>
      <w:r>
        <w:rPr>
          <w:rStyle w:val="13"/>
          <w:spacing w:val="30"/>
          <w:sz w:val="24"/>
          <w:szCs w:val="28"/>
        </w:rPr>
        <w:t>解锁逆袭秘诀：全力发展“线上化”</w:t>
      </w:r>
    </w:p>
    <w:p>
      <w:pPr>
        <w:ind w:firstLine="620" w:firstLineChars="200"/>
        <w:rPr>
          <w:rStyle w:val="13"/>
          <w:rFonts w:cs="Helvetica" w:asciiTheme="minorEastAsia" w:hAnsiTheme="minorEastAsia"/>
          <w:b w:val="0"/>
          <w:bCs w:val="0"/>
          <w:spacing w:val="15"/>
          <w:sz w:val="28"/>
          <w:szCs w:val="28"/>
        </w:rPr>
      </w:pPr>
      <w:r>
        <w:rPr>
          <w:rStyle w:val="13"/>
          <w:rFonts w:hint="eastAsia" w:cs="Helvetica" w:asciiTheme="minorEastAsia" w:hAnsiTheme="minorEastAsia"/>
          <w:b w:val="0"/>
          <w:bCs w:val="0"/>
          <w:spacing w:val="15"/>
          <w:sz w:val="28"/>
          <w:szCs w:val="28"/>
        </w:rPr>
        <w:t>究竟是什么秘诀，让九洲大药房在竞争激烈的杭州市场中实现逆袭？九洲大药房相关负责人告诉第一药店财智，其实并没有什么特别的招数，而是坚定地全力发展“线上化”，同时与线上平台深度合作，利用线上O2O平台的数字化工具和过往线上运营的经验，快速提升线上经营的能力。</w:t>
      </w:r>
    </w:p>
    <w:p>
      <w:pPr>
        <w:ind w:firstLine="620" w:firstLineChars="200"/>
        <w:rPr>
          <w:rStyle w:val="13"/>
          <w:rFonts w:cs="Helvetica" w:asciiTheme="minorEastAsia" w:hAnsiTheme="minorEastAsia"/>
          <w:b w:val="0"/>
          <w:bCs w:val="0"/>
          <w:spacing w:val="15"/>
          <w:sz w:val="28"/>
          <w:szCs w:val="28"/>
        </w:rPr>
      </w:pPr>
      <w:r>
        <w:rPr>
          <w:rStyle w:val="13"/>
          <w:rFonts w:hint="eastAsia" w:cs="Helvetica" w:asciiTheme="minorEastAsia" w:hAnsiTheme="minorEastAsia"/>
          <w:b w:val="0"/>
          <w:bCs w:val="0"/>
          <w:spacing w:val="15"/>
          <w:sz w:val="28"/>
          <w:szCs w:val="28"/>
        </w:rPr>
        <w:t>事实上，“线上化”也是大型连锁近年来重点发力的方向：老百姓2023年一季度线上渠道销售额达3.7亿元，同比增长37%；健之佳2023年一季度报显示，线上渠道实现营业收入总计4.8亿元，较上年同期增长62.65%；大参林则采用全渠道一体化运营策略，组建了专业的新零售团队。</w:t>
      </w:r>
    </w:p>
    <w:p>
      <w:pPr>
        <w:ind w:firstLine="620" w:firstLineChars="200"/>
        <w:rPr>
          <w:rStyle w:val="13"/>
          <w:rFonts w:cs="Helvetica" w:asciiTheme="minorEastAsia" w:hAnsiTheme="minorEastAsia"/>
          <w:b w:val="0"/>
          <w:bCs w:val="0"/>
          <w:spacing w:val="15"/>
          <w:sz w:val="28"/>
          <w:szCs w:val="28"/>
        </w:rPr>
      </w:pPr>
      <w:r>
        <w:rPr>
          <w:rStyle w:val="13"/>
          <w:rFonts w:hint="eastAsia" w:cs="Helvetica" w:asciiTheme="minorEastAsia" w:hAnsiTheme="minorEastAsia"/>
          <w:b w:val="0"/>
          <w:bCs w:val="0"/>
          <w:spacing w:val="15"/>
          <w:sz w:val="28"/>
          <w:szCs w:val="28"/>
        </w:rPr>
        <w:t>早在2018年，九洲大药房就洞察到医药行业线上化的市场潜力。在布局线上市场的初期，九洲大药房已经意识到，做好线上运营就必须把动作拆解，将商品运营、用户运营和门店运营结合起来，全面满足线上化的需求。</w:t>
      </w:r>
    </w:p>
    <w:p>
      <w:pPr>
        <w:rPr>
          <w:rStyle w:val="13"/>
          <w:rFonts w:cs="Helvetica" w:asciiTheme="minorEastAsia" w:hAnsiTheme="minorEastAsia"/>
          <w:b w:val="0"/>
          <w:bCs w:val="0"/>
          <w:spacing w:val="15"/>
          <w:sz w:val="28"/>
          <w:szCs w:val="28"/>
        </w:rPr>
      </w:pPr>
      <w:r>
        <w:rPr>
          <w:rFonts w:cs="Helvetica" w:asciiTheme="minorEastAsia" w:hAnsiTheme="minorEastAsia"/>
          <w:spacing w:val="15"/>
          <w:sz w:val="28"/>
          <w:szCs w:val="28"/>
        </w:rPr>
        <w:drawing>
          <wp:inline distT="0" distB="0" distL="0" distR="0">
            <wp:extent cx="5274310" cy="2972435"/>
            <wp:effectExtent l="0" t="0" r="2540" b="0"/>
            <wp:docPr id="2" name="图片 2" descr="C:\Users\Administrator\Documents\WeChat Files\ppdeboke\FileStorage\Temp\056970d67bab1545954a17abcf56da9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istrator\Documents\WeChat Files\ppdeboke\FileStorage\Temp\056970d67bab1545954a17abcf56da9a.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5274310" cy="2972904"/>
                    </a:xfrm>
                    <a:prstGeom prst="rect">
                      <a:avLst/>
                    </a:prstGeom>
                    <a:noFill/>
                    <a:ln>
                      <a:noFill/>
                    </a:ln>
                  </pic:spPr>
                </pic:pic>
              </a:graphicData>
            </a:graphic>
          </wp:inline>
        </w:drawing>
      </w:r>
    </w:p>
    <w:p>
      <w:pPr>
        <w:rPr>
          <w:rStyle w:val="13"/>
          <w:rFonts w:asciiTheme="minorEastAsia" w:hAnsiTheme="minorEastAsia"/>
          <w:b w:val="0"/>
          <w:bCs w:val="0"/>
          <w:sz w:val="28"/>
        </w:rPr>
      </w:pPr>
      <w:r>
        <w:rPr>
          <w:rStyle w:val="13"/>
          <w:rFonts w:hint="eastAsia"/>
          <w:b w:val="0"/>
          <w:bCs w:val="0"/>
          <w:color w:val="EF7060"/>
          <w:sz w:val="28"/>
        </w:rPr>
        <w:t xml:space="preserve">   </w:t>
      </w:r>
      <w:r>
        <w:rPr>
          <w:rStyle w:val="13"/>
          <w:rFonts w:hint="eastAsia" w:asciiTheme="minorEastAsia" w:hAnsiTheme="minorEastAsia"/>
          <w:b w:val="0"/>
          <w:bCs w:val="0"/>
          <w:sz w:val="28"/>
        </w:rPr>
        <w:t>“首先我们要解决的是商品运营，到底用户会在线上买哪些商品？”九洲大药房相关负责人表示，一开始九洲大药房通过参考已经有一定量的门店，观察哪些品类在平台显示热销，然后有针对性地去调整上架产品。但随着业务量的增长，单纯依靠个人观察来做决定是远远不够的，容易出现判断的滞后性。</w:t>
      </w:r>
    </w:p>
    <w:p>
      <w:pPr>
        <w:ind w:firstLine="560" w:firstLineChars="200"/>
        <w:rPr>
          <w:rStyle w:val="13"/>
          <w:rFonts w:asciiTheme="minorEastAsia" w:hAnsiTheme="minorEastAsia"/>
          <w:b w:val="0"/>
          <w:bCs w:val="0"/>
          <w:sz w:val="28"/>
        </w:rPr>
      </w:pPr>
      <w:r>
        <w:rPr>
          <w:rStyle w:val="13"/>
          <w:rFonts w:hint="eastAsia" w:asciiTheme="minorEastAsia" w:hAnsiTheme="minorEastAsia"/>
          <w:b w:val="0"/>
          <w:bCs w:val="0"/>
          <w:sz w:val="28"/>
        </w:rPr>
        <w:t>基于此，九洲大药房通过跟美团买药运营方的密切互动，及时关注到到当下热度走高的商品，同时也与平台运营深度合作，利用线上平台丰富的线上运营经验，做好各类维度热销品类的运营，提前做好备货和上架。</w:t>
      </w:r>
    </w:p>
    <w:p>
      <w:pPr>
        <w:ind w:firstLine="560" w:firstLineChars="200"/>
        <w:rPr>
          <w:rStyle w:val="13"/>
          <w:rFonts w:asciiTheme="minorEastAsia" w:hAnsiTheme="minorEastAsia"/>
          <w:b w:val="0"/>
          <w:bCs w:val="0"/>
          <w:sz w:val="28"/>
        </w:rPr>
      </w:pPr>
      <w:r>
        <w:rPr>
          <w:rStyle w:val="13"/>
          <w:rFonts w:hint="eastAsia" w:asciiTheme="minorEastAsia" w:hAnsiTheme="minorEastAsia"/>
          <w:b w:val="0"/>
          <w:bCs w:val="0"/>
          <w:sz w:val="28"/>
        </w:rPr>
        <w:t>除了关注热销品之外，品类齐全也是一个重点关注的方向。“我们刚开始做线上化的时候品类其实不太齐全，后来在平台运营助手的指导下，发现线上用户覆盖面其实比线下更大，对商品品类需求增多，我们后来就重点关注品类齐全的问题，我们只要线下经营的商品可以上线到平台上，我们都进行添加。”九洲大药房相关负责人表示，随着线上用户对商品品类需求的不断增加，九洲大药房线上经营的优势也逐渐体现出来——线上SKU数一直稳居前列，用品类足够全留住了用户。</w:t>
      </w:r>
    </w:p>
    <w:p>
      <w:pPr>
        <w:ind w:firstLine="560" w:firstLineChars="200"/>
        <w:rPr>
          <w:rStyle w:val="13"/>
          <w:rFonts w:asciiTheme="minorEastAsia" w:hAnsiTheme="minorEastAsia"/>
          <w:b w:val="0"/>
          <w:bCs w:val="0"/>
          <w:sz w:val="28"/>
        </w:rPr>
      </w:pPr>
      <w:r>
        <w:rPr>
          <w:rStyle w:val="13"/>
          <w:rFonts w:hint="eastAsia" w:asciiTheme="minorEastAsia" w:hAnsiTheme="minorEastAsia"/>
          <w:b w:val="0"/>
          <w:bCs w:val="0"/>
          <w:sz w:val="28"/>
        </w:rPr>
        <w:t>在商品运营的同时，用户运营也要同步开展。“新客和老客要分开运营，使用不同的策略。”九洲大药房相关负责人称，线上平台提供的数字化工具能够了解到单店或者是所有门店的新老客占比，帮助连锁去调整对应的新客及老客的会员活动，提高投入产出比，进而有效地提升店铺销量。</w:t>
      </w:r>
    </w:p>
    <w:p>
      <w:pPr>
        <w:ind w:firstLine="560" w:firstLineChars="200"/>
        <w:rPr>
          <w:rStyle w:val="13"/>
          <w:rFonts w:asciiTheme="minorEastAsia" w:hAnsiTheme="minorEastAsia"/>
          <w:b w:val="0"/>
          <w:bCs w:val="0"/>
          <w:sz w:val="28"/>
        </w:rPr>
      </w:pPr>
      <w:r>
        <w:rPr>
          <w:rStyle w:val="13"/>
          <w:rFonts w:hint="eastAsia" w:asciiTheme="minorEastAsia" w:hAnsiTheme="minorEastAsia"/>
          <w:b w:val="0"/>
          <w:bCs w:val="0"/>
          <w:sz w:val="28"/>
        </w:rPr>
        <w:t>“运营需要极致关注数字关注细节并且利用现有资源，我们在过去几年就是一直在细节处下功夫，并且与线上平台深度合作，才有了现在的成果。”该负责人进一步说到，美团买药推出的商家会员服务功能，是商家留存用户的好工具，成为商家会员后的用户粘性和客单价也明显提升。</w:t>
      </w:r>
    </w:p>
    <w:p>
      <w:pPr>
        <w:widowControl/>
        <w:jc w:val="left"/>
        <w:rPr>
          <w:rFonts w:ascii="宋体" w:hAnsi="宋体" w:cs="宋体"/>
          <w:kern w:val="0"/>
          <w:sz w:val="24"/>
          <w:szCs w:val="24"/>
        </w:rPr>
      </w:pPr>
      <w:r>
        <w:rPr>
          <w:rFonts w:hint="eastAsia" w:ascii="Microsoft YaHei UI" w:hAnsi="Microsoft YaHei UI" w:eastAsia="Microsoft YaHei UI" w:cs="宋体"/>
          <w:color w:val="CD0202"/>
          <w:spacing w:val="9"/>
          <w:kern w:val="0"/>
          <w:sz w:val="60"/>
          <w:szCs w:val="60"/>
        </w:rPr>
        <w:t>03</w:t>
      </w:r>
      <w:r>
        <w:rPr>
          <w:rFonts w:ascii="宋体" w:hAnsi="宋体" w:cs="宋体"/>
          <w:b/>
          <w:bCs/>
          <w:spacing w:val="30"/>
          <w:kern w:val="0"/>
          <w:sz w:val="24"/>
          <w:szCs w:val="24"/>
        </w:rPr>
        <w:t>融合发展的关键：布局全城24小时药店</w:t>
      </w:r>
    </w:p>
    <w:p>
      <w:pPr>
        <w:rPr>
          <w:rStyle w:val="13"/>
          <w:rFonts w:asciiTheme="minorEastAsia" w:hAnsiTheme="minorEastAsia"/>
          <w:b w:val="0"/>
          <w:bCs w:val="0"/>
          <w:sz w:val="28"/>
        </w:rPr>
      </w:pPr>
      <w:r>
        <w:rPr>
          <w:rStyle w:val="13"/>
          <w:rFonts w:hint="eastAsia" w:asciiTheme="minorEastAsia" w:hAnsiTheme="minorEastAsia"/>
          <w:b w:val="0"/>
          <w:bCs w:val="0"/>
          <w:sz w:val="28"/>
        </w:rPr>
        <w:t xml:space="preserve">    除了商品运营和用户运营，由于连锁药店的线上化需要线上线下融合发展，因此如何将原有线下门店进行线上化数字化升级，让线上线下业务在门店能够融合发展。</w:t>
      </w:r>
    </w:p>
    <w:p>
      <w:pPr>
        <w:ind w:firstLine="560" w:firstLineChars="200"/>
        <w:rPr>
          <w:rStyle w:val="13"/>
          <w:rFonts w:asciiTheme="minorEastAsia" w:hAnsiTheme="minorEastAsia"/>
          <w:b w:val="0"/>
          <w:bCs w:val="0"/>
          <w:sz w:val="28"/>
        </w:rPr>
      </w:pPr>
      <w:r>
        <w:rPr>
          <w:rStyle w:val="13"/>
          <w:rFonts w:hint="eastAsia" w:asciiTheme="minorEastAsia" w:hAnsiTheme="minorEastAsia"/>
          <w:b w:val="0"/>
          <w:bCs w:val="0"/>
          <w:sz w:val="28"/>
        </w:rPr>
        <w:t>具体而言，九洲大药房做了很关键的动作——沉淀和打磨门店管理的操作和SOP。通过进行每单的奖励，提高线上订单的门店关注度，提升门店对线上运营的积极性；将回复及时、打包及时、订单信息准确作为药店考核要求，提高用户的体验感……九洲大药房通过探索实践得到启示，“需要提高门店对线上运营的积极性和关注度，同时提升门店操作的标准化，线上业务才能真正做起来”。</w:t>
      </w:r>
    </w:p>
    <w:p>
      <w:pPr>
        <w:ind w:firstLine="560" w:firstLineChars="200"/>
        <w:rPr>
          <w:rStyle w:val="13"/>
          <w:rFonts w:asciiTheme="minorEastAsia" w:hAnsiTheme="minorEastAsia"/>
          <w:b w:val="0"/>
          <w:bCs w:val="0"/>
          <w:sz w:val="28"/>
        </w:rPr>
      </w:pPr>
      <w:r>
        <w:rPr>
          <w:rStyle w:val="13"/>
          <w:rFonts w:hint="eastAsia" w:asciiTheme="minorEastAsia" w:hAnsiTheme="minorEastAsia"/>
          <w:b w:val="0"/>
          <w:bCs w:val="0"/>
          <w:sz w:val="28"/>
        </w:rPr>
        <w:t>在与九洲大药房的交流中，该负责人还专门提到了一个重要决策——全城24小时药店布局。</w:t>
      </w:r>
    </w:p>
    <w:p>
      <w:pPr>
        <w:rPr>
          <w:rStyle w:val="13"/>
          <w:rFonts w:asciiTheme="minorEastAsia" w:hAnsiTheme="minorEastAsia"/>
          <w:b w:val="0"/>
          <w:bCs w:val="0"/>
          <w:sz w:val="28"/>
        </w:rPr>
      </w:pPr>
      <w:r>
        <w:rPr>
          <w:rFonts w:asciiTheme="minorEastAsia" w:hAnsiTheme="minorEastAsia"/>
          <w:sz w:val="28"/>
        </w:rPr>
        <w:drawing>
          <wp:inline distT="0" distB="0" distL="0" distR="0">
            <wp:extent cx="4486275" cy="2238375"/>
            <wp:effectExtent l="0" t="0" r="9525" b="9525"/>
            <wp:docPr id="58141771" name="图片 58141771" descr="C:\Users\Administrator\Documents\WeChat Files\ppdeboke\FileStorage\Temp\32007afe7185c6dce647223a198509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141771" name="图片 58141771" descr="C:\Users\Administrator\Documents\WeChat Files\ppdeboke\FileStorage\Temp\32007afe7185c6dce647223a19850925.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4486275" cy="2238375"/>
                    </a:xfrm>
                    <a:prstGeom prst="rect">
                      <a:avLst/>
                    </a:prstGeom>
                    <a:noFill/>
                    <a:ln>
                      <a:noFill/>
                    </a:ln>
                  </pic:spPr>
                </pic:pic>
              </a:graphicData>
            </a:graphic>
          </wp:inline>
        </w:drawing>
      </w:r>
    </w:p>
    <w:p>
      <w:pPr>
        <w:ind w:firstLine="560" w:firstLineChars="200"/>
        <w:rPr>
          <w:rStyle w:val="13"/>
          <w:rFonts w:asciiTheme="minorEastAsia" w:hAnsiTheme="minorEastAsia"/>
          <w:b w:val="0"/>
          <w:bCs w:val="0"/>
          <w:sz w:val="28"/>
        </w:rPr>
      </w:pPr>
      <w:r>
        <w:rPr>
          <w:rStyle w:val="13"/>
          <w:rFonts w:hint="eastAsia" w:asciiTheme="minorEastAsia" w:hAnsiTheme="minorEastAsia"/>
          <w:b w:val="0"/>
          <w:bCs w:val="0"/>
          <w:sz w:val="28"/>
        </w:rPr>
        <w:t>作为杭州这样规模的大城市，全城24小时药店布局不是一个简单的决策，同时24小时门店的选址也不能随意，而是根据3公里覆盖的标准，在全城范围内挑选布局24小时门店，这样才能服务好全城的夜间用户购药需求，全面拉升服务时长，提升用户感知。“现在24小时即时配送的能力和用户认知也被唤醒，24小时药店的盈利也有保障。”</w:t>
      </w:r>
    </w:p>
    <w:p>
      <w:pPr>
        <w:ind w:firstLine="560" w:firstLineChars="200"/>
        <w:rPr>
          <w:rStyle w:val="13"/>
          <w:rFonts w:asciiTheme="minorEastAsia" w:hAnsiTheme="minorEastAsia"/>
          <w:b w:val="0"/>
          <w:bCs w:val="0"/>
          <w:sz w:val="28"/>
        </w:rPr>
      </w:pPr>
      <w:r>
        <w:rPr>
          <w:rStyle w:val="13"/>
          <w:rFonts w:hint="eastAsia" w:asciiTheme="minorEastAsia" w:hAnsiTheme="minorEastAsia"/>
          <w:b w:val="0"/>
          <w:bCs w:val="0"/>
          <w:sz w:val="28"/>
        </w:rPr>
        <w:t>随着医药电商渗透越来越高，健康意识增强、便利性需求提高，在线购药行为逐渐养成，人们已经习惯了多渠道购药。正如老百姓董事长谢子龙公开提到的，未来，从传统零售向全渠道融合升级，是药店行业发展的一大趋势。</w:t>
      </w:r>
    </w:p>
    <w:p>
      <w:pPr>
        <w:ind w:firstLine="560" w:firstLineChars="200"/>
        <w:rPr>
          <w:rStyle w:val="13"/>
          <w:rFonts w:asciiTheme="minorEastAsia" w:hAnsiTheme="minorEastAsia"/>
          <w:b w:val="0"/>
          <w:bCs w:val="0"/>
          <w:sz w:val="28"/>
        </w:rPr>
      </w:pPr>
      <w:r>
        <w:rPr>
          <w:rStyle w:val="13"/>
          <w:rFonts w:hint="eastAsia" w:asciiTheme="minorEastAsia" w:hAnsiTheme="minorEastAsia"/>
          <w:b w:val="0"/>
          <w:bCs w:val="0"/>
          <w:sz w:val="28"/>
        </w:rPr>
        <w:t>无论什么模式，无论线上还是线下，都是药店有望实现业务增量的重要渠道，必须要协同发展，才能有更长远的发展。</w:t>
      </w:r>
    </w:p>
    <w:p>
      <w:pPr>
        <w:ind w:firstLine="560" w:firstLineChars="200"/>
        <w:rPr>
          <w:rStyle w:val="13"/>
          <w:rFonts w:asciiTheme="minorEastAsia" w:hAnsiTheme="minorEastAsia"/>
          <w:b w:val="0"/>
          <w:bCs w:val="0"/>
          <w:sz w:val="28"/>
        </w:rPr>
      </w:pPr>
    </w:p>
    <w:p>
      <w:pPr>
        <w:rPr>
          <w:rStyle w:val="13"/>
          <w:rFonts w:asciiTheme="minorEastAsia" w:hAnsiTheme="minorEastAsia"/>
          <w:b w:val="0"/>
          <w:bCs w:val="0"/>
          <w:sz w:val="28"/>
        </w:rPr>
      </w:pPr>
    </w:p>
    <w:p>
      <w:pPr>
        <w:rPr>
          <w:rStyle w:val="13"/>
          <w:rFonts w:asciiTheme="minorEastAsia" w:hAnsiTheme="minorEastAsia"/>
          <w:b w:val="0"/>
          <w:bCs w:val="0"/>
          <w:sz w:val="28"/>
        </w:rPr>
        <w:sectPr>
          <w:pgSz w:w="11906" w:h="16838"/>
          <w:pgMar w:top="1440" w:right="1800" w:bottom="1440" w:left="1800" w:header="851" w:footer="992" w:gutter="0"/>
          <w:cols w:space="425" w:num="1"/>
          <w:docGrid w:type="lines" w:linePitch="312" w:charSpace="0"/>
        </w:sectPr>
      </w:pPr>
    </w:p>
    <w:p>
      <w:pPr>
        <w:widowControl/>
        <w:spacing w:before="100" w:beforeAutospacing="1" w:after="100" w:afterAutospacing="1" w:line="900" w:lineRule="atLeast"/>
        <w:outlineLvl w:val="1"/>
        <w:rPr>
          <w:rStyle w:val="13"/>
          <w:rFonts w:asciiTheme="minorEastAsia" w:hAnsiTheme="minorEastAsia"/>
          <w:b w:val="0"/>
          <w:bCs w:val="0"/>
          <w:sz w:val="28"/>
        </w:rPr>
      </w:pPr>
    </w:p>
    <w:p>
      <w:pPr>
        <w:jc w:val="left"/>
        <w:rPr>
          <w:rStyle w:val="13"/>
          <w:rFonts w:asciiTheme="minorEastAsia" w:hAnsiTheme="minorEastAsia"/>
          <w:b w:val="0"/>
          <w:bCs w:val="0"/>
          <w:sz w:val="28"/>
        </w:rPr>
      </w:pPr>
    </w:p>
    <w:p>
      <w:pPr>
        <w:jc w:val="left"/>
        <w:rPr>
          <w:rStyle w:val="13"/>
          <w:rFonts w:asciiTheme="minorEastAsia" w:hAnsiTheme="minorEastAsia"/>
          <w:b w:val="0"/>
          <w:bCs w:val="0"/>
          <w:sz w:val="28"/>
        </w:rPr>
      </w:pPr>
    </w:p>
    <w:p>
      <w:pPr>
        <w:jc w:val="left"/>
        <w:rPr>
          <w:rStyle w:val="13"/>
          <w:rFonts w:asciiTheme="minorEastAsia" w:hAnsiTheme="minorEastAsia"/>
          <w:b w:val="0"/>
          <w:bCs w:val="0"/>
          <w:sz w:val="28"/>
        </w:rPr>
      </w:pPr>
    </w:p>
    <w:p>
      <w:pPr>
        <w:jc w:val="left"/>
        <w:rPr>
          <w:rStyle w:val="13"/>
          <w:rFonts w:asciiTheme="minorEastAsia" w:hAnsiTheme="minorEastAsia"/>
          <w:b w:val="0"/>
          <w:bCs w:val="0"/>
          <w:sz w:val="28"/>
        </w:rPr>
      </w:pPr>
    </w:p>
    <w:p>
      <w:pPr>
        <w:jc w:val="left"/>
        <w:rPr>
          <w:rStyle w:val="13"/>
          <w:rFonts w:asciiTheme="minorEastAsia" w:hAnsiTheme="minorEastAsia"/>
          <w:b w:val="0"/>
          <w:bCs w:val="0"/>
          <w:sz w:val="28"/>
        </w:rPr>
      </w:pPr>
    </w:p>
    <w:p>
      <w:pPr>
        <w:jc w:val="left"/>
        <w:rPr>
          <w:rStyle w:val="13"/>
          <w:rFonts w:asciiTheme="minorEastAsia" w:hAnsiTheme="minorEastAsia"/>
          <w:b w:val="0"/>
          <w:bCs w:val="0"/>
          <w:sz w:val="28"/>
        </w:rPr>
      </w:pPr>
    </w:p>
    <w:p>
      <w:pPr>
        <w:jc w:val="left"/>
        <w:rPr>
          <w:rStyle w:val="13"/>
          <w:rFonts w:asciiTheme="minorEastAsia" w:hAnsiTheme="minorEastAsia"/>
          <w:b w:val="0"/>
          <w:bCs w:val="0"/>
          <w:sz w:val="28"/>
        </w:rPr>
      </w:pPr>
    </w:p>
    <w:p>
      <w:pPr>
        <w:jc w:val="left"/>
        <w:rPr>
          <w:rStyle w:val="13"/>
          <w:rFonts w:asciiTheme="minorEastAsia" w:hAnsiTheme="minorEastAsia"/>
          <w:b w:val="0"/>
          <w:bCs w:val="0"/>
          <w:sz w:val="28"/>
        </w:rPr>
      </w:pPr>
    </w:p>
    <w:p>
      <w:pPr>
        <w:jc w:val="left"/>
        <w:rPr>
          <w:rStyle w:val="13"/>
          <w:rFonts w:asciiTheme="minorEastAsia" w:hAnsiTheme="minorEastAsia"/>
          <w:b w:val="0"/>
          <w:bCs w:val="0"/>
          <w:sz w:val="28"/>
        </w:rPr>
      </w:pPr>
    </w:p>
    <w:p>
      <w:pPr>
        <w:jc w:val="left"/>
        <w:rPr>
          <w:rStyle w:val="13"/>
          <w:rFonts w:asciiTheme="minorEastAsia" w:hAnsiTheme="minorEastAsia"/>
          <w:b w:val="0"/>
          <w:bCs w:val="0"/>
          <w:sz w:val="28"/>
        </w:rPr>
      </w:pPr>
    </w:p>
    <w:p>
      <w:pPr>
        <w:jc w:val="left"/>
        <w:rPr>
          <w:rStyle w:val="13"/>
          <w:rFonts w:asciiTheme="minorEastAsia" w:hAnsiTheme="minorEastAsia"/>
          <w:b w:val="0"/>
          <w:bCs w:val="0"/>
          <w:sz w:val="28"/>
        </w:rPr>
      </w:pPr>
    </w:p>
    <w:p>
      <w:pPr>
        <w:jc w:val="left"/>
        <w:rPr>
          <w:rStyle w:val="13"/>
          <w:rFonts w:asciiTheme="minorEastAsia" w:hAnsiTheme="minorEastAsia"/>
          <w:b w:val="0"/>
          <w:bCs w:val="0"/>
          <w:sz w:val="28"/>
        </w:rPr>
      </w:pPr>
    </w:p>
    <w:p>
      <w:pPr>
        <w:jc w:val="left"/>
        <w:rPr>
          <w:rStyle w:val="13"/>
          <w:rFonts w:asciiTheme="minorEastAsia" w:hAnsiTheme="minorEastAsia"/>
          <w:b w:val="0"/>
          <w:bCs w:val="0"/>
          <w:sz w:val="28"/>
        </w:rPr>
      </w:pPr>
    </w:p>
    <w:p>
      <w:pPr>
        <w:jc w:val="left"/>
        <w:rPr>
          <w:rStyle w:val="13"/>
          <w:rFonts w:asciiTheme="minorEastAsia" w:hAnsiTheme="minorEastAsia"/>
          <w:b w:val="0"/>
          <w:bCs w:val="0"/>
          <w:sz w:val="28"/>
        </w:rPr>
      </w:pPr>
    </w:p>
    <w:p>
      <w:pPr>
        <w:jc w:val="left"/>
        <w:rPr>
          <w:rStyle w:val="13"/>
          <w:rFonts w:hint="eastAsia" w:asciiTheme="minorEastAsia" w:hAnsiTheme="minorEastAsia"/>
          <w:b w:val="0"/>
          <w:bCs w:val="0"/>
          <w:sz w:val="28"/>
        </w:rPr>
      </w:pPr>
    </w:p>
    <w:sectPr>
      <w:pgSz w:w="16838" w:h="11906" w:orient="landscape"/>
      <w:pgMar w:top="1800" w:right="1440" w:bottom="1800" w:left="144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A00002EF" w:usb1="4000207B" w:usb2="00000000" w:usb3="00000000" w:csb0="2000009F" w:csb1="00000000"/>
  </w:font>
  <w:font w:name="Heiti SC Light">
    <w:altName w:val="Calibri"/>
    <w:panose1 w:val="00000000000000000000"/>
    <w:charset w:val="50"/>
    <w:family w:val="auto"/>
    <w:pitch w:val="default"/>
    <w:sig w:usb0="00000000" w:usb1="00000000" w:usb2="00000010" w:usb3="00000000" w:csb0="00040000" w:csb1="00000000"/>
  </w:font>
  <w:font w:name="Helvetica">
    <w:altName w:val="Arial"/>
    <w:panose1 w:val="020B0504020202020204"/>
    <w:charset w:val="00"/>
    <w:family w:val="swiss"/>
    <w:pitch w:val="default"/>
    <w:sig w:usb0="00000000" w:usb1="00000000" w:usb2="00000000" w:usb3="00000000" w:csb0="00000001" w:csb1="00000000"/>
  </w:font>
  <w:font w:name="PingFangSC-light">
    <w:altName w:val="Times New Roman"/>
    <w:panose1 w:val="00000000000000000000"/>
    <w:charset w:val="00"/>
    <w:family w:val="roman"/>
    <w:pitch w:val="default"/>
    <w:sig w:usb0="00000000" w:usb1="00000000" w:usb2="00000000" w:usb3="00000000" w:csb0="00000000" w:csb1="00000000"/>
  </w:font>
  <w:font w:name="微软雅黑">
    <w:panose1 w:val="020B0503020204020204"/>
    <w:charset w:val="86"/>
    <w:family w:val="swiss"/>
    <w:pitch w:val="default"/>
    <w:sig w:usb0="80000287" w:usb1="280F3C52" w:usb2="00000016" w:usb3="00000000" w:csb0="0004001F" w:csb1="00000000"/>
  </w:font>
  <w:font w:name="Microsoft YaHei UI">
    <w:panose1 w:val="020B0503020204020204"/>
    <w:charset w:val="86"/>
    <w:family w:val="swiss"/>
    <w:pitch w:val="default"/>
    <w:sig w:usb0="80000287" w:usb1="28C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6174036"/>
    </w:sdtPr>
    <w:sdtContent>
      <w:p>
        <w:pPr>
          <w:pStyle w:val="7"/>
          <w:jc w:val="center"/>
        </w:pPr>
        <w:r>
          <w:fldChar w:fldCharType="begin"/>
        </w:r>
        <w:r>
          <w:instrText xml:space="preserve"> PAGE   \* MERGEFORMAT </w:instrText>
        </w:r>
        <w:r>
          <w:fldChar w:fldCharType="separate"/>
        </w:r>
        <w:r>
          <w:rPr>
            <w:lang w:val="zh-CN"/>
          </w:rPr>
          <w:t>68</w:t>
        </w:r>
        <w:r>
          <w:rPr>
            <w:lang w:val="zh-CN"/>
          </w:rPr>
          <w:fldChar w:fldCharType="end"/>
        </w:r>
      </w:p>
    </w:sdtContent>
  </w:sdt>
  <w:p>
    <w:pPr>
      <w:pStyle w:val="7"/>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D973CC1"/>
    <w:multiLevelType w:val="multilevel"/>
    <w:tmpl w:val="2D973CC1"/>
    <w:lvl w:ilvl="0" w:tentative="0">
      <w:start w:val="1"/>
      <w:numFmt w:val="japaneseCounting"/>
      <w:lvlText w:val="%1、"/>
      <w:lvlJc w:val="left"/>
      <w:pPr>
        <w:ind w:left="1340" w:hanging="720"/>
      </w:pPr>
      <w:rPr>
        <w:rFonts w:eastAsia="宋体" w:cs="Helvetica" w:asciiTheme="minorEastAsia" w:hAnsiTheme="minorEastAsia"/>
      </w:rPr>
    </w:lvl>
    <w:lvl w:ilvl="1" w:tentative="0">
      <w:start w:val="1"/>
      <w:numFmt w:val="lowerLetter"/>
      <w:lvlText w:val="%2)"/>
      <w:lvlJc w:val="left"/>
      <w:pPr>
        <w:ind w:left="1500" w:hanging="440"/>
      </w:pPr>
    </w:lvl>
    <w:lvl w:ilvl="2" w:tentative="0">
      <w:start w:val="1"/>
      <w:numFmt w:val="lowerRoman"/>
      <w:lvlText w:val="%3."/>
      <w:lvlJc w:val="right"/>
      <w:pPr>
        <w:ind w:left="1940" w:hanging="440"/>
      </w:pPr>
    </w:lvl>
    <w:lvl w:ilvl="3" w:tentative="0">
      <w:start w:val="1"/>
      <w:numFmt w:val="decimal"/>
      <w:lvlText w:val="%4."/>
      <w:lvlJc w:val="left"/>
      <w:pPr>
        <w:ind w:left="2380" w:hanging="440"/>
      </w:pPr>
    </w:lvl>
    <w:lvl w:ilvl="4" w:tentative="0">
      <w:start w:val="1"/>
      <w:numFmt w:val="lowerLetter"/>
      <w:lvlText w:val="%5)"/>
      <w:lvlJc w:val="left"/>
      <w:pPr>
        <w:ind w:left="2820" w:hanging="440"/>
      </w:pPr>
    </w:lvl>
    <w:lvl w:ilvl="5" w:tentative="0">
      <w:start w:val="1"/>
      <w:numFmt w:val="lowerRoman"/>
      <w:lvlText w:val="%6."/>
      <w:lvlJc w:val="right"/>
      <w:pPr>
        <w:ind w:left="3260" w:hanging="440"/>
      </w:pPr>
    </w:lvl>
    <w:lvl w:ilvl="6" w:tentative="0">
      <w:start w:val="1"/>
      <w:numFmt w:val="decimal"/>
      <w:lvlText w:val="%7."/>
      <w:lvlJc w:val="left"/>
      <w:pPr>
        <w:ind w:left="3700" w:hanging="440"/>
      </w:pPr>
    </w:lvl>
    <w:lvl w:ilvl="7" w:tentative="0">
      <w:start w:val="1"/>
      <w:numFmt w:val="lowerLetter"/>
      <w:lvlText w:val="%8)"/>
      <w:lvlJc w:val="left"/>
      <w:pPr>
        <w:ind w:left="4140" w:hanging="440"/>
      </w:pPr>
    </w:lvl>
    <w:lvl w:ilvl="8" w:tentative="0">
      <w:start w:val="1"/>
      <w:numFmt w:val="lowerRoman"/>
      <w:lvlText w:val="%9."/>
      <w:lvlJc w:val="right"/>
      <w:pPr>
        <w:ind w:left="4580" w:hanging="440"/>
      </w:pPr>
    </w:lvl>
  </w:abstractNum>
  <w:abstractNum w:abstractNumId="1">
    <w:nsid w:val="38D758AC"/>
    <w:multiLevelType w:val="multilevel"/>
    <w:tmpl w:val="38D758AC"/>
    <w:lvl w:ilvl="0" w:tentative="0">
      <w:start w:val="1"/>
      <w:numFmt w:val="decimal"/>
      <w:lvlText w:val="%1、"/>
      <w:lvlJc w:val="left"/>
      <w:pPr>
        <w:ind w:left="480" w:hanging="48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3F0276A6"/>
    <w:multiLevelType w:val="multilevel"/>
    <w:tmpl w:val="3F0276A6"/>
    <w:lvl w:ilvl="0" w:tentative="0">
      <w:start w:val="1"/>
      <w:numFmt w:val="decimal"/>
      <w:lvlText w:val="%1、"/>
      <w:lvlJc w:val="left"/>
      <w:pPr>
        <w:ind w:left="1284" w:hanging="720"/>
      </w:pPr>
      <w:rPr>
        <w:rFonts w:hint="default" w:cs="宋体" w:eastAsiaTheme="minorEastAsia"/>
      </w:rPr>
    </w:lvl>
    <w:lvl w:ilvl="1" w:tentative="0">
      <w:start w:val="1"/>
      <w:numFmt w:val="lowerLetter"/>
      <w:lvlText w:val="%2)"/>
      <w:lvlJc w:val="left"/>
      <w:pPr>
        <w:ind w:left="1444" w:hanging="440"/>
      </w:pPr>
    </w:lvl>
    <w:lvl w:ilvl="2" w:tentative="0">
      <w:start w:val="1"/>
      <w:numFmt w:val="lowerRoman"/>
      <w:lvlText w:val="%3."/>
      <w:lvlJc w:val="right"/>
      <w:pPr>
        <w:ind w:left="1884" w:hanging="440"/>
      </w:pPr>
    </w:lvl>
    <w:lvl w:ilvl="3" w:tentative="0">
      <w:start w:val="1"/>
      <w:numFmt w:val="decimal"/>
      <w:lvlText w:val="%4."/>
      <w:lvlJc w:val="left"/>
      <w:pPr>
        <w:ind w:left="2324" w:hanging="440"/>
      </w:pPr>
    </w:lvl>
    <w:lvl w:ilvl="4" w:tentative="0">
      <w:start w:val="1"/>
      <w:numFmt w:val="lowerLetter"/>
      <w:lvlText w:val="%5)"/>
      <w:lvlJc w:val="left"/>
      <w:pPr>
        <w:ind w:left="2764" w:hanging="440"/>
      </w:pPr>
    </w:lvl>
    <w:lvl w:ilvl="5" w:tentative="0">
      <w:start w:val="1"/>
      <w:numFmt w:val="lowerRoman"/>
      <w:lvlText w:val="%6."/>
      <w:lvlJc w:val="right"/>
      <w:pPr>
        <w:ind w:left="3204" w:hanging="440"/>
      </w:pPr>
    </w:lvl>
    <w:lvl w:ilvl="6" w:tentative="0">
      <w:start w:val="1"/>
      <w:numFmt w:val="decimal"/>
      <w:lvlText w:val="%7."/>
      <w:lvlJc w:val="left"/>
      <w:pPr>
        <w:ind w:left="3644" w:hanging="440"/>
      </w:pPr>
    </w:lvl>
    <w:lvl w:ilvl="7" w:tentative="0">
      <w:start w:val="1"/>
      <w:numFmt w:val="lowerLetter"/>
      <w:lvlText w:val="%8)"/>
      <w:lvlJc w:val="left"/>
      <w:pPr>
        <w:ind w:left="4084" w:hanging="440"/>
      </w:pPr>
    </w:lvl>
    <w:lvl w:ilvl="8" w:tentative="0">
      <w:start w:val="1"/>
      <w:numFmt w:val="lowerRoman"/>
      <w:lvlText w:val="%9."/>
      <w:lvlJc w:val="right"/>
      <w:pPr>
        <w:ind w:left="4524" w:hanging="440"/>
      </w:pPr>
    </w:lvl>
  </w:abstractNum>
  <w:abstractNum w:abstractNumId="3">
    <w:nsid w:val="61776CED"/>
    <w:multiLevelType w:val="multilevel"/>
    <w:tmpl w:val="61776CED"/>
    <w:lvl w:ilvl="0" w:tentative="0">
      <w:start w:val="1"/>
      <w:numFmt w:val="decimal"/>
      <w:lvlText w:val="%1、"/>
      <w:lvlJc w:val="left"/>
      <w:pPr>
        <w:ind w:left="1440" w:hanging="720"/>
      </w:pPr>
      <w:rPr>
        <w:rFonts w:hint="default"/>
      </w:rPr>
    </w:lvl>
    <w:lvl w:ilvl="1" w:tentative="0">
      <w:start w:val="1"/>
      <w:numFmt w:val="lowerLetter"/>
      <w:lvlText w:val="%2)"/>
      <w:lvlJc w:val="left"/>
      <w:pPr>
        <w:ind w:left="1600" w:hanging="440"/>
      </w:pPr>
    </w:lvl>
    <w:lvl w:ilvl="2" w:tentative="0">
      <w:start w:val="1"/>
      <w:numFmt w:val="lowerRoman"/>
      <w:lvlText w:val="%3."/>
      <w:lvlJc w:val="right"/>
      <w:pPr>
        <w:ind w:left="2040" w:hanging="440"/>
      </w:pPr>
    </w:lvl>
    <w:lvl w:ilvl="3" w:tentative="0">
      <w:start w:val="1"/>
      <w:numFmt w:val="decimal"/>
      <w:lvlText w:val="%4."/>
      <w:lvlJc w:val="left"/>
      <w:pPr>
        <w:ind w:left="2480" w:hanging="440"/>
      </w:pPr>
    </w:lvl>
    <w:lvl w:ilvl="4" w:tentative="0">
      <w:start w:val="1"/>
      <w:numFmt w:val="lowerLetter"/>
      <w:lvlText w:val="%5)"/>
      <w:lvlJc w:val="left"/>
      <w:pPr>
        <w:ind w:left="2920" w:hanging="440"/>
      </w:pPr>
    </w:lvl>
    <w:lvl w:ilvl="5" w:tentative="0">
      <w:start w:val="1"/>
      <w:numFmt w:val="lowerRoman"/>
      <w:lvlText w:val="%6."/>
      <w:lvlJc w:val="right"/>
      <w:pPr>
        <w:ind w:left="3360" w:hanging="440"/>
      </w:pPr>
    </w:lvl>
    <w:lvl w:ilvl="6" w:tentative="0">
      <w:start w:val="1"/>
      <w:numFmt w:val="decimal"/>
      <w:lvlText w:val="%7."/>
      <w:lvlJc w:val="left"/>
      <w:pPr>
        <w:ind w:left="3800" w:hanging="440"/>
      </w:pPr>
    </w:lvl>
    <w:lvl w:ilvl="7" w:tentative="0">
      <w:start w:val="1"/>
      <w:numFmt w:val="lowerLetter"/>
      <w:lvlText w:val="%8)"/>
      <w:lvlJc w:val="left"/>
      <w:pPr>
        <w:ind w:left="4240" w:hanging="440"/>
      </w:pPr>
    </w:lvl>
    <w:lvl w:ilvl="8" w:tentative="0">
      <w:start w:val="1"/>
      <w:numFmt w:val="lowerRoman"/>
      <w:lvlText w:val="%9."/>
      <w:lvlJc w:val="right"/>
      <w:pPr>
        <w:ind w:left="4680" w:hanging="440"/>
      </w:p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DIyYzMyZjhjZWI0MmYzYWUxYzE2YThlOTgxY2RjYTIifQ=="/>
  </w:docVars>
  <w:rsids>
    <w:rsidRoot w:val="00172A27"/>
    <w:rsid w:val="00001BFB"/>
    <w:rsid w:val="00001CAA"/>
    <w:rsid w:val="000022E3"/>
    <w:rsid w:val="000024F5"/>
    <w:rsid w:val="00002766"/>
    <w:rsid w:val="000039EE"/>
    <w:rsid w:val="00003F1F"/>
    <w:rsid w:val="000052F1"/>
    <w:rsid w:val="00005C14"/>
    <w:rsid w:val="00010051"/>
    <w:rsid w:val="000100BC"/>
    <w:rsid w:val="000113BB"/>
    <w:rsid w:val="00011510"/>
    <w:rsid w:val="00011729"/>
    <w:rsid w:val="000128A3"/>
    <w:rsid w:val="00013DD2"/>
    <w:rsid w:val="000146CA"/>
    <w:rsid w:val="00015379"/>
    <w:rsid w:val="000155B7"/>
    <w:rsid w:val="0001575A"/>
    <w:rsid w:val="00015A5C"/>
    <w:rsid w:val="00015D57"/>
    <w:rsid w:val="00016AB2"/>
    <w:rsid w:val="000175C9"/>
    <w:rsid w:val="00017C59"/>
    <w:rsid w:val="00017FF3"/>
    <w:rsid w:val="000208A4"/>
    <w:rsid w:val="0002159E"/>
    <w:rsid w:val="00022B29"/>
    <w:rsid w:val="00022D08"/>
    <w:rsid w:val="0002356D"/>
    <w:rsid w:val="0002364C"/>
    <w:rsid w:val="0002670E"/>
    <w:rsid w:val="0002785C"/>
    <w:rsid w:val="00027E7A"/>
    <w:rsid w:val="00027F86"/>
    <w:rsid w:val="00031218"/>
    <w:rsid w:val="0003140E"/>
    <w:rsid w:val="00031F9A"/>
    <w:rsid w:val="000323D0"/>
    <w:rsid w:val="00032702"/>
    <w:rsid w:val="00032748"/>
    <w:rsid w:val="00032D3A"/>
    <w:rsid w:val="00032F39"/>
    <w:rsid w:val="00033524"/>
    <w:rsid w:val="00033888"/>
    <w:rsid w:val="000341C2"/>
    <w:rsid w:val="000348FD"/>
    <w:rsid w:val="000352F5"/>
    <w:rsid w:val="00035AF1"/>
    <w:rsid w:val="00035BE2"/>
    <w:rsid w:val="00035C5A"/>
    <w:rsid w:val="00035CD4"/>
    <w:rsid w:val="00036356"/>
    <w:rsid w:val="0003643D"/>
    <w:rsid w:val="00036535"/>
    <w:rsid w:val="00037ADC"/>
    <w:rsid w:val="00040400"/>
    <w:rsid w:val="00040A70"/>
    <w:rsid w:val="00040DA8"/>
    <w:rsid w:val="000417F0"/>
    <w:rsid w:val="000420F3"/>
    <w:rsid w:val="000436FE"/>
    <w:rsid w:val="000454E9"/>
    <w:rsid w:val="000459E3"/>
    <w:rsid w:val="00047695"/>
    <w:rsid w:val="00050CCD"/>
    <w:rsid w:val="00050E0C"/>
    <w:rsid w:val="00051091"/>
    <w:rsid w:val="00052A8D"/>
    <w:rsid w:val="00053A0E"/>
    <w:rsid w:val="00053CCF"/>
    <w:rsid w:val="00053D46"/>
    <w:rsid w:val="00055025"/>
    <w:rsid w:val="0005614E"/>
    <w:rsid w:val="000561FD"/>
    <w:rsid w:val="0005653C"/>
    <w:rsid w:val="0005678D"/>
    <w:rsid w:val="000568B6"/>
    <w:rsid w:val="00056ADA"/>
    <w:rsid w:val="00057226"/>
    <w:rsid w:val="00057394"/>
    <w:rsid w:val="00057873"/>
    <w:rsid w:val="00057E16"/>
    <w:rsid w:val="00060194"/>
    <w:rsid w:val="00060829"/>
    <w:rsid w:val="00060B4E"/>
    <w:rsid w:val="00060DB6"/>
    <w:rsid w:val="00060E3A"/>
    <w:rsid w:val="00060F2A"/>
    <w:rsid w:val="000612FF"/>
    <w:rsid w:val="00061883"/>
    <w:rsid w:val="0006228B"/>
    <w:rsid w:val="000626AD"/>
    <w:rsid w:val="000627A5"/>
    <w:rsid w:val="000629CC"/>
    <w:rsid w:val="00063B74"/>
    <w:rsid w:val="000644AD"/>
    <w:rsid w:val="00064FF9"/>
    <w:rsid w:val="000660CF"/>
    <w:rsid w:val="00066B1E"/>
    <w:rsid w:val="00067203"/>
    <w:rsid w:val="0007054B"/>
    <w:rsid w:val="00070668"/>
    <w:rsid w:val="00070C62"/>
    <w:rsid w:val="00072506"/>
    <w:rsid w:val="0007440C"/>
    <w:rsid w:val="00074962"/>
    <w:rsid w:val="00074A61"/>
    <w:rsid w:val="000755B1"/>
    <w:rsid w:val="0007594B"/>
    <w:rsid w:val="00076278"/>
    <w:rsid w:val="00076422"/>
    <w:rsid w:val="00076AA0"/>
    <w:rsid w:val="00077AA6"/>
    <w:rsid w:val="0008101C"/>
    <w:rsid w:val="00081C4C"/>
    <w:rsid w:val="0008296C"/>
    <w:rsid w:val="00082B25"/>
    <w:rsid w:val="00082D82"/>
    <w:rsid w:val="0008334C"/>
    <w:rsid w:val="00084851"/>
    <w:rsid w:val="000853DB"/>
    <w:rsid w:val="000855A7"/>
    <w:rsid w:val="00085664"/>
    <w:rsid w:val="00085999"/>
    <w:rsid w:val="00086182"/>
    <w:rsid w:val="00086257"/>
    <w:rsid w:val="00086383"/>
    <w:rsid w:val="0008668C"/>
    <w:rsid w:val="00087C0D"/>
    <w:rsid w:val="00087E46"/>
    <w:rsid w:val="00087FA7"/>
    <w:rsid w:val="00090C13"/>
    <w:rsid w:val="00091146"/>
    <w:rsid w:val="0009141B"/>
    <w:rsid w:val="0009174A"/>
    <w:rsid w:val="00091FFC"/>
    <w:rsid w:val="00093A40"/>
    <w:rsid w:val="00093CBF"/>
    <w:rsid w:val="00093E3A"/>
    <w:rsid w:val="00094515"/>
    <w:rsid w:val="000953D3"/>
    <w:rsid w:val="00095969"/>
    <w:rsid w:val="00096C9C"/>
    <w:rsid w:val="00097D5A"/>
    <w:rsid w:val="000A003B"/>
    <w:rsid w:val="000A0979"/>
    <w:rsid w:val="000A0C20"/>
    <w:rsid w:val="000A1603"/>
    <w:rsid w:val="000A1660"/>
    <w:rsid w:val="000A1AFA"/>
    <w:rsid w:val="000A1B47"/>
    <w:rsid w:val="000A202A"/>
    <w:rsid w:val="000A2150"/>
    <w:rsid w:val="000A23F5"/>
    <w:rsid w:val="000A49A4"/>
    <w:rsid w:val="000A634C"/>
    <w:rsid w:val="000A6BFA"/>
    <w:rsid w:val="000A7367"/>
    <w:rsid w:val="000B0A67"/>
    <w:rsid w:val="000B1FF4"/>
    <w:rsid w:val="000B3940"/>
    <w:rsid w:val="000B3F1B"/>
    <w:rsid w:val="000B4EC5"/>
    <w:rsid w:val="000B53B1"/>
    <w:rsid w:val="000B5C93"/>
    <w:rsid w:val="000B6825"/>
    <w:rsid w:val="000B6B74"/>
    <w:rsid w:val="000B6B78"/>
    <w:rsid w:val="000C2567"/>
    <w:rsid w:val="000C47AA"/>
    <w:rsid w:val="000C4E05"/>
    <w:rsid w:val="000C682D"/>
    <w:rsid w:val="000C6AFC"/>
    <w:rsid w:val="000C6FFF"/>
    <w:rsid w:val="000C7C03"/>
    <w:rsid w:val="000D041E"/>
    <w:rsid w:val="000D0824"/>
    <w:rsid w:val="000D09F2"/>
    <w:rsid w:val="000D0D8A"/>
    <w:rsid w:val="000D1C31"/>
    <w:rsid w:val="000D246E"/>
    <w:rsid w:val="000D28F7"/>
    <w:rsid w:val="000D37FA"/>
    <w:rsid w:val="000D44E7"/>
    <w:rsid w:val="000D56A1"/>
    <w:rsid w:val="000D5A1A"/>
    <w:rsid w:val="000D61D0"/>
    <w:rsid w:val="000D6AB0"/>
    <w:rsid w:val="000D76C3"/>
    <w:rsid w:val="000E0059"/>
    <w:rsid w:val="000E05FD"/>
    <w:rsid w:val="000E11A9"/>
    <w:rsid w:val="000E1243"/>
    <w:rsid w:val="000E16A0"/>
    <w:rsid w:val="000E251E"/>
    <w:rsid w:val="000E2955"/>
    <w:rsid w:val="000E2B6C"/>
    <w:rsid w:val="000E42C0"/>
    <w:rsid w:val="000E4895"/>
    <w:rsid w:val="000E4A5E"/>
    <w:rsid w:val="000E5D58"/>
    <w:rsid w:val="000E6245"/>
    <w:rsid w:val="000E79CF"/>
    <w:rsid w:val="000F0270"/>
    <w:rsid w:val="000F07CE"/>
    <w:rsid w:val="000F0AF0"/>
    <w:rsid w:val="000F0C17"/>
    <w:rsid w:val="000F0F23"/>
    <w:rsid w:val="000F19A2"/>
    <w:rsid w:val="000F1D22"/>
    <w:rsid w:val="000F2C6A"/>
    <w:rsid w:val="000F32F6"/>
    <w:rsid w:val="000F33C1"/>
    <w:rsid w:val="000F43A9"/>
    <w:rsid w:val="000F55D2"/>
    <w:rsid w:val="000F6444"/>
    <w:rsid w:val="000F6846"/>
    <w:rsid w:val="000F6ACA"/>
    <w:rsid w:val="000F6D53"/>
    <w:rsid w:val="000F724C"/>
    <w:rsid w:val="000F7299"/>
    <w:rsid w:val="00101647"/>
    <w:rsid w:val="001016A6"/>
    <w:rsid w:val="00101B15"/>
    <w:rsid w:val="001031E5"/>
    <w:rsid w:val="001032B8"/>
    <w:rsid w:val="00103BC3"/>
    <w:rsid w:val="00103DAD"/>
    <w:rsid w:val="00104ACF"/>
    <w:rsid w:val="00105135"/>
    <w:rsid w:val="001056A9"/>
    <w:rsid w:val="00105CE5"/>
    <w:rsid w:val="001069F4"/>
    <w:rsid w:val="00106AD4"/>
    <w:rsid w:val="0010723C"/>
    <w:rsid w:val="00107268"/>
    <w:rsid w:val="001110C3"/>
    <w:rsid w:val="0011189B"/>
    <w:rsid w:val="00113937"/>
    <w:rsid w:val="00113DC5"/>
    <w:rsid w:val="00114174"/>
    <w:rsid w:val="00114185"/>
    <w:rsid w:val="00114802"/>
    <w:rsid w:val="001149F4"/>
    <w:rsid w:val="0011573F"/>
    <w:rsid w:val="00115EC9"/>
    <w:rsid w:val="001173FB"/>
    <w:rsid w:val="00117A35"/>
    <w:rsid w:val="0012030B"/>
    <w:rsid w:val="00120A62"/>
    <w:rsid w:val="00121C29"/>
    <w:rsid w:val="00122376"/>
    <w:rsid w:val="00122583"/>
    <w:rsid w:val="001225B1"/>
    <w:rsid w:val="001228C5"/>
    <w:rsid w:val="001228E1"/>
    <w:rsid w:val="00123126"/>
    <w:rsid w:val="0012398B"/>
    <w:rsid w:val="00123D5A"/>
    <w:rsid w:val="00123FCE"/>
    <w:rsid w:val="0012415F"/>
    <w:rsid w:val="00124221"/>
    <w:rsid w:val="00125020"/>
    <w:rsid w:val="00126255"/>
    <w:rsid w:val="00126BF8"/>
    <w:rsid w:val="0012750C"/>
    <w:rsid w:val="0012752B"/>
    <w:rsid w:val="00127A07"/>
    <w:rsid w:val="0013048B"/>
    <w:rsid w:val="00130EEA"/>
    <w:rsid w:val="00131CBA"/>
    <w:rsid w:val="00131EC6"/>
    <w:rsid w:val="00132673"/>
    <w:rsid w:val="001326AA"/>
    <w:rsid w:val="00133315"/>
    <w:rsid w:val="00134DA7"/>
    <w:rsid w:val="00136D64"/>
    <w:rsid w:val="001403FA"/>
    <w:rsid w:val="001405D5"/>
    <w:rsid w:val="001407D8"/>
    <w:rsid w:val="0014087D"/>
    <w:rsid w:val="001424A8"/>
    <w:rsid w:val="0014298A"/>
    <w:rsid w:val="00142E3F"/>
    <w:rsid w:val="0014384A"/>
    <w:rsid w:val="001440EE"/>
    <w:rsid w:val="00144819"/>
    <w:rsid w:val="00144ECC"/>
    <w:rsid w:val="001455A2"/>
    <w:rsid w:val="00145DB1"/>
    <w:rsid w:val="001460BB"/>
    <w:rsid w:val="001466DA"/>
    <w:rsid w:val="00146CD9"/>
    <w:rsid w:val="00146F74"/>
    <w:rsid w:val="00147260"/>
    <w:rsid w:val="00147B39"/>
    <w:rsid w:val="001500A3"/>
    <w:rsid w:val="00150113"/>
    <w:rsid w:val="00150708"/>
    <w:rsid w:val="00150FFB"/>
    <w:rsid w:val="00151A04"/>
    <w:rsid w:val="00152AE5"/>
    <w:rsid w:val="00152C40"/>
    <w:rsid w:val="00152E4E"/>
    <w:rsid w:val="0015388E"/>
    <w:rsid w:val="00153D1C"/>
    <w:rsid w:val="00154F45"/>
    <w:rsid w:val="0015554A"/>
    <w:rsid w:val="00155BAD"/>
    <w:rsid w:val="001563A0"/>
    <w:rsid w:val="00156883"/>
    <w:rsid w:val="001578CA"/>
    <w:rsid w:val="001608F2"/>
    <w:rsid w:val="00161245"/>
    <w:rsid w:val="00162ADF"/>
    <w:rsid w:val="00162DBC"/>
    <w:rsid w:val="001630AD"/>
    <w:rsid w:val="001639CA"/>
    <w:rsid w:val="00163BDD"/>
    <w:rsid w:val="00163DA7"/>
    <w:rsid w:val="001642EC"/>
    <w:rsid w:val="00164597"/>
    <w:rsid w:val="00164B58"/>
    <w:rsid w:val="00164C43"/>
    <w:rsid w:val="00164D14"/>
    <w:rsid w:val="00165C37"/>
    <w:rsid w:val="001670DA"/>
    <w:rsid w:val="0017152E"/>
    <w:rsid w:val="00171A68"/>
    <w:rsid w:val="00172A27"/>
    <w:rsid w:val="001739AD"/>
    <w:rsid w:val="00173C28"/>
    <w:rsid w:val="0017408C"/>
    <w:rsid w:val="0017443B"/>
    <w:rsid w:val="0017457B"/>
    <w:rsid w:val="00175134"/>
    <w:rsid w:val="001767E5"/>
    <w:rsid w:val="0018153F"/>
    <w:rsid w:val="0018160E"/>
    <w:rsid w:val="00181800"/>
    <w:rsid w:val="0018452F"/>
    <w:rsid w:val="00184946"/>
    <w:rsid w:val="00185B3C"/>
    <w:rsid w:val="00186072"/>
    <w:rsid w:val="0018620F"/>
    <w:rsid w:val="001864C9"/>
    <w:rsid w:val="00187303"/>
    <w:rsid w:val="001903A2"/>
    <w:rsid w:val="001905DD"/>
    <w:rsid w:val="001908AB"/>
    <w:rsid w:val="00190927"/>
    <w:rsid w:val="00190F6E"/>
    <w:rsid w:val="001919F5"/>
    <w:rsid w:val="00191FD5"/>
    <w:rsid w:val="0019335B"/>
    <w:rsid w:val="00193B69"/>
    <w:rsid w:val="00193F34"/>
    <w:rsid w:val="0019486C"/>
    <w:rsid w:val="00195DC1"/>
    <w:rsid w:val="001962FE"/>
    <w:rsid w:val="001A038F"/>
    <w:rsid w:val="001A0497"/>
    <w:rsid w:val="001A0670"/>
    <w:rsid w:val="001A0CBB"/>
    <w:rsid w:val="001A1C96"/>
    <w:rsid w:val="001A301E"/>
    <w:rsid w:val="001A354B"/>
    <w:rsid w:val="001A354F"/>
    <w:rsid w:val="001A47B2"/>
    <w:rsid w:val="001A4F2B"/>
    <w:rsid w:val="001A4F78"/>
    <w:rsid w:val="001A510C"/>
    <w:rsid w:val="001A5FCE"/>
    <w:rsid w:val="001A621D"/>
    <w:rsid w:val="001B0448"/>
    <w:rsid w:val="001B07E5"/>
    <w:rsid w:val="001B0EFF"/>
    <w:rsid w:val="001B1726"/>
    <w:rsid w:val="001B1E70"/>
    <w:rsid w:val="001B2160"/>
    <w:rsid w:val="001B25B6"/>
    <w:rsid w:val="001B2E23"/>
    <w:rsid w:val="001B3741"/>
    <w:rsid w:val="001B3846"/>
    <w:rsid w:val="001B4721"/>
    <w:rsid w:val="001B544A"/>
    <w:rsid w:val="001B5720"/>
    <w:rsid w:val="001B62B5"/>
    <w:rsid w:val="001B6A65"/>
    <w:rsid w:val="001B6C75"/>
    <w:rsid w:val="001B7965"/>
    <w:rsid w:val="001B7DF4"/>
    <w:rsid w:val="001B7E71"/>
    <w:rsid w:val="001C27A9"/>
    <w:rsid w:val="001C2967"/>
    <w:rsid w:val="001C3235"/>
    <w:rsid w:val="001C33F7"/>
    <w:rsid w:val="001C39E0"/>
    <w:rsid w:val="001C39FD"/>
    <w:rsid w:val="001C4801"/>
    <w:rsid w:val="001C508D"/>
    <w:rsid w:val="001C5A48"/>
    <w:rsid w:val="001D0737"/>
    <w:rsid w:val="001D107C"/>
    <w:rsid w:val="001D13D4"/>
    <w:rsid w:val="001D1E3F"/>
    <w:rsid w:val="001D33E2"/>
    <w:rsid w:val="001D3B5C"/>
    <w:rsid w:val="001D3BFF"/>
    <w:rsid w:val="001D433F"/>
    <w:rsid w:val="001D44DA"/>
    <w:rsid w:val="001D5F46"/>
    <w:rsid w:val="001D5F9D"/>
    <w:rsid w:val="001D6C08"/>
    <w:rsid w:val="001D71ED"/>
    <w:rsid w:val="001D7E99"/>
    <w:rsid w:val="001E0A8D"/>
    <w:rsid w:val="001E0EF4"/>
    <w:rsid w:val="001E1450"/>
    <w:rsid w:val="001E1C3D"/>
    <w:rsid w:val="001E2F38"/>
    <w:rsid w:val="001E34DF"/>
    <w:rsid w:val="001E3D69"/>
    <w:rsid w:val="001E6F04"/>
    <w:rsid w:val="001E72AD"/>
    <w:rsid w:val="001E7B65"/>
    <w:rsid w:val="001F0482"/>
    <w:rsid w:val="001F090A"/>
    <w:rsid w:val="001F0A9C"/>
    <w:rsid w:val="001F17B4"/>
    <w:rsid w:val="001F2D98"/>
    <w:rsid w:val="001F2F68"/>
    <w:rsid w:val="001F33AE"/>
    <w:rsid w:val="001F4080"/>
    <w:rsid w:val="001F467E"/>
    <w:rsid w:val="001F4D84"/>
    <w:rsid w:val="001F53FD"/>
    <w:rsid w:val="001F6CFD"/>
    <w:rsid w:val="001F7124"/>
    <w:rsid w:val="001F7965"/>
    <w:rsid w:val="0020139B"/>
    <w:rsid w:val="002022A3"/>
    <w:rsid w:val="002034B9"/>
    <w:rsid w:val="00203567"/>
    <w:rsid w:val="00203947"/>
    <w:rsid w:val="00205880"/>
    <w:rsid w:val="00205AB9"/>
    <w:rsid w:val="00205B89"/>
    <w:rsid w:val="00205EB5"/>
    <w:rsid w:val="00207153"/>
    <w:rsid w:val="002075FF"/>
    <w:rsid w:val="0020779A"/>
    <w:rsid w:val="002103E0"/>
    <w:rsid w:val="0021048A"/>
    <w:rsid w:val="002105D7"/>
    <w:rsid w:val="0021132D"/>
    <w:rsid w:val="002119CC"/>
    <w:rsid w:val="00211DD8"/>
    <w:rsid w:val="002122CD"/>
    <w:rsid w:val="00212300"/>
    <w:rsid w:val="0021261F"/>
    <w:rsid w:val="00213B80"/>
    <w:rsid w:val="00214454"/>
    <w:rsid w:val="0021452B"/>
    <w:rsid w:val="002158D3"/>
    <w:rsid w:val="002160B9"/>
    <w:rsid w:val="00216CDF"/>
    <w:rsid w:val="002173B6"/>
    <w:rsid w:val="00221241"/>
    <w:rsid w:val="002228FF"/>
    <w:rsid w:val="00222CC3"/>
    <w:rsid w:val="00223404"/>
    <w:rsid w:val="002236A0"/>
    <w:rsid w:val="002243A0"/>
    <w:rsid w:val="002243A5"/>
    <w:rsid w:val="002249B6"/>
    <w:rsid w:val="00226714"/>
    <w:rsid w:val="002278CC"/>
    <w:rsid w:val="00230207"/>
    <w:rsid w:val="00230B63"/>
    <w:rsid w:val="00230C6B"/>
    <w:rsid w:val="00230CE7"/>
    <w:rsid w:val="00231311"/>
    <w:rsid w:val="002314A5"/>
    <w:rsid w:val="002318A0"/>
    <w:rsid w:val="002327D9"/>
    <w:rsid w:val="00232967"/>
    <w:rsid w:val="00233542"/>
    <w:rsid w:val="0023379C"/>
    <w:rsid w:val="00233C59"/>
    <w:rsid w:val="002342D9"/>
    <w:rsid w:val="00235103"/>
    <w:rsid w:val="002351A4"/>
    <w:rsid w:val="00236537"/>
    <w:rsid w:val="00237D91"/>
    <w:rsid w:val="0024061C"/>
    <w:rsid w:val="00240C67"/>
    <w:rsid w:val="00240FAB"/>
    <w:rsid w:val="002416FC"/>
    <w:rsid w:val="002427C2"/>
    <w:rsid w:val="00244227"/>
    <w:rsid w:val="00244248"/>
    <w:rsid w:val="0024457B"/>
    <w:rsid w:val="00244ABD"/>
    <w:rsid w:val="00245654"/>
    <w:rsid w:val="0024591C"/>
    <w:rsid w:val="00245FDA"/>
    <w:rsid w:val="0024640D"/>
    <w:rsid w:val="00247264"/>
    <w:rsid w:val="00247497"/>
    <w:rsid w:val="00247AA4"/>
    <w:rsid w:val="00247E86"/>
    <w:rsid w:val="00250160"/>
    <w:rsid w:val="00250630"/>
    <w:rsid w:val="0025106B"/>
    <w:rsid w:val="002519F4"/>
    <w:rsid w:val="00251B6B"/>
    <w:rsid w:val="00251BB2"/>
    <w:rsid w:val="0025201B"/>
    <w:rsid w:val="00252A4A"/>
    <w:rsid w:val="00254F04"/>
    <w:rsid w:val="00255199"/>
    <w:rsid w:val="0025548F"/>
    <w:rsid w:val="00256111"/>
    <w:rsid w:val="00256345"/>
    <w:rsid w:val="002563FA"/>
    <w:rsid w:val="0026045F"/>
    <w:rsid w:val="00260468"/>
    <w:rsid w:val="00260992"/>
    <w:rsid w:val="002621FF"/>
    <w:rsid w:val="002625CF"/>
    <w:rsid w:val="002625D6"/>
    <w:rsid w:val="002626AA"/>
    <w:rsid w:val="002629B4"/>
    <w:rsid w:val="0026346A"/>
    <w:rsid w:val="002638D5"/>
    <w:rsid w:val="00264A0A"/>
    <w:rsid w:val="002657C3"/>
    <w:rsid w:val="0026611E"/>
    <w:rsid w:val="0026627E"/>
    <w:rsid w:val="00266A78"/>
    <w:rsid w:val="00266C02"/>
    <w:rsid w:val="00266CC5"/>
    <w:rsid w:val="002677A9"/>
    <w:rsid w:val="0027074C"/>
    <w:rsid w:val="00270B26"/>
    <w:rsid w:val="00271D6D"/>
    <w:rsid w:val="00272A57"/>
    <w:rsid w:val="00272DD6"/>
    <w:rsid w:val="00272DD8"/>
    <w:rsid w:val="0027315C"/>
    <w:rsid w:val="00273666"/>
    <w:rsid w:val="00274D0C"/>
    <w:rsid w:val="00275C4C"/>
    <w:rsid w:val="002761C2"/>
    <w:rsid w:val="00276518"/>
    <w:rsid w:val="00276854"/>
    <w:rsid w:val="00276911"/>
    <w:rsid w:val="00276E5B"/>
    <w:rsid w:val="002776BC"/>
    <w:rsid w:val="002806FF"/>
    <w:rsid w:val="0028072E"/>
    <w:rsid w:val="00280939"/>
    <w:rsid w:val="0028113F"/>
    <w:rsid w:val="00281484"/>
    <w:rsid w:val="00282D8C"/>
    <w:rsid w:val="00283DBC"/>
    <w:rsid w:val="00284758"/>
    <w:rsid w:val="00285A99"/>
    <w:rsid w:val="00286031"/>
    <w:rsid w:val="00286857"/>
    <w:rsid w:val="002906A4"/>
    <w:rsid w:val="00291A08"/>
    <w:rsid w:val="002920A8"/>
    <w:rsid w:val="00292553"/>
    <w:rsid w:val="00292558"/>
    <w:rsid w:val="00292833"/>
    <w:rsid w:val="00292AA3"/>
    <w:rsid w:val="0029335C"/>
    <w:rsid w:val="002937FB"/>
    <w:rsid w:val="002938F5"/>
    <w:rsid w:val="002946BD"/>
    <w:rsid w:val="002952D5"/>
    <w:rsid w:val="00295F88"/>
    <w:rsid w:val="00297251"/>
    <w:rsid w:val="0029747B"/>
    <w:rsid w:val="00297ABC"/>
    <w:rsid w:val="002A07D3"/>
    <w:rsid w:val="002A2451"/>
    <w:rsid w:val="002A33A8"/>
    <w:rsid w:val="002A3C2B"/>
    <w:rsid w:val="002A3DB5"/>
    <w:rsid w:val="002A42AB"/>
    <w:rsid w:val="002A4944"/>
    <w:rsid w:val="002A598B"/>
    <w:rsid w:val="002A5DD2"/>
    <w:rsid w:val="002A62EC"/>
    <w:rsid w:val="002A68AE"/>
    <w:rsid w:val="002B01FD"/>
    <w:rsid w:val="002B0589"/>
    <w:rsid w:val="002B1BAE"/>
    <w:rsid w:val="002B1F7B"/>
    <w:rsid w:val="002B1FCF"/>
    <w:rsid w:val="002B3ED6"/>
    <w:rsid w:val="002B3FA2"/>
    <w:rsid w:val="002B46CC"/>
    <w:rsid w:val="002B4A21"/>
    <w:rsid w:val="002B4B4C"/>
    <w:rsid w:val="002B4DC6"/>
    <w:rsid w:val="002B5298"/>
    <w:rsid w:val="002B556C"/>
    <w:rsid w:val="002B5B13"/>
    <w:rsid w:val="002B681D"/>
    <w:rsid w:val="002C1C42"/>
    <w:rsid w:val="002C1E38"/>
    <w:rsid w:val="002C2126"/>
    <w:rsid w:val="002C26E3"/>
    <w:rsid w:val="002C31C2"/>
    <w:rsid w:val="002C3457"/>
    <w:rsid w:val="002C393C"/>
    <w:rsid w:val="002C3FEE"/>
    <w:rsid w:val="002C431C"/>
    <w:rsid w:val="002C46BB"/>
    <w:rsid w:val="002C473E"/>
    <w:rsid w:val="002C4A09"/>
    <w:rsid w:val="002C510D"/>
    <w:rsid w:val="002C665A"/>
    <w:rsid w:val="002C72F3"/>
    <w:rsid w:val="002C7A72"/>
    <w:rsid w:val="002C7DC1"/>
    <w:rsid w:val="002D1189"/>
    <w:rsid w:val="002D1EA0"/>
    <w:rsid w:val="002D2553"/>
    <w:rsid w:val="002D2D9C"/>
    <w:rsid w:val="002D3CB8"/>
    <w:rsid w:val="002D4680"/>
    <w:rsid w:val="002D4FF8"/>
    <w:rsid w:val="002D50D6"/>
    <w:rsid w:val="002D580B"/>
    <w:rsid w:val="002D5B47"/>
    <w:rsid w:val="002D68A2"/>
    <w:rsid w:val="002D7855"/>
    <w:rsid w:val="002D7BEE"/>
    <w:rsid w:val="002E096F"/>
    <w:rsid w:val="002E1067"/>
    <w:rsid w:val="002E1EA0"/>
    <w:rsid w:val="002E2D86"/>
    <w:rsid w:val="002E36AC"/>
    <w:rsid w:val="002E3F25"/>
    <w:rsid w:val="002E4FD9"/>
    <w:rsid w:val="002E5E7D"/>
    <w:rsid w:val="002E6ABE"/>
    <w:rsid w:val="002F0685"/>
    <w:rsid w:val="002F06C9"/>
    <w:rsid w:val="002F1160"/>
    <w:rsid w:val="002F13BC"/>
    <w:rsid w:val="002F1F90"/>
    <w:rsid w:val="002F3403"/>
    <w:rsid w:val="002F3F94"/>
    <w:rsid w:val="002F40B3"/>
    <w:rsid w:val="002F526F"/>
    <w:rsid w:val="002F55CA"/>
    <w:rsid w:val="002F58B5"/>
    <w:rsid w:val="002F61F3"/>
    <w:rsid w:val="002F6E14"/>
    <w:rsid w:val="002F7B7B"/>
    <w:rsid w:val="00300477"/>
    <w:rsid w:val="00300F79"/>
    <w:rsid w:val="00302DBE"/>
    <w:rsid w:val="00304584"/>
    <w:rsid w:val="00304793"/>
    <w:rsid w:val="003047E7"/>
    <w:rsid w:val="003051B4"/>
    <w:rsid w:val="00305369"/>
    <w:rsid w:val="00305412"/>
    <w:rsid w:val="00306DBC"/>
    <w:rsid w:val="003070F1"/>
    <w:rsid w:val="00307F55"/>
    <w:rsid w:val="0031012A"/>
    <w:rsid w:val="00310835"/>
    <w:rsid w:val="00310B0A"/>
    <w:rsid w:val="0031156E"/>
    <w:rsid w:val="00311A79"/>
    <w:rsid w:val="00312472"/>
    <w:rsid w:val="00312785"/>
    <w:rsid w:val="00312A2C"/>
    <w:rsid w:val="00312A4E"/>
    <w:rsid w:val="00313469"/>
    <w:rsid w:val="00313539"/>
    <w:rsid w:val="00314C54"/>
    <w:rsid w:val="00316472"/>
    <w:rsid w:val="00317276"/>
    <w:rsid w:val="0031733F"/>
    <w:rsid w:val="0031748B"/>
    <w:rsid w:val="003179E4"/>
    <w:rsid w:val="00317BF9"/>
    <w:rsid w:val="00320350"/>
    <w:rsid w:val="00320431"/>
    <w:rsid w:val="00320FE0"/>
    <w:rsid w:val="003210F3"/>
    <w:rsid w:val="00321602"/>
    <w:rsid w:val="0032169F"/>
    <w:rsid w:val="00322C5C"/>
    <w:rsid w:val="00323170"/>
    <w:rsid w:val="00323392"/>
    <w:rsid w:val="0032363C"/>
    <w:rsid w:val="00323C2E"/>
    <w:rsid w:val="00323DE1"/>
    <w:rsid w:val="00324197"/>
    <w:rsid w:val="003245D3"/>
    <w:rsid w:val="00325071"/>
    <w:rsid w:val="0032567C"/>
    <w:rsid w:val="003268D7"/>
    <w:rsid w:val="00327CAF"/>
    <w:rsid w:val="00327FE5"/>
    <w:rsid w:val="0033263D"/>
    <w:rsid w:val="00332765"/>
    <w:rsid w:val="0033291B"/>
    <w:rsid w:val="0033465D"/>
    <w:rsid w:val="00335274"/>
    <w:rsid w:val="00335A4E"/>
    <w:rsid w:val="00335C44"/>
    <w:rsid w:val="00336499"/>
    <w:rsid w:val="0033663B"/>
    <w:rsid w:val="00336E08"/>
    <w:rsid w:val="00336F6F"/>
    <w:rsid w:val="003370D6"/>
    <w:rsid w:val="0033724A"/>
    <w:rsid w:val="00337391"/>
    <w:rsid w:val="00337888"/>
    <w:rsid w:val="00340144"/>
    <w:rsid w:val="00341038"/>
    <w:rsid w:val="0034105F"/>
    <w:rsid w:val="00342973"/>
    <w:rsid w:val="0034346C"/>
    <w:rsid w:val="0034378E"/>
    <w:rsid w:val="0034422C"/>
    <w:rsid w:val="003442D9"/>
    <w:rsid w:val="00345AFD"/>
    <w:rsid w:val="00346311"/>
    <w:rsid w:val="00346627"/>
    <w:rsid w:val="00347111"/>
    <w:rsid w:val="00347ACF"/>
    <w:rsid w:val="003507E9"/>
    <w:rsid w:val="00350845"/>
    <w:rsid w:val="00351168"/>
    <w:rsid w:val="00352C9C"/>
    <w:rsid w:val="0035304D"/>
    <w:rsid w:val="00354BFD"/>
    <w:rsid w:val="00354D1F"/>
    <w:rsid w:val="00357A31"/>
    <w:rsid w:val="00357D07"/>
    <w:rsid w:val="00360F8B"/>
    <w:rsid w:val="00361C58"/>
    <w:rsid w:val="00361E31"/>
    <w:rsid w:val="00361FBE"/>
    <w:rsid w:val="003645B8"/>
    <w:rsid w:val="00364EDB"/>
    <w:rsid w:val="00365092"/>
    <w:rsid w:val="003656A7"/>
    <w:rsid w:val="00365C24"/>
    <w:rsid w:val="003662F1"/>
    <w:rsid w:val="00366589"/>
    <w:rsid w:val="00366A50"/>
    <w:rsid w:val="00366F4D"/>
    <w:rsid w:val="0036711D"/>
    <w:rsid w:val="00367305"/>
    <w:rsid w:val="0036751A"/>
    <w:rsid w:val="003679CE"/>
    <w:rsid w:val="00370103"/>
    <w:rsid w:val="00370846"/>
    <w:rsid w:val="003712D6"/>
    <w:rsid w:val="00371710"/>
    <w:rsid w:val="003724C8"/>
    <w:rsid w:val="003730BD"/>
    <w:rsid w:val="00373967"/>
    <w:rsid w:val="00373A5F"/>
    <w:rsid w:val="00374CE2"/>
    <w:rsid w:val="003752B6"/>
    <w:rsid w:val="00376004"/>
    <w:rsid w:val="0037647A"/>
    <w:rsid w:val="00376480"/>
    <w:rsid w:val="00376771"/>
    <w:rsid w:val="0037765D"/>
    <w:rsid w:val="00380C91"/>
    <w:rsid w:val="0038131A"/>
    <w:rsid w:val="003817B3"/>
    <w:rsid w:val="00382270"/>
    <w:rsid w:val="003836E1"/>
    <w:rsid w:val="00384748"/>
    <w:rsid w:val="003849E1"/>
    <w:rsid w:val="00385431"/>
    <w:rsid w:val="00385743"/>
    <w:rsid w:val="00386D12"/>
    <w:rsid w:val="003874DC"/>
    <w:rsid w:val="00387AE4"/>
    <w:rsid w:val="003902AC"/>
    <w:rsid w:val="003902B7"/>
    <w:rsid w:val="003902FB"/>
    <w:rsid w:val="00390444"/>
    <w:rsid w:val="00390561"/>
    <w:rsid w:val="00390851"/>
    <w:rsid w:val="0039109A"/>
    <w:rsid w:val="003914FA"/>
    <w:rsid w:val="00393655"/>
    <w:rsid w:val="003938AF"/>
    <w:rsid w:val="00393F06"/>
    <w:rsid w:val="0039555E"/>
    <w:rsid w:val="003962F0"/>
    <w:rsid w:val="00396661"/>
    <w:rsid w:val="00397D5A"/>
    <w:rsid w:val="00397F9A"/>
    <w:rsid w:val="003A06BF"/>
    <w:rsid w:val="003A082D"/>
    <w:rsid w:val="003A0FC6"/>
    <w:rsid w:val="003A17C6"/>
    <w:rsid w:val="003A1EDA"/>
    <w:rsid w:val="003A2A79"/>
    <w:rsid w:val="003A2D64"/>
    <w:rsid w:val="003A3081"/>
    <w:rsid w:val="003A4135"/>
    <w:rsid w:val="003A5055"/>
    <w:rsid w:val="003A516D"/>
    <w:rsid w:val="003A5641"/>
    <w:rsid w:val="003A583B"/>
    <w:rsid w:val="003A67B2"/>
    <w:rsid w:val="003A6902"/>
    <w:rsid w:val="003A7F64"/>
    <w:rsid w:val="003B014F"/>
    <w:rsid w:val="003B044F"/>
    <w:rsid w:val="003B0B28"/>
    <w:rsid w:val="003B0EE9"/>
    <w:rsid w:val="003B24E8"/>
    <w:rsid w:val="003B2521"/>
    <w:rsid w:val="003B37EF"/>
    <w:rsid w:val="003B3A38"/>
    <w:rsid w:val="003B3A52"/>
    <w:rsid w:val="003B478F"/>
    <w:rsid w:val="003B5078"/>
    <w:rsid w:val="003B6CEF"/>
    <w:rsid w:val="003B7665"/>
    <w:rsid w:val="003B794B"/>
    <w:rsid w:val="003C0CEC"/>
    <w:rsid w:val="003C1120"/>
    <w:rsid w:val="003C1999"/>
    <w:rsid w:val="003C1A2D"/>
    <w:rsid w:val="003C31B3"/>
    <w:rsid w:val="003C34EC"/>
    <w:rsid w:val="003C356F"/>
    <w:rsid w:val="003C3686"/>
    <w:rsid w:val="003C3AD5"/>
    <w:rsid w:val="003C46AB"/>
    <w:rsid w:val="003C4D36"/>
    <w:rsid w:val="003C594F"/>
    <w:rsid w:val="003C5C2A"/>
    <w:rsid w:val="003C6E83"/>
    <w:rsid w:val="003C79BE"/>
    <w:rsid w:val="003D073B"/>
    <w:rsid w:val="003D1CD9"/>
    <w:rsid w:val="003D24D6"/>
    <w:rsid w:val="003D2AE9"/>
    <w:rsid w:val="003D402A"/>
    <w:rsid w:val="003D4BFD"/>
    <w:rsid w:val="003D4F06"/>
    <w:rsid w:val="003D68AB"/>
    <w:rsid w:val="003D7AC8"/>
    <w:rsid w:val="003D7B40"/>
    <w:rsid w:val="003E0D0F"/>
    <w:rsid w:val="003E1888"/>
    <w:rsid w:val="003E3DE0"/>
    <w:rsid w:val="003E499D"/>
    <w:rsid w:val="003E4D7B"/>
    <w:rsid w:val="003E50E1"/>
    <w:rsid w:val="003E5215"/>
    <w:rsid w:val="003E524C"/>
    <w:rsid w:val="003E5B90"/>
    <w:rsid w:val="003E6D15"/>
    <w:rsid w:val="003E6FE6"/>
    <w:rsid w:val="003E70B9"/>
    <w:rsid w:val="003E711B"/>
    <w:rsid w:val="003E74F7"/>
    <w:rsid w:val="003E76BE"/>
    <w:rsid w:val="003F07B6"/>
    <w:rsid w:val="003F09D8"/>
    <w:rsid w:val="003F11DF"/>
    <w:rsid w:val="003F12FB"/>
    <w:rsid w:val="003F1864"/>
    <w:rsid w:val="003F1C89"/>
    <w:rsid w:val="003F1D3F"/>
    <w:rsid w:val="003F1F98"/>
    <w:rsid w:val="003F3312"/>
    <w:rsid w:val="003F4D08"/>
    <w:rsid w:val="003F5392"/>
    <w:rsid w:val="003F5C06"/>
    <w:rsid w:val="003F5C2F"/>
    <w:rsid w:val="003F5D26"/>
    <w:rsid w:val="003F5E53"/>
    <w:rsid w:val="003F5FAB"/>
    <w:rsid w:val="003F66F5"/>
    <w:rsid w:val="003F6EF1"/>
    <w:rsid w:val="003F6F0B"/>
    <w:rsid w:val="003F6F7E"/>
    <w:rsid w:val="003F7CD9"/>
    <w:rsid w:val="004004A9"/>
    <w:rsid w:val="00401A5E"/>
    <w:rsid w:val="00402835"/>
    <w:rsid w:val="004036D4"/>
    <w:rsid w:val="004037CC"/>
    <w:rsid w:val="00403D84"/>
    <w:rsid w:val="00403E71"/>
    <w:rsid w:val="00404FFF"/>
    <w:rsid w:val="00406F51"/>
    <w:rsid w:val="00407DE5"/>
    <w:rsid w:val="004101C2"/>
    <w:rsid w:val="0041038A"/>
    <w:rsid w:val="004116B7"/>
    <w:rsid w:val="00412203"/>
    <w:rsid w:val="00412CF6"/>
    <w:rsid w:val="00413FA9"/>
    <w:rsid w:val="004142CB"/>
    <w:rsid w:val="004145E0"/>
    <w:rsid w:val="0041468C"/>
    <w:rsid w:val="00414706"/>
    <w:rsid w:val="00415BFA"/>
    <w:rsid w:val="00415F69"/>
    <w:rsid w:val="00416421"/>
    <w:rsid w:val="00416997"/>
    <w:rsid w:val="00416EF8"/>
    <w:rsid w:val="00417AE2"/>
    <w:rsid w:val="00421A67"/>
    <w:rsid w:val="00421F7A"/>
    <w:rsid w:val="004220BE"/>
    <w:rsid w:val="00423DB5"/>
    <w:rsid w:val="00425249"/>
    <w:rsid w:val="0042555B"/>
    <w:rsid w:val="00425DDE"/>
    <w:rsid w:val="00430063"/>
    <w:rsid w:val="00431042"/>
    <w:rsid w:val="00431504"/>
    <w:rsid w:val="00432908"/>
    <w:rsid w:val="00432E09"/>
    <w:rsid w:val="00433299"/>
    <w:rsid w:val="0043362D"/>
    <w:rsid w:val="00433A99"/>
    <w:rsid w:val="00434263"/>
    <w:rsid w:val="0043430C"/>
    <w:rsid w:val="004348D6"/>
    <w:rsid w:val="00434C44"/>
    <w:rsid w:val="00436B3A"/>
    <w:rsid w:val="00437A50"/>
    <w:rsid w:val="00440712"/>
    <w:rsid w:val="004407B0"/>
    <w:rsid w:val="00441126"/>
    <w:rsid w:val="00442071"/>
    <w:rsid w:val="00442243"/>
    <w:rsid w:val="004424C2"/>
    <w:rsid w:val="0044292E"/>
    <w:rsid w:val="00442D29"/>
    <w:rsid w:val="004434D1"/>
    <w:rsid w:val="004443DB"/>
    <w:rsid w:val="00444478"/>
    <w:rsid w:val="0044561B"/>
    <w:rsid w:val="00445B89"/>
    <w:rsid w:val="00446986"/>
    <w:rsid w:val="00447011"/>
    <w:rsid w:val="00447F78"/>
    <w:rsid w:val="004509DA"/>
    <w:rsid w:val="00450A96"/>
    <w:rsid w:val="00451772"/>
    <w:rsid w:val="00452EE2"/>
    <w:rsid w:val="00453117"/>
    <w:rsid w:val="00454775"/>
    <w:rsid w:val="0045582A"/>
    <w:rsid w:val="00455DBA"/>
    <w:rsid w:val="004569D8"/>
    <w:rsid w:val="00457D43"/>
    <w:rsid w:val="00457E13"/>
    <w:rsid w:val="004600C4"/>
    <w:rsid w:val="00460D45"/>
    <w:rsid w:val="00461C9E"/>
    <w:rsid w:val="004623D3"/>
    <w:rsid w:val="004636AB"/>
    <w:rsid w:val="004639B2"/>
    <w:rsid w:val="00463B34"/>
    <w:rsid w:val="00465B50"/>
    <w:rsid w:val="00465C48"/>
    <w:rsid w:val="00465EB8"/>
    <w:rsid w:val="004670EB"/>
    <w:rsid w:val="0046721D"/>
    <w:rsid w:val="004672D7"/>
    <w:rsid w:val="00467651"/>
    <w:rsid w:val="004677A5"/>
    <w:rsid w:val="00467DC3"/>
    <w:rsid w:val="0047089B"/>
    <w:rsid w:val="00470CEB"/>
    <w:rsid w:val="00470F7B"/>
    <w:rsid w:val="00471E9C"/>
    <w:rsid w:val="00472E84"/>
    <w:rsid w:val="00473BC1"/>
    <w:rsid w:val="00474E7F"/>
    <w:rsid w:val="00475AD3"/>
    <w:rsid w:val="00475C42"/>
    <w:rsid w:val="00475D3D"/>
    <w:rsid w:val="00476200"/>
    <w:rsid w:val="00476F76"/>
    <w:rsid w:val="00480642"/>
    <w:rsid w:val="00480C0D"/>
    <w:rsid w:val="0048102A"/>
    <w:rsid w:val="004812AA"/>
    <w:rsid w:val="00482395"/>
    <w:rsid w:val="004831C3"/>
    <w:rsid w:val="00484545"/>
    <w:rsid w:val="00484809"/>
    <w:rsid w:val="004859BB"/>
    <w:rsid w:val="00486251"/>
    <w:rsid w:val="0048680C"/>
    <w:rsid w:val="004876F7"/>
    <w:rsid w:val="0048796A"/>
    <w:rsid w:val="00487EF9"/>
    <w:rsid w:val="00490155"/>
    <w:rsid w:val="00490629"/>
    <w:rsid w:val="00490B34"/>
    <w:rsid w:val="0049475D"/>
    <w:rsid w:val="004947E2"/>
    <w:rsid w:val="00494C34"/>
    <w:rsid w:val="00494F33"/>
    <w:rsid w:val="004954CE"/>
    <w:rsid w:val="004966D8"/>
    <w:rsid w:val="004971AF"/>
    <w:rsid w:val="00497214"/>
    <w:rsid w:val="004A0635"/>
    <w:rsid w:val="004A16C0"/>
    <w:rsid w:val="004A267F"/>
    <w:rsid w:val="004A3D97"/>
    <w:rsid w:val="004A4A6C"/>
    <w:rsid w:val="004A538B"/>
    <w:rsid w:val="004A5511"/>
    <w:rsid w:val="004A676E"/>
    <w:rsid w:val="004A6B9F"/>
    <w:rsid w:val="004A71B6"/>
    <w:rsid w:val="004B01E1"/>
    <w:rsid w:val="004B1197"/>
    <w:rsid w:val="004B2C58"/>
    <w:rsid w:val="004B37EA"/>
    <w:rsid w:val="004B3804"/>
    <w:rsid w:val="004B3885"/>
    <w:rsid w:val="004B3A6D"/>
    <w:rsid w:val="004B4737"/>
    <w:rsid w:val="004B4860"/>
    <w:rsid w:val="004B52D0"/>
    <w:rsid w:val="004B55F1"/>
    <w:rsid w:val="004B5B57"/>
    <w:rsid w:val="004B5FCB"/>
    <w:rsid w:val="004B64CC"/>
    <w:rsid w:val="004B67CE"/>
    <w:rsid w:val="004B6DAD"/>
    <w:rsid w:val="004B6FA0"/>
    <w:rsid w:val="004C0247"/>
    <w:rsid w:val="004C171A"/>
    <w:rsid w:val="004C2D54"/>
    <w:rsid w:val="004C3CBE"/>
    <w:rsid w:val="004C3CE4"/>
    <w:rsid w:val="004C4274"/>
    <w:rsid w:val="004C7281"/>
    <w:rsid w:val="004C7C97"/>
    <w:rsid w:val="004D0092"/>
    <w:rsid w:val="004D0111"/>
    <w:rsid w:val="004D084D"/>
    <w:rsid w:val="004D2867"/>
    <w:rsid w:val="004D35EC"/>
    <w:rsid w:val="004D3876"/>
    <w:rsid w:val="004D48AE"/>
    <w:rsid w:val="004D4BAA"/>
    <w:rsid w:val="004D4C2F"/>
    <w:rsid w:val="004D4E85"/>
    <w:rsid w:val="004D60C7"/>
    <w:rsid w:val="004D6958"/>
    <w:rsid w:val="004E1511"/>
    <w:rsid w:val="004E1A94"/>
    <w:rsid w:val="004E29A8"/>
    <w:rsid w:val="004E2ADA"/>
    <w:rsid w:val="004E38CE"/>
    <w:rsid w:val="004E3ED9"/>
    <w:rsid w:val="004E3F4A"/>
    <w:rsid w:val="004E4BB1"/>
    <w:rsid w:val="004E50C1"/>
    <w:rsid w:val="004E5638"/>
    <w:rsid w:val="004E56B5"/>
    <w:rsid w:val="004E5C10"/>
    <w:rsid w:val="004E5C99"/>
    <w:rsid w:val="004E72D5"/>
    <w:rsid w:val="004E7710"/>
    <w:rsid w:val="004F0E84"/>
    <w:rsid w:val="004F0FE1"/>
    <w:rsid w:val="004F121E"/>
    <w:rsid w:val="004F22CD"/>
    <w:rsid w:val="004F3AC9"/>
    <w:rsid w:val="004F5EF4"/>
    <w:rsid w:val="004F6B78"/>
    <w:rsid w:val="004F763F"/>
    <w:rsid w:val="004F7F26"/>
    <w:rsid w:val="005000DE"/>
    <w:rsid w:val="005001C4"/>
    <w:rsid w:val="005005F8"/>
    <w:rsid w:val="00500E96"/>
    <w:rsid w:val="0050100C"/>
    <w:rsid w:val="005021B9"/>
    <w:rsid w:val="00503712"/>
    <w:rsid w:val="005042C2"/>
    <w:rsid w:val="00505232"/>
    <w:rsid w:val="00505EA4"/>
    <w:rsid w:val="00505F7D"/>
    <w:rsid w:val="00506F31"/>
    <w:rsid w:val="00507E29"/>
    <w:rsid w:val="00510E72"/>
    <w:rsid w:val="0051119F"/>
    <w:rsid w:val="00511CFB"/>
    <w:rsid w:val="005132F6"/>
    <w:rsid w:val="00514C16"/>
    <w:rsid w:val="0051595C"/>
    <w:rsid w:val="00515B45"/>
    <w:rsid w:val="0051644E"/>
    <w:rsid w:val="0051646E"/>
    <w:rsid w:val="005174E7"/>
    <w:rsid w:val="00517C0C"/>
    <w:rsid w:val="00520913"/>
    <w:rsid w:val="005213F6"/>
    <w:rsid w:val="00521621"/>
    <w:rsid w:val="00521C2D"/>
    <w:rsid w:val="00522893"/>
    <w:rsid w:val="00523B2B"/>
    <w:rsid w:val="00523C4F"/>
    <w:rsid w:val="00523D61"/>
    <w:rsid w:val="00523D8F"/>
    <w:rsid w:val="00523ED3"/>
    <w:rsid w:val="00524818"/>
    <w:rsid w:val="005255AF"/>
    <w:rsid w:val="005256DB"/>
    <w:rsid w:val="00526122"/>
    <w:rsid w:val="0052626E"/>
    <w:rsid w:val="0052644A"/>
    <w:rsid w:val="00526794"/>
    <w:rsid w:val="00527A5D"/>
    <w:rsid w:val="005304C3"/>
    <w:rsid w:val="00531185"/>
    <w:rsid w:val="0053380C"/>
    <w:rsid w:val="00533C5A"/>
    <w:rsid w:val="00533CAC"/>
    <w:rsid w:val="005344EF"/>
    <w:rsid w:val="00536F68"/>
    <w:rsid w:val="005373B7"/>
    <w:rsid w:val="005373E7"/>
    <w:rsid w:val="00537403"/>
    <w:rsid w:val="00537423"/>
    <w:rsid w:val="00537ADE"/>
    <w:rsid w:val="005415C7"/>
    <w:rsid w:val="00542C03"/>
    <w:rsid w:val="00543671"/>
    <w:rsid w:val="005439C2"/>
    <w:rsid w:val="00543B55"/>
    <w:rsid w:val="005445E0"/>
    <w:rsid w:val="0054576E"/>
    <w:rsid w:val="00546498"/>
    <w:rsid w:val="0054699E"/>
    <w:rsid w:val="00547F88"/>
    <w:rsid w:val="00550EE7"/>
    <w:rsid w:val="0055123E"/>
    <w:rsid w:val="00551CA2"/>
    <w:rsid w:val="00551D58"/>
    <w:rsid w:val="0055237F"/>
    <w:rsid w:val="0055250D"/>
    <w:rsid w:val="00552761"/>
    <w:rsid w:val="00552AC7"/>
    <w:rsid w:val="00552CC4"/>
    <w:rsid w:val="005531B7"/>
    <w:rsid w:val="00553819"/>
    <w:rsid w:val="00554749"/>
    <w:rsid w:val="0055488B"/>
    <w:rsid w:val="005572FD"/>
    <w:rsid w:val="005575A7"/>
    <w:rsid w:val="00557A9F"/>
    <w:rsid w:val="00557C8E"/>
    <w:rsid w:val="00557EC3"/>
    <w:rsid w:val="0056031B"/>
    <w:rsid w:val="005607D2"/>
    <w:rsid w:val="00560CC1"/>
    <w:rsid w:val="00560CD8"/>
    <w:rsid w:val="00560D7F"/>
    <w:rsid w:val="005622D9"/>
    <w:rsid w:val="0056501C"/>
    <w:rsid w:val="005653A4"/>
    <w:rsid w:val="005656B9"/>
    <w:rsid w:val="0056604E"/>
    <w:rsid w:val="005664FC"/>
    <w:rsid w:val="005665C8"/>
    <w:rsid w:val="005667F5"/>
    <w:rsid w:val="00566CFC"/>
    <w:rsid w:val="00567329"/>
    <w:rsid w:val="005674C3"/>
    <w:rsid w:val="00570BCB"/>
    <w:rsid w:val="00570FB0"/>
    <w:rsid w:val="00571FA6"/>
    <w:rsid w:val="005728E3"/>
    <w:rsid w:val="00572BE2"/>
    <w:rsid w:val="00573F39"/>
    <w:rsid w:val="0057442A"/>
    <w:rsid w:val="00575219"/>
    <w:rsid w:val="005766DB"/>
    <w:rsid w:val="0058147E"/>
    <w:rsid w:val="00581653"/>
    <w:rsid w:val="00581705"/>
    <w:rsid w:val="00582195"/>
    <w:rsid w:val="00582A49"/>
    <w:rsid w:val="0058329D"/>
    <w:rsid w:val="00583D67"/>
    <w:rsid w:val="00583F7A"/>
    <w:rsid w:val="005842F5"/>
    <w:rsid w:val="00584B68"/>
    <w:rsid w:val="00584F8E"/>
    <w:rsid w:val="005870CF"/>
    <w:rsid w:val="00587245"/>
    <w:rsid w:val="0058741D"/>
    <w:rsid w:val="00587879"/>
    <w:rsid w:val="00587CED"/>
    <w:rsid w:val="005902B9"/>
    <w:rsid w:val="00590EC8"/>
    <w:rsid w:val="005914A1"/>
    <w:rsid w:val="00591FEB"/>
    <w:rsid w:val="005921D6"/>
    <w:rsid w:val="00592404"/>
    <w:rsid w:val="00594156"/>
    <w:rsid w:val="00594234"/>
    <w:rsid w:val="00594F38"/>
    <w:rsid w:val="005963FD"/>
    <w:rsid w:val="0059771D"/>
    <w:rsid w:val="0059776B"/>
    <w:rsid w:val="005A273E"/>
    <w:rsid w:val="005A2A33"/>
    <w:rsid w:val="005A2CD4"/>
    <w:rsid w:val="005A2E7A"/>
    <w:rsid w:val="005A2FF4"/>
    <w:rsid w:val="005A5744"/>
    <w:rsid w:val="005A6006"/>
    <w:rsid w:val="005A76FD"/>
    <w:rsid w:val="005B0440"/>
    <w:rsid w:val="005B0576"/>
    <w:rsid w:val="005B08EE"/>
    <w:rsid w:val="005B0B4C"/>
    <w:rsid w:val="005B0E29"/>
    <w:rsid w:val="005B1D49"/>
    <w:rsid w:val="005B25AE"/>
    <w:rsid w:val="005B3DD9"/>
    <w:rsid w:val="005B4BF2"/>
    <w:rsid w:val="005B5317"/>
    <w:rsid w:val="005B564F"/>
    <w:rsid w:val="005B5BC1"/>
    <w:rsid w:val="005B68EC"/>
    <w:rsid w:val="005B6AB6"/>
    <w:rsid w:val="005B731E"/>
    <w:rsid w:val="005B74DC"/>
    <w:rsid w:val="005B7DED"/>
    <w:rsid w:val="005C07FD"/>
    <w:rsid w:val="005C1DC4"/>
    <w:rsid w:val="005C20F1"/>
    <w:rsid w:val="005C2158"/>
    <w:rsid w:val="005C22DA"/>
    <w:rsid w:val="005C4724"/>
    <w:rsid w:val="005C47B8"/>
    <w:rsid w:val="005C5B9C"/>
    <w:rsid w:val="005C6DE8"/>
    <w:rsid w:val="005C7C55"/>
    <w:rsid w:val="005D2171"/>
    <w:rsid w:val="005D22D1"/>
    <w:rsid w:val="005D23E8"/>
    <w:rsid w:val="005D2D96"/>
    <w:rsid w:val="005D44A8"/>
    <w:rsid w:val="005D59A8"/>
    <w:rsid w:val="005D5E71"/>
    <w:rsid w:val="005D6392"/>
    <w:rsid w:val="005D65AE"/>
    <w:rsid w:val="005D7320"/>
    <w:rsid w:val="005D744C"/>
    <w:rsid w:val="005D7463"/>
    <w:rsid w:val="005D7BDD"/>
    <w:rsid w:val="005D7D43"/>
    <w:rsid w:val="005E3A9B"/>
    <w:rsid w:val="005E48A0"/>
    <w:rsid w:val="005E4B49"/>
    <w:rsid w:val="005E5241"/>
    <w:rsid w:val="005E5B1D"/>
    <w:rsid w:val="005E6377"/>
    <w:rsid w:val="005E750B"/>
    <w:rsid w:val="005E7CEA"/>
    <w:rsid w:val="005F023A"/>
    <w:rsid w:val="005F02AF"/>
    <w:rsid w:val="005F1719"/>
    <w:rsid w:val="005F1863"/>
    <w:rsid w:val="005F2817"/>
    <w:rsid w:val="005F3812"/>
    <w:rsid w:val="005F4451"/>
    <w:rsid w:val="005F4590"/>
    <w:rsid w:val="005F52CE"/>
    <w:rsid w:val="005F6C87"/>
    <w:rsid w:val="005F73C2"/>
    <w:rsid w:val="005F7AE0"/>
    <w:rsid w:val="0060019F"/>
    <w:rsid w:val="006002B9"/>
    <w:rsid w:val="00600D7E"/>
    <w:rsid w:val="00603094"/>
    <w:rsid w:val="00603466"/>
    <w:rsid w:val="006036D2"/>
    <w:rsid w:val="0060464E"/>
    <w:rsid w:val="00604FC7"/>
    <w:rsid w:val="006053CD"/>
    <w:rsid w:val="00605FC0"/>
    <w:rsid w:val="0060648C"/>
    <w:rsid w:val="00606E1F"/>
    <w:rsid w:val="00606F85"/>
    <w:rsid w:val="0060747B"/>
    <w:rsid w:val="006076EA"/>
    <w:rsid w:val="00607EFD"/>
    <w:rsid w:val="006100B4"/>
    <w:rsid w:val="00610A23"/>
    <w:rsid w:val="00611F3F"/>
    <w:rsid w:val="00612A1B"/>
    <w:rsid w:val="00613C0E"/>
    <w:rsid w:val="00613C3B"/>
    <w:rsid w:val="006147EE"/>
    <w:rsid w:val="00615E0A"/>
    <w:rsid w:val="00617A3C"/>
    <w:rsid w:val="00620134"/>
    <w:rsid w:val="0062046F"/>
    <w:rsid w:val="0062061E"/>
    <w:rsid w:val="00620A19"/>
    <w:rsid w:val="00621934"/>
    <w:rsid w:val="006252E0"/>
    <w:rsid w:val="006262F0"/>
    <w:rsid w:val="00627B57"/>
    <w:rsid w:val="0063181F"/>
    <w:rsid w:val="00631A90"/>
    <w:rsid w:val="00631AAA"/>
    <w:rsid w:val="006323AE"/>
    <w:rsid w:val="00632774"/>
    <w:rsid w:val="00634210"/>
    <w:rsid w:val="00634487"/>
    <w:rsid w:val="00635516"/>
    <w:rsid w:val="0063631E"/>
    <w:rsid w:val="00636C1C"/>
    <w:rsid w:val="00637E77"/>
    <w:rsid w:val="00640027"/>
    <w:rsid w:val="00640572"/>
    <w:rsid w:val="00642485"/>
    <w:rsid w:val="006424A1"/>
    <w:rsid w:val="00642579"/>
    <w:rsid w:val="006429BB"/>
    <w:rsid w:val="00642B9D"/>
    <w:rsid w:val="006434A5"/>
    <w:rsid w:val="00643EB1"/>
    <w:rsid w:val="00644728"/>
    <w:rsid w:val="00644F30"/>
    <w:rsid w:val="00645B64"/>
    <w:rsid w:val="00647037"/>
    <w:rsid w:val="006528C5"/>
    <w:rsid w:val="00652CDA"/>
    <w:rsid w:val="00652F6A"/>
    <w:rsid w:val="006540AA"/>
    <w:rsid w:val="00654470"/>
    <w:rsid w:val="00655712"/>
    <w:rsid w:val="006568CA"/>
    <w:rsid w:val="006570EB"/>
    <w:rsid w:val="00657192"/>
    <w:rsid w:val="006571BE"/>
    <w:rsid w:val="00660474"/>
    <w:rsid w:val="00660A24"/>
    <w:rsid w:val="00660B52"/>
    <w:rsid w:val="006614A1"/>
    <w:rsid w:val="0066206F"/>
    <w:rsid w:val="00662406"/>
    <w:rsid w:val="00662DE2"/>
    <w:rsid w:val="006633BC"/>
    <w:rsid w:val="006640EE"/>
    <w:rsid w:val="006646B8"/>
    <w:rsid w:val="006651AD"/>
    <w:rsid w:val="00666B51"/>
    <w:rsid w:val="00670A54"/>
    <w:rsid w:val="00671103"/>
    <w:rsid w:val="00672426"/>
    <w:rsid w:val="006724A5"/>
    <w:rsid w:val="006726E6"/>
    <w:rsid w:val="00673566"/>
    <w:rsid w:val="00673A1B"/>
    <w:rsid w:val="0067431C"/>
    <w:rsid w:val="006745F3"/>
    <w:rsid w:val="0067485E"/>
    <w:rsid w:val="00674E6A"/>
    <w:rsid w:val="0067613C"/>
    <w:rsid w:val="00676334"/>
    <w:rsid w:val="00677844"/>
    <w:rsid w:val="00677C11"/>
    <w:rsid w:val="00677EED"/>
    <w:rsid w:val="006800C4"/>
    <w:rsid w:val="006803FE"/>
    <w:rsid w:val="0068073D"/>
    <w:rsid w:val="006815BE"/>
    <w:rsid w:val="006815CA"/>
    <w:rsid w:val="00681E23"/>
    <w:rsid w:val="006829A7"/>
    <w:rsid w:val="00682CFC"/>
    <w:rsid w:val="00682D26"/>
    <w:rsid w:val="00683581"/>
    <w:rsid w:val="00683E8D"/>
    <w:rsid w:val="006844CE"/>
    <w:rsid w:val="00684B8B"/>
    <w:rsid w:val="00684C34"/>
    <w:rsid w:val="00685431"/>
    <w:rsid w:val="0068578F"/>
    <w:rsid w:val="006864ED"/>
    <w:rsid w:val="00686767"/>
    <w:rsid w:val="006867A3"/>
    <w:rsid w:val="00687269"/>
    <w:rsid w:val="00687A8B"/>
    <w:rsid w:val="00690BF1"/>
    <w:rsid w:val="0069161F"/>
    <w:rsid w:val="00691717"/>
    <w:rsid w:val="00692ECD"/>
    <w:rsid w:val="00694570"/>
    <w:rsid w:val="006949FC"/>
    <w:rsid w:val="006965BF"/>
    <w:rsid w:val="0069662C"/>
    <w:rsid w:val="006A044B"/>
    <w:rsid w:val="006A194D"/>
    <w:rsid w:val="006A2825"/>
    <w:rsid w:val="006A3A2F"/>
    <w:rsid w:val="006A3AA8"/>
    <w:rsid w:val="006A3BD7"/>
    <w:rsid w:val="006A3FA9"/>
    <w:rsid w:val="006A43C7"/>
    <w:rsid w:val="006A5012"/>
    <w:rsid w:val="006A54D0"/>
    <w:rsid w:val="006A54FA"/>
    <w:rsid w:val="006A57EE"/>
    <w:rsid w:val="006A725A"/>
    <w:rsid w:val="006B0715"/>
    <w:rsid w:val="006B072C"/>
    <w:rsid w:val="006B0AFF"/>
    <w:rsid w:val="006B0CAD"/>
    <w:rsid w:val="006B1D1E"/>
    <w:rsid w:val="006B2065"/>
    <w:rsid w:val="006B28DF"/>
    <w:rsid w:val="006B304B"/>
    <w:rsid w:val="006B5252"/>
    <w:rsid w:val="006B5891"/>
    <w:rsid w:val="006B5973"/>
    <w:rsid w:val="006B5D86"/>
    <w:rsid w:val="006B63E5"/>
    <w:rsid w:val="006B69C4"/>
    <w:rsid w:val="006B6D0F"/>
    <w:rsid w:val="006B6E3A"/>
    <w:rsid w:val="006B7403"/>
    <w:rsid w:val="006C0190"/>
    <w:rsid w:val="006C0AA4"/>
    <w:rsid w:val="006C1D80"/>
    <w:rsid w:val="006C22BE"/>
    <w:rsid w:val="006C2576"/>
    <w:rsid w:val="006C2CEB"/>
    <w:rsid w:val="006C3248"/>
    <w:rsid w:val="006C3D07"/>
    <w:rsid w:val="006C4046"/>
    <w:rsid w:val="006C65FE"/>
    <w:rsid w:val="006C7039"/>
    <w:rsid w:val="006C78C0"/>
    <w:rsid w:val="006C78FD"/>
    <w:rsid w:val="006D0129"/>
    <w:rsid w:val="006D0383"/>
    <w:rsid w:val="006D0C7B"/>
    <w:rsid w:val="006D0F1E"/>
    <w:rsid w:val="006D23F1"/>
    <w:rsid w:val="006D2DD4"/>
    <w:rsid w:val="006D3EA8"/>
    <w:rsid w:val="006D44BA"/>
    <w:rsid w:val="006D4C8B"/>
    <w:rsid w:val="006D6384"/>
    <w:rsid w:val="006D71BF"/>
    <w:rsid w:val="006D74CB"/>
    <w:rsid w:val="006E1DD8"/>
    <w:rsid w:val="006E34E2"/>
    <w:rsid w:val="006E3B07"/>
    <w:rsid w:val="006E3B29"/>
    <w:rsid w:val="006E43A0"/>
    <w:rsid w:val="006E45CE"/>
    <w:rsid w:val="006E4B48"/>
    <w:rsid w:val="006E5756"/>
    <w:rsid w:val="006E5C8D"/>
    <w:rsid w:val="006E6DED"/>
    <w:rsid w:val="006E702C"/>
    <w:rsid w:val="006E7639"/>
    <w:rsid w:val="006E7AD9"/>
    <w:rsid w:val="006E7FC8"/>
    <w:rsid w:val="006F03C8"/>
    <w:rsid w:val="006F0A19"/>
    <w:rsid w:val="006F0F83"/>
    <w:rsid w:val="006F1CEC"/>
    <w:rsid w:val="006F201F"/>
    <w:rsid w:val="006F25F5"/>
    <w:rsid w:val="006F371F"/>
    <w:rsid w:val="006F4B62"/>
    <w:rsid w:val="006F5124"/>
    <w:rsid w:val="006F5285"/>
    <w:rsid w:val="006F5942"/>
    <w:rsid w:val="006F63D2"/>
    <w:rsid w:val="006F6BBC"/>
    <w:rsid w:val="006F72C9"/>
    <w:rsid w:val="00700509"/>
    <w:rsid w:val="00700803"/>
    <w:rsid w:val="00700FF9"/>
    <w:rsid w:val="0070162F"/>
    <w:rsid w:val="00702273"/>
    <w:rsid w:val="007031A8"/>
    <w:rsid w:val="007042A3"/>
    <w:rsid w:val="00704315"/>
    <w:rsid w:val="00704B0B"/>
    <w:rsid w:val="00704DD3"/>
    <w:rsid w:val="00705171"/>
    <w:rsid w:val="0070547D"/>
    <w:rsid w:val="007060FF"/>
    <w:rsid w:val="00706C2D"/>
    <w:rsid w:val="00707258"/>
    <w:rsid w:val="0070758F"/>
    <w:rsid w:val="00707F9E"/>
    <w:rsid w:val="00710B18"/>
    <w:rsid w:val="007115B4"/>
    <w:rsid w:val="00711EFA"/>
    <w:rsid w:val="007123EC"/>
    <w:rsid w:val="0071250A"/>
    <w:rsid w:val="00712AEF"/>
    <w:rsid w:val="0071380D"/>
    <w:rsid w:val="0071386C"/>
    <w:rsid w:val="007142C6"/>
    <w:rsid w:val="00715834"/>
    <w:rsid w:val="007159EF"/>
    <w:rsid w:val="007170EB"/>
    <w:rsid w:val="00717466"/>
    <w:rsid w:val="007178AE"/>
    <w:rsid w:val="00717BFA"/>
    <w:rsid w:val="00717C15"/>
    <w:rsid w:val="00720138"/>
    <w:rsid w:val="007211A2"/>
    <w:rsid w:val="00721CA9"/>
    <w:rsid w:val="00723A70"/>
    <w:rsid w:val="00723BD6"/>
    <w:rsid w:val="00723D39"/>
    <w:rsid w:val="007242E8"/>
    <w:rsid w:val="00724637"/>
    <w:rsid w:val="0072593C"/>
    <w:rsid w:val="00726523"/>
    <w:rsid w:val="00726AB8"/>
    <w:rsid w:val="007272C0"/>
    <w:rsid w:val="00727E54"/>
    <w:rsid w:val="00730E23"/>
    <w:rsid w:val="00731E43"/>
    <w:rsid w:val="007320E2"/>
    <w:rsid w:val="007337A5"/>
    <w:rsid w:val="00733A24"/>
    <w:rsid w:val="00735361"/>
    <w:rsid w:val="0073586B"/>
    <w:rsid w:val="00735990"/>
    <w:rsid w:val="00737585"/>
    <w:rsid w:val="0073787C"/>
    <w:rsid w:val="0074024A"/>
    <w:rsid w:val="007415D4"/>
    <w:rsid w:val="00742514"/>
    <w:rsid w:val="00743CDA"/>
    <w:rsid w:val="00744E86"/>
    <w:rsid w:val="007460CB"/>
    <w:rsid w:val="007465EF"/>
    <w:rsid w:val="0074697F"/>
    <w:rsid w:val="00746E97"/>
    <w:rsid w:val="007477C6"/>
    <w:rsid w:val="0075012C"/>
    <w:rsid w:val="00750A97"/>
    <w:rsid w:val="00750E4C"/>
    <w:rsid w:val="00751008"/>
    <w:rsid w:val="00751245"/>
    <w:rsid w:val="007517DA"/>
    <w:rsid w:val="00752631"/>
    <w:rsid w:val="00752756"/>
    <w:rsid w:val="00752E62"/>
    <w:rsid w:val="0075359D"/>
    <w:rsid w:val="007549A4"/>
    <w:rsid w:val="00754DA5"/>
    <w:rsid w:val="00754E29"/>
    <w:rsid w:val="00755B21"/>
    <w:rsid w:val="00756119"/>
    <w:rsid w:val="00756B0D"/>
    <w:rsid w:val="007575CD"/>
    <w:rsid w:val="00757837"/>
    <w:rsid w:val="00757842"/>
    <w:rsid w:val="00760E20"/>
    <w:rsid w:val="00761093"/>
    <w:rsid w:val="007623D4"/>
    <w:rsid w:val="0076594F"/>
    <w:rsid w:val="0076649E"/>
    <w:rsid w:val="00767C54"/>
    <w:rsid w:val="00770794"/>
    <w:rsid w:val="007709D9"/>
    <w:rsid w:val="007723B4"/>
    <w:rsid w:val="007731B4"/>
    <w:rsid w:val="007736E3"/>
    <w:rsid w:val="00773C00"/>
    <w:rsid w:val="00773F73"/>
    <w:rsid w:val="007740F8"/>
    <w:rsid w:val="00774901"/>
    <w:rsid w:val="00774B6B"/>
    <w:rsid w:val="00775274"/>
    <w:rsid w:val="00775F84"/>
    <w:rsid w:val="00776326"/>
    <w:rsid w:val="0077636E"/>
    <w:rsid w:val="007765A0"/>
    <w:rsid w:val="00776644"/>
    <w:rsid w:val="00776F97"/>
    <w:rsid w:val="00777D2D"/>
    <w:rsid w:val="00777D47"/>
    <w:rsid w:val="00780375"/>
    <w:rsid w:val="0078128A"/>
    <w:rsid w:val="0078191C"/>
    <w:rsid w:val="00782B1D"/>
    <w:rsid w:val="007832DB"/>
    <w:rsid w:val="00783E24"/>
    <w:rsid w:val="00784175"/>
    <w:rsid w:val="0078452D"/>
    <w:rsid w:val="00784A6D"/>
    <w:rsid w:val="00785159"/>
    <w:rsid w:val="007851A6"/>
    <w:rsid w:val="00785755"/>
    <w:rsid w:val="00785C8E"/>
    <w:rsid w:val="00786991"/>
    <w:rsid w:val="00786ABF"/>
    <w:rsid w:val="0079015C"/>
    <w:rsid w:val="00790F8E"/>
    <w:rsid w:val="007918EF"/>
    <w:rsid w:val="007927AC"/>
    <w:rsid w:val="007945BD"/>
    <w:rsid w:val="0079554D"/>
    <w:rsid w:val="0079590D"/>
    <w:rsid w:val="00796936"/>
    <w:rsid w:val="0079738C"/>
    <w:rsid w:val="0079774A"/>
    <w:rsid w:val="00797849"/>
    <w:rsid w:val="007A1B0C"/>
    <w:rsid w:val="007A2AD9"/>
    <w:rsid w:val="007A3660"/>
    <w:rsid w:val="007A3F61"/>
    <w:rsid w:val="007A4994"/>
    <w:rsid w:val="007A4A02"/>
    <w:rsid w:val="007A538D"/>
    <w:rsid w:val="007A6CAD"/>
    <w:rsid w:val="007A728B"/>
    <w:rsid w:val="007B08C4"/>
    <w:rsid w:val="007B1BC6"/>
    <w:rsid w:val="007B1C91"/>
    <w:rsid w:val="007B2C83"/>
    <w:rsid w:val="007B366E"/>
    <w:rsid w:val="007B3F98"/>
    <w:rsid w:val="007B4520"/>
    <w:rsid w:val="007B496E"/>
    <w:rsid w:val="007B4A5F"/>
    <w:rsid w:val="007B4FE4"/>
    <w:rsid w:val="007B50D4"/>
    <w:rsid w:val="007B52AA"/>
    <w:rsid w:val="007B6059"/>
    <w:rsid w:val="007B612D"/>
    <w:rsid w:val="007B6600"/>
    <w:rsid w:val="007B729D"/>
    <w:rsid w:val="007B7A6E"/>
    <w:rsid w:val="007C0296"/>
    <w:rsid w:val="007C0ABD"/>
    <w:rsid w:val="007C0C42"/>
    <w:rsid w:val="007C1DFA"/>
    <w:rsid w:val="007C1E24"/>
    <w:rsid w:val="007C1F5A"/>
    <w:rsid w:val="007C3721"/>
    <w:rsid w:val="007C4388"/>
    <w:rsid w:val="007C5537"/>
    <w:rsid w:val="007C63B1"/>
    <w:rsid w:val="007C6DEB"/>
    <w:rsid w:val="007C7173"/>
    <w:rsid w:val="007C7ECB"/>
    <w:rsid w:val="007D1B06"/>
    <w:rsid w:val="007D1CC2"/>
    <w:rsid w:val="007D1CC7"/>
    <w:rsid w:val="007D23AD"/>
    <w:rsid w:val="007D373A"/>
    <w:rsid w:val="007D389C"/>
    <w:rsid w:val="007D47E7"/>
    <w:rsid w:val="007D485E"/>
    <w:rsid w:val="007D4CA1"/>
    <w:rsid w:val="007D4D86"/>
    <w:rsid w:val="007D4F20"/>
    <w:rsid w:val="007D5C19"/>
    <w:rsid w:val="007D6205"/>
    <w:rsid w:val="007D621D"/>
    <w:rsid w:val="007D6FB5"/>
    <w:rsid w:val="007D7D7F"/>
    <w:rsid w:val="007E034D"/>
    <w:rsid w:val="007E1A81"/>
    <w:rsid w:val="007E1C2F"/>
    <w:rsid w:val="007E2C47"/>
    <w:rsid w:val="007E313E"/>
    <w:rsid w:val="007E32A3"/>
    <w:rsid w:val="007E34B6"/>
    <w:rsid w:val="007E34E1"/>
    <w:rsid w:val="007E4918"/>
    <w:rsid w:val="007E4BE3"/>
    <w:rsid w:val="007E5180"/>
    <w:rsid w:val="007E675B"/>
    <w:rsid w:val="007E67DF"/>
    <w:rsid w:val="007E7290"/>
    <w:rsid w:val="007E76AB"/>
    <w:rsid w:val="007E78CA"/>
    <w:rsid w:val="007E7BD0"/>
    <w:rsid w:val="007E7F55"/>
    <w:rsid w:val="007F0519"/>
    <w:rsid w:val="007F094C"/>
    <w:rsid w:val="007F1B27"/>
    <w:rsid w:val="007F20D5"/>
    <w:rsid w:val="007F279D"/>
    <w:rsid w:val="007F3DB8"/>
    <w:rsid w:val="007F3E00"/>
    <w:rsid w:val="007F4B15"/>
    <w:rsid w:val="007F4D8F"/>
    <w:rsid w:val="007F5801"/>
    <w:rsid w:val="007F65AC"/>
    <w:rsid w:val="007F7EAA"/>
    <w:rsid w:val="008004FF"/>
    <w:rsid w:val="00800789"/>
    <w:rsid w:val="0080166B"/>
    <w:rsid w:val="008018E2"/>
    <w:rsid w:val="00802A42"/>
    <w:rsid w:val="0080341C"/>
    <w:rsid w:val="00803457"/>
    <w:rsid w:val="008035B9"/>
    <w:rsid w:val="00803C69"/>
    <w:rsid w:val="00803CD0"/>
    <w:rsid w:val="00804A9D"/>
    <w:rsid w:val="00804C8A"/>
    <w:rsid w:val="0080626A"/>
    <w:rsid w:val="0080741D"/>
    <w:rsid w:val="00807EAA"/>
    <w:rsid w:val="00811D10"/>
    <w:rsid w:val="00812EAC"/>
    <w:rsid w:val="008138F0"/>
    <w:rsid w:val="00814D85"/>
    <w:rsid w:val="008151F5"/>
    <w:rsid w:val="00815C2E"/>
    <w:rsid w:val="00816D2F"/>
    <w:rsid w:val="00816EDB"/>
    <w:rsid w:val="008203B3"/>
    <w:rsid w:val="0082191D"/>
    <w:rsid w:val="00822DB3"/>
    <w:rsid w:val="008230CA"/>
    <w:rsid w:val="00823B9B"/>
    <w:rsid w:val="00826013"/>
    <w:rsid w:val="0082627D"/>
    <w:rsid w:val="00826C11"/>
    <w:rsid w:val="00827962"/>
    <w:rsid w:val="00827E97"/>
    <w:rsid w:val="00830713"/>
    <w:rsid w:val="00832A3B"/>
    <w:rsid w:val="008330EF"/>
    <w:rsid w:val="0083399D"/>
    <w:rsid w:val="00833A9C"/>
    <w:rsid w:val="00833C3C"/>
    <w:rsid w:val="00834AB3"/>
    <w:rsid w:val="0083537F"/>
    <w:rsid w:val="00835B75"/>
    <w:rsid w:val="008360FD"/>
    <w:rsid w:val="0083657F"/>
    <w:rsid w:val="00837DE9"/>
    <w:rsid w:val="00840196"/>
    <w:rsid w:val="008402AF"/>
    <w:rsid w:val="0084062A"/>
    <w:rsid w:val="00840E43"/>
    <w:rsid w:val="00841401"/>
    <w:rsid w:val="00843605"/>
    <w:rsid w:val="00843CBC"/>
    <w:rsid w:val="00843DCB"/>
    <w:rsid w:val="00843F22"/>
    <w:rsid w:val="008448F9"/>
    <w:rsid w:val="008452D6"/>
    <w:rsid w:val="00845F54"/>
    <w:rsid w:val="00847087"/>
    <w:rsid w:val="00847FA5"/>
    <w:rsid w:val="0085135A"/>
    <w:rsid w:val="00851884"/>
    <w:rsid w:val="00852701"/>
    <w:rsid w:val="00852AE4"/>
    <w:rsid w:val="00852C1A"/>
    <w:rsid w:val="00852E54"/>
    <w:rsid w:val="00852FC8"/>
    <w:rsid w:val="00854094"/>
    <w:rsid w:val="008545D5"/>
    <w:rsid w:val="00855D48"/>
    <w:rsid w:val="00855F77"/>
    <w:rsid w:val="00856FC1"/>
    <w:rsid w:val="008570DA"/>
    <w:rsid w:val="00857CC7"/>
    <w:rsid w:val="00857D4C"/>
    <w:rsid w:val="00857DD7"/>
    <w:rsid w:val="008605DF"/>
    <w:rsid w:val="00860E40"/>
    <w:rsid w:val="00862040"/>
    <w:rsid w:val="0086267F"/>
    <w:rsid w:val="00862897"/>
    <w:rsid w:val="008628EC"/>
    <w:rsid w:val="0086292F"/>
    <w:rsid w:val="008631D7"/>
    <w:rsid w:val="008636EE"/>
    <w:rsid w:val="0086467A"/>
    <w:rsid w:val="0086479E"/>
    <w:rsid w:val="00864D1E"/>
    <w:rsid w:val="0086769C"/>
    <w:rsid w:val="008677ED"/>
    <w:rsid w:val="00867B2A"/>
    <w:rsid w:val="00867DB1"/>
    <w:rsid w:val="00870961"/>
    <w:rsid w:val="00870B32"/>
    <w:rsid w:val="008739B0"/>
    <w:rsid w:val="00874011"/>
    <w:rsid w:val="00875BF7"/>
    <w:rsid w:val="008767A1"/>
    <w:rsid w:val="00876C4E"/>
    <w:rsid w:val="008770B8"/>
    <w:rsid w:val="00877218"/>
    <w:rsid w:val="008772DD"/>
    <w:rsid w:val="00877BF4"/>
    <w:rsid w:val="0088072C"/>
    <w:rsid w:val="00880BBE"/>
    <w:rsid w:val="00880D90"/>
    <w:rsid w:val="008811A6"/>
    <w:rsid w:val="00881EA4"/>
    <w:rsid w:val="00882B35"/>
    <w:rsid w:val="00882B3B"/>
    <w:rsid w:val="00882E6C"/>
    <w:rsid w:val="00882EED"/>
    <w:rsid w:val="00883F4A"/>
    <w:rsid w:val="00884166"/>
    <w:rsid w:val="00885B27"/>
    <w:rsid w:val="00886843"/>
    <w:rsid w:val="008869DB"/>
    <w:rsid w:val="00886E5A"/>
    <w:rsid w:val="00887726"/>
    <w:rsid w:val="00887833"/>
    <w:rsid w:val="00890A63"/>
    <w:rsid w:val="00890ACD"/>
    <w:rsid w:val="00890F30"/>
    <w:rsid w:val="00891398"/>
    <w:rsid w:val="0089234D"/>
    <w:rsid w:val="00892971"/>
    <w:rsid w:val="0089467A"/>
    <w:rsid w:val="00894C8F"/>
    <w:rsid w:val="00894D05"/>
    <w:rsid w:val="00895192"/>
    <w:rsid w:val="00895DBE"/>
    <w:rsid w:val="00895E53"/>
    <w:rsid w:val="00897288"/>
    <w:rsid w:val="008A0587"/>
    <w:rsid w:val="008A0FE7"/>
    <w:rsid w:val="008A16D5"/>
    <w:rsid w:val="008A1D25"/>
    <w:rsid w:val="008A21CE"/>
    <w:rsid w:val="008A2526"/>
    <w:rsid w:val="008A276C"/>
    <w:rsid w:val="008A2A50"/>
    <w:rsid w:val="008A3553"/>
    <w:rsid w:val="008A3A51"/>
    <w:rsid w:val="008A4055"/>
    <w:rsid w:val="008A5471"/>
    <w:rsid w:val="008A5676"/>
    <w:rsid w:val="008A5A30"/>
    <w:rsid w:val="008A6374"/>
    <w:rsid w:val="008A692E"/>
    <w:rsid w:val="008A72C3"/>
    <w:rsid w:val="008A76F6"/>
    <w:rsid w:val="008A7B27"/>
    <w:rsid w:val="008A7DA7"/>
    <w:rsid w:val="008B0359"/>
    <w:rsid w:val="008B093E"/>
    <w:rsid w:val="008B09C2"/>
    <w:rsid w:val="008B0B30"/>
    <w:rsid w:val="008B1F4D"/>
    <w:rsid w:val="008B2461"/>
    <w:rsid w:val="008B2C23"/>
    <w:rsid w:val="008B3C31"/>
    <w:rsid w:val="008B3F06"/>
    <w:rsid w:val="008B48B0"/>
    <w:rsid w:val="008B50A6"/>
    <w:rsid w:val="008B5DD4"/>
    <w:rsid w:val="008B5DD7"/>
    <w:rsid w:val="008B6969"/>
    <w:rsid w:val="008B6C1E"/>
    <w:rsid w:val="008B7C77"/>
    <w:rsid w:val="008B7DF6"/>
    <w:rsid w:val="008C0A58"/>
    <w:rsid w:val="008C1535"/>
    <w:rsid w:val="008C18C7"/>
    <w:rsid w:val="008C1B3D"/>
    <w:rsid w:val="008C1DCF"/>
    <w:rsid w:val="008C4DCF"/>
    <w:rsid w:val="008C5DDB"/>
    <w:rsid w:val="008C6853"/>
    <w:rsid w:val="008C73C2"/>
    <w:rsid w:val="008C7A23"/>
    <w:rsid w:val="008D0520"/>
    <w:rsid w:val="008D0CFE"/>
    <w:rsid w:val="008D0F76"/>
    <w:rsid w:val="008D11C0"/>
    <w:rsid w:val="008D194F"/>
    <w:rsid w:val="008D2FE8"/>
    <w:rsid w:val="008D3097"/>
    <w:rsid w:val="008D35ED"/>
    <w:rsid w:val="008D4328"/>
    <w:rsid w:val="008D4801"/>
    <w:rsid w:val="008D60D0"/>
    <w:rsid w:val="008D7C67"/>
    <w:rsid w:val="008E0F93"/>
    <w:rsid w:val="008E11A3"/>
    <w:rsid w:val="008E284F"/>
    <w:rsid w:val="008E2B11"/>
    <w:rsid w:val="008E2C35"/>
    <w:rsid w:val="008E332B"/>
    <w:rsid w:val="008E33D6"/>
    <w:rsid w:val="008E4EA6"/>
    <w:rsid w:val="008E5715"/>
    <w:rsid w:val="008E5AF2"/>
    <w:rsid w:val="008E6399"/>
    <w:rsid w:val="008E63F1"/>
    <w:rsid w:val="008E7080"/>
    <w:rsid w:val="008E77AE"/>
    <w:rsid w:val="008E7834"/>
    <w:rsid w:val="008F0723"/>
    <w:rsid w:val="008F11C5"/>
    <w:rsid w:val="008F122D"/>
    <w:rsid w:val="008F3174"/>
    <w:rsid w:val="008F7E19"/>
    <w:rsid w:val="009004AF"/>
    <w:rsid w:val="00900F43"/>
    <w:rsid w:val="009012D1"/>
    <w:rsid w:val="009041CD"/>
    <w:rsid w:val="009047C9"/>
    <w:rsid w:val="00905401"/>
    <w:rsid w:val="00905403"/>
    <w:rsid w:val="009058CF"/>
    <w:rsid w:val="009062D9"/>
    <w:rsid w:val="00906C05"/>
    <w:rsid w:val="0090776C"/>
    <w:rsid w:val="00907A0E"/>
    <w:rsid w:val="0091000F"/>
    <w:rsid w:val="00911372"/>
    <w:rsid w:val="009113F4"/>
    <w:rsid w:val="00911E31"/>
    <w:rsid w:val="00911F96"/>
    <w:rsid w:val="00912091"/>
    <w:rsid w:val="009121AE"/>
    <w:rsid w:val="009126F0"/>
    <w:rsid w:val="0091338F"/>
    <w:rsid w:val="009134C8"/>
    <w:rsid w:val="00914D4E"/>
    <w:rsid w:val="00915499"/>
    <w:rsid w:val="009171AD"/>
    <w:rsid w:val="00917213"/>
    <w:rsid w:val="009175A9"/>
    <w:rsid w:val="00920C58"/>
    <w:rsid w:val="00921525"/>
    <w:rsid w:val="0092155F"/>
    <w:rsid w:val="00921F76"/>
    <w:rsid w:val="009231F3"/>
    <w:rsid w:val="009242A4"/>
    <w:rsid w:val="00924388"/>
    <w:rsid w:val="009249B6"/>
    <w:rsid w:val="00924FAE"/>
    <w:rsid w:val="00925270"/>
    <w:rsid w:val="00926FB0"/>
    <w:rsid w:val="00927DA2"/>
    <w:rsid w:val="009323A4"/>
    <w:rsid w:val="00933A64"/>
    <w:rsid w:val="00934B11"/>
    <w:rsid w:val="00934B71"/>
    <w:rsid w:val="00934B87"/>
    <w:rsid w:val="00935015"/>
    <w:rsid w:val="0093507D"/>
    <w:rsid w:val="00935224"/>
    <w:rsid w:val="00936266"/>
    <w:rsid w:val="00936ADA"/>
    <w:rsid w:val="00936F7D"/>
    <w:rsid w:val="0093767F"/>
    <w:rsid w:val="00937FF9"/>
    <w:rsid w:val="009407FC"/>
    <w:rsid w:val="0094174C"/>
    <w:rsid w:val="00941BE7"/>
    <w:rsid w:val="009431FC"/>
    <w:rsid w:val="009449F2"/>
    <w:rsid w:val="00944B22"/>
    <w:rsid w:val="0094577D"/>
    <w:rsid w:val="00945BAA"/>
    <w:rsid w:val="009464CD"/>
    <w:rsid w:val="00947AC8"/>
    <w:rsid w:val="0095077E"/>
    <w:rsid w:val="00950BD6"/>
    <w:rsid w:val="0095103C"/>
    <w:rsid w:val="00951072"/>
    <w:rsid w:val="00951969"/>
    <w:rsid w:val="009528BA"/>
    <w:rsid w:val="00953942"/>
    <w:rsid w:val="009539E6"/>
    <w:rsid w:val="009545F5"/>
    <w:rsid w:val="009557AD"/>
    <w:rsid w:val="009557B1"/>
    <w:rsid w:val="00955FE7"/>
    <w:rsid w:val="009566AB"/>
    <w:rsid w:val="00956AB3"/>
    <w:rsid w:val="009572BA"/>
    <w:rsid w:val="0095748D"/>
    <w:rsid w:val="00957558"/>
    <w:rsid w:val="009576EA"/>
    <w:rsid w:val="009577E9"/>
    <w:rsid w:val="00957D9F"/>
    <w:rsid w:val="00960AAA"/>
    <w:rsid w:val="00960DE2"/>
    <w:rsid w:val="00961E9C"/>
    <w:rsid w:val="009624A1"/>
    <w:rsid w:val="009632C5"/>
    <w:rsid w:val="009635A6"/>
    <w:rsid w:val="009647EC"/>
    <w:rsid w:val="00967284"/>
    <w:rsid w:val="0096775C"/>
    <w:rsid w:val="009711B8"/>
    <w:rsid w:val="009719FB"/>
    <w:rsid w:val="00972192"/>
    <w:rsid w:val="00972664"/>
    <w:rsid w:val="00973C73"/>
    <w:rsid w:val="0097538D"/>
    <w:rsid w:val="00975E74"/>
    <w:rsid w:val="00976911"/>
    <w:rsid w:val="00977742"/>
    <w:rsid w:val="009806F0"/>
    <w:rsid w:val="00981181"/>
    <w:rsid w:val="009812FD"/>
    <w:rsid w:val="009813D5"/>
    <w:rsid w:val="009816C4"/>
    <w:rsid w:val="0098346B"/>
    <w:rsid w:val="00985A43"/>
    <w:rsid w:val="009860B9"/>
    <w:rsid w:val="00990B9A"/>
    <w:rsid w:val="00991165"/>
    <w:rsid w:val="00991306"/>
    <w:rsid w:val="00991FB7"/>
    <w:rsid w:val="00992060"/>
    <w:rsid w:val="009929EB"/>
    <w:rsid w:val="00992F75"/>
    <w:rsid w:val="00993080"/>
    <w:rsid w:val="00993543"/>
    <w:rsid w:val="00993B0E"/>
    <w:rsid w:val="00993B25"/>
    <w:rsid w:val="009940EE"/>
    <w:rsid w:val="0099413B"/>
    <w:rsid w:val="009941AE"/>
    <w:rsid w:val="009945AA"/>
    <w:rsid w:val="00994F4D"/>
    <w:rsid w:val="009958AC"/>
    <w:rsid w:val="00995936"/>
    <w:rsid w:val="00996BB4"/>
    <w:rsid w:val="009A0B3D"/>
    <w:rsid w:val="009A19F9"/>
    <w:rsid w:val="009A2199"/>
    <w:rsid w:val="009A26DA"/>
    <w:rsid w:val="009A2C4E"/>
    <w:rsid w:val="009A316A"/>
    <w:rsid w:val="009A3900"/>
    <w:rsid w:val="009A3AEF"/>
    <w:rsid w:val="009A410B"/>
    <w:rsid w:val="009A426B"/>
    <w:rsid w:val="009A5C27"/>
    <w:rsid w:val="009A5F5C"/>
    <w:rsid w:val="009A63AB"/>
    <w:rsid w:val="009A65CC"/>
    <w:rsid w:val="009A6776"/>
    <w:rsid w:val="009B0412"/>
    <w:rsid w:val="009B05E8"/>
    <w:rsid w:val="009B0F84"/>
    <w:rsid w:val="009B2761"/>
    <w:rsid w:val="009B3428"/>
    <w:rsid w:val="009B37BD"/>
    <w:rsid w:val="009B3D86"/>
    <w:rsid w:val="009B4360"/>
    <w:rsid w:val="009B4E51"/>
    <w:rsid w:val="009B5DF4"/>
    <w:rsid w:val="009B735C"/>
    <w:rsid w:val="009B76C6"/>
    <w:rsid w:val="009C05BE"/>
    <w:rsid w:val="009C0A4C"/>
    <w:rsid w:val="009C0D36"/>
    <w:rsid w:val="009C172B"/>
    <w:rsid w:val="009C18AE"/>
    <w:rsid w:val="009C1D95"/>
    <w:rsid w:val="009C2096"/>
    <w:rsid w:val="009C244F"/>
    <w:rsid w:val="009C276A"/>
    <w:rsid w:val="009C361A"/>
    <w:rsid w:val="009C3A47"/>
    <w:rsid w:val="009C4922"/>
    <w:rsid w:val="009C58CA"/>
    <w:rsid w:val="009C5E0F"/>
    <w:rsid w:val="009C6689"/>
    <w:rsid w:val="009C6DED"/>
    <w:rsid w:val="009C718C"/>
    <w:rsid w:val="009C73C3"/>
    <w:rsid w:val="009C7E54"/>
    <w:rsid w:val="009D21E6"/>
    <w:rsid w:val="009D2CED"/>
    <w:rsid w:val="009D2E31"/>
    <w:rsid w:val="009D38D0"/>
    <w:rsid w:val="009D396B"/>
    <w:rsid w:val="009D3BB9"/>
    <w:rsid w:val="009D3EBC"/>
    <w:rsid w:val="009D451B"/>
    <w:rsid w:val="009D4A51"/>
    <w:rsid w:val="009D54BF"/>
    <w:rsid w:val="009D6235"/>
    <w:rsid w:val="009D68C5"/>
    <w:rsid w:val="009D6B01"/>
    <w:rsid w:val="009E0547"/>
    <w:rsid w:val="009E087F"/>
    <w:rsid w:val="009E0ADF"/>
    <w:rsid w:val="009E0B56"/>
    <w:rsid w:val="009E0C9F"/>
    <w:rsid w:val="009E11AF"/>
    <w:rsid w:val="009E21FE"/>
    <w:rsid w:val="009E3BA3"/>
    <w:rsid w:val="009E55FE"/>
    <w:rsid w:val="009E6461"/>
    <w:rsid w:val="009E6669"/>
    <w:rsid w:val="009E6747"/>
    <w:rsid w:val="009F062F"/>
    <w:rsid w:val="009F2311"/>
    <w:rsid w:val="009F2575"/>
    <w:rsid w:val="009F25DB"/>
    <w:rsid w:val="009F308D"/>
    <w:rsid w:val="009F449D"/>
    <w:rsid w:val="009F5C8D"/>
    <w:rsid w:val="009F5E5E"/>
    <w:rsid w:val="009F6736"/>
    <w:rsid w:val="009F73B9"/>
    <w:rsid w:val="009F78CA"/>
    <w:rsid w:val="00A005FE"/>
    <w:rsid w:val="00A0084A"/>
    <w:rsid w:val="00A008B6"/>
    <w:rsid w:val="00A012B3"/>
    <w:rsid w:val="00A01F48"/>
    <w:rsid w:val="00A02297"/>
    <w:rsid w:val="00A0272F"/>
    <w:rsid w:val="00A03209"/>
    <w:rsid w:val="00A04B49"/>
    <w:rsid w:val="00A05A59"/>
    <w:rsid w:val="00A06161"/>
    <w:rsid w:val="00A064E7"/>
    <w:rsid w:val="00A065C7"/>
    <w:rsid w:val="00A07942"/>
    <w:rsid w:val="00A103DD"/>
    <w:rsid w:val="00A109A8"/>
    <w:rsid w:val="00A10DD1"/>
    <w:rsid w:val="00A11645"/>
    <w:rsid w:val="00A11E52"/>
    <w:rsid w:val="00A1209C"/>
    <w:rsid w:val="00A124F1"/>
    <w:rsid w:val="00A12914"/>
    <w:rsid w:val="00A13870"/>
    <w:rsid w:val="00A13C47"/>
    <w:rsid w:val="00A149EF"/>
    <w:rsid w:val="00A14A82"/>
    <w:rsid w:val="00A15392"/>
    <w:rsid w:val="00A15511"/>
    <w:rsid w:val="00A15712"/>
    <w:rsid w:val="00A16290"/>
    <w:rsid w:val="00A16484"/>
    <w:rsid w:val="00A16626"/>
    <w:rsid w:val="00A204AE"/>
    <w:rsid w:val="00A223B5"/>
    <w:rsid w:val="00A2274F"/>
    <w:rsid w:val="00A234CB"/>
    <w:rsid w:val="00A235CA"/>
    <w:rsid w:val="00A235D3"/>
    <w:rsid w:val="00A2485F"/>
    <w:rsid w:val="00A257FC"/>
    <w:rsid w:val="00A26FA0"/>
    <w:rsid w:val="00A301AA"/>
    <w:rsid w:val="00A30480"/>
    <w:rsid w:val="00A3049D"/>
    <w:rsid w:val="00A30E9C"/>
    <w:rsid w:val="00A321CD"/>
    <w:rsid w:val="00A32C7B"/>
    <w:rsid w:val="00A33128"/>
    <w:rsid w:val="00A3429B"/>
    <w:rsid w:val="00A35A71"/>
    <w:rsid w:val="00A35C38"/>
    <w:rsid w:val="00A36446"/>
    <w:rsid w:val="00A36D74"/>
    <w:rsid w:val="00A36EC6"/>
    <w:rsid w:val="00A37B99"/>
    <w:rsid w:val="00A4034A"/>
    <w:rsid w:val="00A4089B"/>
    <w:rsid w:val="00A41593"/>
    <w:rsid w:val="00A4183E"/>
    <w:rsid w:val="00A42118"/>
    <w:rsid w:val="00A44C64"/>
    <w:rsid w:val="00A45695"/>
    <w:rsid w:val="00A45B7F"/>
    <w:rsid w:val="00A466F9"/>
    <w:rsid w:val="00A478C6"/>
    <w:rsid w:val="00A479A5"/>
    <w:rsid w:val="00A501EE"/>
    <w:rsid w:val="00A5044E"/>
    <w:rsid w:val="00A50493"/>
    <w:rsid w:val="00A506AC"/>
    <w:rsid w:val="00A50BEB"/>
    <w:rsid w:val="00A50E84"/>
    <w:rsid w:val="00A518FC"/>
    <w:rsid w:val="00A52E0A"/>
    <w:rsid w:val="00A53B30"/>
    <w:rsid w:val="00A56BC6"/>
    <w:rsid w:val="00A57204"/>
    <w:rsid w:val="00A574A8"/>
    <w:rsid w:val="00A60D09"/>
    <w:rsid w:val="00A614C8"/>
    <w:rsid w:val="00A61594"/>
    <w:rsid w:val="00A62ED0"/>
    <w:rsid w:val="00A63C89"/>
    <w:rsid w:val="00A65750"/>
    <w:rsid w:val="00A658BB"/>
    <w:rsid w:val="00A66A3A"/>
    <w:rsid w:val="00A66D94"/>
    <w:rsid w:val="00A67372"/>
    <w:rsid w:val="00A6749B"/>
    <w:rsid w:val="00A701D3"/>
    <w:rsid w:val="00A70315"/>
    <w:rsid w:val="00A70A85"/>
    <w:rsid w:val="00A71909"/>
    <w:rsid w:val="00A7200E"/>
    <w:rsid w:val="00A7203A"/>
    <w:rsid w:val="00A724DC"/>
    <w:rsid w:val="00A73C59"/>
    <w:rsid w:val="00A74C57"/>
    <w:rsid w:val="00A752E0"/>
    <w:rsid w:val="00A75312"/>
    <w:rsid w:val="00A75544"/>
    <w:rsid w:val="00A759C8"/>
    <w:rsid w:val="00A75BAC"/>
    <w:rsid w:val="00A762C2"/>
    <w:rsid w:val="00A766DB"/>
    <w:rsid w:val="00A80423"/>
    <w:rsid w:val="00A80EE4"/>
    <w:rsid w:val="00A8218B"/>
    <w:rsid w:val="00A82CE5"/>
    <w:rsid w:val="00A841CF"/>
    <w:rsid w:val="00A8488C"/>
    <w:rsid w:val="00A84C55"/>
    <w:rsid w:val="00A854BA"/>
    <w:rsid w:val="00A86693"/>
    <w:rsid w:val="00A9012C"/>
    <w:rsid w:val="00A90667"/>
    <w:rsid w:val="00A90FC7"/>
    <w:rsid w:val="00A91BCD"/>
    <w:rsid w:val="00A91F90"/>
    <w:rsid w:val="00A92946"/>
    <w:rsid w:val="00A9339E"/>
    <w:rsid w:val="00A9518C"/>
    <w:rsid w:val="00A95FA1"/>
    <w:rsid w:val="00A97107"/>
    <w:rsid w:val="00A97D2D"/>
    <w:rsid w:val="00AA060D"/>
    <w:rsid w:val="00AA07E5"/>
    <w:rsid w:val="00AA15A2"/>
    <w:rsid w:val="00AA2D2A"/>
    <w:rsid w:val="00AA3115"/>
    <w:rsid w:val="00AA365B"/>
    <w:rsid w:val="00AA4DBD"/>
    <w:rsid w:val="00AA5585"/>
    <w:rsid w:val="00AA5B77"/>
    <w:rsid w:val="00AA6666"/>
    <w:rsid w:val="00AA67D9"/>
    <w:rsid w:val="00AA72F8"/>
    <w:rsid w:val="00AA783E"/>
    <w:rsid w:val="00AB0B3C"/>
    <w:rsid w:val="00AB0C40"/>
    <w:rsid w:val="00AB2783"/>
    <w:rsid w:val="00AB3CE8"/>
    <w:rsid w:val="00AB3EAA"/>
    <w:rsid w:val="00AB44AA"/>
    <w:rsid w:val="00AB44B2"/>
    <w:rsid w:val="00AB472D"/>
    <w:rsid w:val="00AB4DE8"/>
    <w:rsid w:val="00AB5C1B"/>
    <w:rsid w:val="00AB6084"/>
    <w:rsid w:val="00AB659F"/>
    <w:rsid w:val="00AB6D7B"/>
    <w:rsid w:val="00AB6DF9"/>
    <w:rsid w:val="00AB6FFE"/>
    <w:rsid w:val="00AB7141"/>
    <w:rsid w:val="00AB73C0"/>
    <w:rsid w:val="00AB7517"/>
    <w:rsid w:val="00AB7893"/>
    <w:rsid w:val="00AC042E"/>
    <w:rsid w:val="00AC0BC2"/>
    <w:rsid w:val="00AC0ECB"/>
    <w:rsid w:val="00AC1436"/>
    <w:rsid w:val="00AC193A"/>
    <w:rsid w:val="00AC1EAC"/>
    <w:rsid w:val="00AC2400"/>
    <w:rsid w:val="00AC279D"/>
    <w:rsid w:val="00AC2C0D"/>
    <w:rsid w:val="00AC2E86"/>
    <w:rsid w:val="00AC365B"/>
    <w:rsid w:val="00AC4C57"/>
    <w:rsid w:val="00AC5510"/>
    <w:rsid w:val="00AC58B5"/>
    <w:rsid w:val="00AC6261"/>
    <w:rsid w:val="00AC6BE5"/>
    <w:rsid w:val="00AC6CC1"/>
    <w:rsid w:val="00AC6D17"/>
    <w:rsid w:val="00AC6D7A"/>
    <w:rsid w:val="00AC7AB7"/>
    <w:rsid w:val="00AC7C99"/>
    <w:rsid w:val="00AD1C1F"/>
    <w:rsid w:val="00AD26F4"/>
    <w:rsid w:val="00AD3679"/>
    <w:rsid w:val="00AD37D5"/>
    <w:rsid w:val="00AD43A1"/>
    <w:rsid w:val="00AD56D2"/>
    <w:rsid w:val="00AD6721"/>
    <w:rsid w:val="00AD6A61"/>
    <w:rsid w:val="00AD6D61"/>
    <w:rsid w:val="00AD6F6B"/>
    <w:rsid w:val="00AD721F"/>
    <w:rsid w:val="00AD7985"/>
    <w:rsid w:val="00AE126B"/>
    <w:rsid w:val="00AE1757"/>
    <w:rsid w:val="00AE1811"/>
    <w:rsid w:val="00AE1AEA"/>
    <w:rsid w:val="00AE2237"/>
    <w:rsid w:val="00AE289B"/>
    <w:rsid w:val="00AE2B82"/>
    <w:rsid w:val="00AE326C"/>
    <w:rsid w:val="00AE3954"/>
    <w:rsid w:val="00AE3E63"/>
    <w:rsid w:val="00AE3EE7"/>
    <w:rsid w:val="00AE4AE7"/>
    <w:rsid w:val="00AE4CB8"/>
    <w:rsid w:val="00AE5602"/>
    <w:rsid w:val="00AE58D3"/>
    <w:rsid w:val="00AE5F1F"/>
    <w:rsid w:val="00AE61B5"/>
    <w:rsid w:val="00AE6E0E"/>
    <w:rsid w:val="00AE72D1"/>
    <w:rsid w:val="00AE7332"/>
    <w:rsid w:val="00AF0B6E"/>
    <w:rsid w:val="00AF1CCD"/>
    <w:rsid w:val="00AF25EE"/>
    <w:rsid w:val="00AF2888"/>
    <w:rsid w:val="00AF2C59"/>
    <w:rsid w:val="00AF3198"/>
    <w:rsid w:val="00AF3D2C"/>
    <w:rsid w:val="00AF41A0"/>
    <w:rsid w:val="00AF576F"/>
    <w:rsid w:val="00AF66DA"/>
    <w:rsid w:val="00AF69D4"/>
    <w:rsid w:val="00AF6AA4"/>
    <w:rsid w:val="00AF6D34"/>
    <w:rsid w:val="00AF7167"/>
    <w:rsid w:val="00B00E46"/>
    <w:rsid w:val="00B01AF8"/>
    <w:rsid w:val="00B02C39"/>
    <w:rsid w:val="00B04015"/>
    <w:rsid w:val="00B0467C"/>
    <w:rsid w:val="00B04DF0"/>
    <w:rsid w:val="00B06028"/>
    <w:rsid w:val="00B064D2"/>
    <w:rsid w:val="00B06536"/>
    <w:rsid w:val="00B06AC6"/>
    <w:rsid w:val="00B06B37"/>
    <w:rsid w:val="00B06B82"/>
    <w:rsid w:val="00B06D9E"/>
    <w:rsid w:val="00B078A4"/>
    <w:rsid w:val="00B106BB"/>
    <w:rsid w:val="00B10FC3"/>
    <w:rsid w:val="00B118BE"/>
    <w:rsid w:val="00B11EDC"/>
    <w:rsid w:val="00B125E7"/>
    <w:rsid w:val="00B13A31"/>
    <w:rsid w:val="00B13B53"/>
    <w:rsid w:val="00B15424"/>
    <w:rsid w:val="00B16070"/>
    <w:rsid w:val="00B1625B"/>
    <w:rsid w:val="00B16594"/>
    <w:rsid w:val="00B16A2E"/>
    <w:rsid w:val="00B1726E"/>
    <w:rsid w:val="00B20183"/>
    <w:rsid w:val="00B20918"/>
    <w:rsid w:val="00B20DE0"/>
    <w:rsid w:val="00B2175E"/>
    <w:rsid w:val="00B22299"/>
    <w:rsid w:val="00B23455"/>
    <w:rsid w:val="00B235CB"/>
    <w:rsid w:val="00B23EF7"/>
    <w:rsid w:val="00B243AB"/>
    <w:rsid w:val="00B2559E"/>
    <w:rsid w:val="00B25AA3"/>
    <w:rsid w:val="00B25C68"/>
    <w:rsid w:val="00B25D02"/>
    <w:rsid w:val="00B26346"/>
    <w:rsid w:val="00B27C9D"/>
    <w:rsid w:val="00B30714"/>
    <w:rsid w:val="00B3102D"/>
    <w:rsid w:val="00B326F3"/>
    <w:rsid w:val="00B33524"/>
    <w:rsid w:val="00B33791"/>
    <w:rsid w:val="00B3439F"/>
    <w:rsid w:val="00B348E7"/>
    <w:rsid w:val="00B3584E"/>
    <w:rsid w:val="00B35DDB"/>
    <w:rsid w:val="00B35FDD"/>
    <w:rsid w:val="00B36B6F"/>
    <w:rsid w:val="00B371AA"/>
    <w:rsid w:val="00B373B3"/>
    <w:rsid w:val="00B37BB7"/>
    <w:rsid w:val="00B37BCD"/>
    <w:rsid w:val="00B40445"/>
    <w:rsid w:val="00B424AB"/>
    <w:rsid w:val="00B42853"/>
    <w:rsid w:val="00B44B37"/>
    <w:rsid w:val="00B44F9F"/>
    <w:rsid w:val="00B45524"/>
    <w:rsid w:val="00B4598A"/>
    <w:rsid w:val="00B46784"/>
    <w:rsid w:val="00B46999"/>
    <w:rsid w:val="00B4709F"/>
    <w:rsid w:val="00B47157"/>
    <w:rsid w:val="00B47200"/>
    <w:rsid w:val="00B475F1"/>
    <w:rsid w:val="00B502AD"/>
    <w:rsid w:val="00B5037A"/>
    <w:rsid w:val="00B5037E"/>
    <w:rsid w:val="00B50DDE"/>
    <w:rsid w:val="00B52941"/>
    <w:rsid w:val="00B5304E"/>
    <w:rsid w:val="00B539FA"/>
    <w:rsid w:val="00B540BD"/>
    <w:rsid w:val="00B543F6"/>
    <w:rsid w:val="00B54525"/>
    <w:rsid w:val="00B54B78"/>
    <w:rsid w:val="00B550D2"/>
    <w:rsid w:val="00B5579D"/>
    <w:rsid w:val="00B56100"/>
    <w:rsid w:val="00B57BC6"/>
    <w:rsid w:val="00B6063F"/>
    <w:rsid w:val="00B60BDF"/>
    <w:rsid w:val="00B60E75"/>
    <w:rsid w:val="00B60EED"/>
    <w:rsid w:val="00B61236"/>
    <w:rsid w:val="00B6237B"/>
    <w:rsid w:val="00B6403A"/>
    <w:rsid w:val="00B645CD"/>
    <w:rsid w:val="00B647D9"/>
    <w:rsid w:val="00B65605"/>
    <w:rsid w:val="00B6587D"/>
    <w:rsid w:val="00B658FE"/>
    <w:rsid w:val="00B66539"/>
    <w:rsid w:val="00B66632"/>
    <w:rsid w:val="00B673D8"/>
    <w:rsid w:val="00B67436"/>
    <w:rsid w:val="00B708AF"/>
    <w:rsid w:val="00B71262"/>
    <w:rsid w:val="00B725E8"/>
    <w:rsid w:val="00B73014"/>
    <w:rsid w:val="00B740D5"/>
    <w:rsid w:val="00B746CD"/>
    <w:rsid w:val="00B747DF"/>
    <w:rsid w:val="00B753EC"/>
    <w:rsid w:val="00B75BFD"/>
    <w:rsid w:val="00B7661F"/>
    <w:rsid w:val="00B76C21"/>
    <w:rsid w:val="00B76FE0"/>
    <w:rsid w:val="00B77108"/>
    <w:rsid w:val="00B77445"/>
    <w:rsid w:val="00B80690"/>
    <w:rsid w:val="00B8175A"/>
    <w:rsid w:val="00B818E9"/>
    <w:rsid w:val="00B81A86"/>
    <w:rsid w:val="00B82350"/>
    <w:rsid w:val="00B83ACB"/>
    <w:rsid w:val="00B84377"/>
    <w:rsid w:val="00B84518"/>
    <w:rsid w:val="00B85627"/>
    <w:rsid w:val="00B85CC9"/>
    <w:rsid w:val="00B8617A"/>
    <w:rsid w:val="00B87554"/>
    <w:rsid w:val="00B87643"/>
    <w:rsid w:val="00B90BAF"/>
    <w:rsid w:val="00B90D14"/>
    <w:rsid w:val="00B92585"/>
    <w:rsid w:val="00B926DC"/>
    <w:rsid w:val="00B93032"/>
    <w:rsid w:val="00B9322F"/>
    <w:rsid w:val="00B935B9"/>
    <w:rsid w:val="00B93718"/>
    <w:rsid w:val="00B959EE"/>
    <w:rsid w:val="00B95F41"/>
    <w:rsid w:val="00B960DF"/>
    <w:rsid w:val="00B961B9"/>
    <w:rsid w:val="00B9691A"/>
    <w:rsid w:val="00B96BE1"/>
    <w:rsid w:val="00B96CC9"/>
    <w:rsid w:val="00B97DE2"/>
    <w:rsid w:val="00BA0058"/>
    <w:rsid w:val="00BA010C"/>
    <w:rsid w:val="00BA095C"/>
    <w:rsid w:val="00BA0D26"/>
    <w:rsid w:val="00BA23A1"/>
    <w:rsid w:val="00BA23BE"/>
    <w:rsid w:val="00BA266D"/>
    <w:rsid w:val="00BA3917"/>
    <w:rsid w:val="00BA4674"/>
    <w:rsid w:val="00BA4DF9"/>
    <w:rsid w:val="00BA576A"/>
    <w:rsid w:val="00BA62C5"/>
    <w:rsid w:val="00BA6E6A"/>
    <w:rsid w:val="00BA7A8B"/>
    <w:rsid w:val="00BA7E8A"/>
    <w:rsid w:val="00BB0826"/>
    <w:rsid w:val="00BB0FDB"/>
    <w:rsid w:val="00BB1700"/>
    <w:rsid w:val="00BB2A6D"/>
    <w:rsid w:val="00BB3376"/>
    <w:rsid w:val="00BB34F9"/>
    <w:rsid w:val="00BB38D1"/>
    <w:rsid w:val="00BB3EB4"/>
    <w:rsid w:val="00BB4C13"/>
    <w:rsid w:val="00BB4FFF"/>
    <w:rsid w:val="00BB5479"/>
    <w:rsid w:val="00BB5820"/>
    <w:rsid w:val="00BB5CCE"/>
    <w:rsid w:val="00BB5D61"/>
    <w:rsid w:val="00BB6215"/>
    <w:rsid w:val="00BB6638"/>
    <w:rsid w:val="00BB6CAB"/>
    <w:rsid w:val="00BB7934"/>
    <w:rsid w:val="00BC1538"/>
    <w:rsid w:val="00BC1912"/>
    <w:rsid w:val="00BC1EAC"/>
    <w:rsid w:val="00BC254D"/>
    <w:rsid w:val="00BC3175"/>
    <w:rsid w:val="00BC3523"/>
    <w:rsid w:val="00BC52CB"/>
    <w:rsid w:val="00BC654B"/>
    <w:rsid w:val="00BC6B43"/>
    <w:rsid w:val="00BC7CB8"/>
    <w:rsid w:val="00BC7DAF"/>
    <w:rsid w:val="00BD0BB9"/>
    <w:rsid w:val="00BD0D0A"/>
    <w:rsid w:val="00BD1890"/>
    <w:rsid w:val="00BD2D25"/>
    <w:rsid w:val="00BD3FC7"/>
    <w:rsid w:val="00BD513C"/>
    <w:rsid w:val="00BD5DC5"/>
    <w:rsid w:val="00BD5F31"/>
    <w:rsid w:val="00BD6F41"/>
    <w:rsid w:val="00BD70AC"/>
    <w:rsid w:val="00BE0105"/>
    <w:rsid w:val="00BE01E9"/>
    <w:rsid w:val="00BE02B8"/>
    <w:rsid w:val="00BE0AAC"/>
    <w:rsid w:val="00BE0E7A"/>
    <w:rsid w:val="00BE373C"/>
    <w:rsid w:val="00BE39DB"/>
    <w:rsid w:val="00BE41B7"/>
    <w:rsid w:val="00BE5441"/>
    <w:rsid w:val="00BE5D8D"/>
    <w:rsid w:val="00BE6138"/>
    <w:rsid w:val="00BE753F"/>
    <w:rsid w:val="00BF00FB"/>
    <w:rsid w:val="00BF02F6"/>
    <w:rsid w:val="00BF084F"/>
    <w:rsid w:val="00BF0EA0"/>
    <w:rsid w:val="00BF11C9"/>
    <w:rsid w:val="00BF1472"/>
    <w:rsid w:val="00BF1B75"/>
    <w:rsid w:val="00BF1C5C"/>
    <w:rsid w:val="00BF2FF9"/>
    <w:rsid w:val="00BF3937"/>
    <w:rsid w:val="00BF3968"/>
    <w:rsid w:val="00BF42CE"/>
    <w:rsid w:val="00BF56D5"/>
    <w:rsid w:val="00BF5865"/>
    <w:rsid w:val="00BF67C4"/>
    <w:rsid w:val="00BF68A0"/>
    <w:rsid w:val="00BF74BC"/>
    <w:rsid w:val="00BF77A7"/>
    <w:rsid w:val="00BF79B8"/>
    <w:rsid w:val="00BF7F9E"/>
    <w:rsid w:val="00C001F1"/>
    <w:rsid w:val="00C004C1"/>
    <w:rsid w:val="00C00B5D"/>
    <w:rsid w:val="00C00C20"/>
    <w:rsid w:val="00C00DFC"/>
    <w:rsid w:val="00C01736"/>
    <w:rsid w:val="00C01911"/>
    <w:rsid w:val="00C01E27"/>
    <w:rsid w:val="00C02228"/>
    <w:rsid w:val="00C02307"/>
    <w:rsid w:val="00C02DAD"/>
    <w:rsid w:val="00C042DF"/>
    <w:rsid w:val="00C04FFC"/>
    <w:rsid w:val="00C05414"/>
    <w:rsid w:val="00C079FE"/>
    <w:rsid w:val="00C10778"/>
    <w:rsid w:val="00C10AD5"/>
    <w:rsid w:val="00C1304F"/>
    <w:rsid w:val="00C13B82"/>
    <w:rsid w:val="00C14B1A"/>
    <w:rsid w:val="00C15A38"/>
    <w:rsid w:val="00C15C63"/>
    <w:rsid w:val="00C15CCC"/>
    <w:rsid w:val="00C1675A"/>
    <w:rsid w:val="00C1732A"/>
    <w:rsid w:val="00C20029"/>
    <w:rsid w:val="00C205FA"/>
    <w:rsid w:val="00C2196F"/>
    <w:rsid w:val="00C21EE0"/>
    <w:rsid w:val="00C22F82"/>
    <w:rsid w:val="00C2428B"/>
    <w:rsid w:val="00C25866"/>
    <w:rsid w:val="00C258B1"/>
    <w:rsid w:val="00C26B69"/>
    <w:rsid w:val="00C27046"/>
    <w:rsid w:val="00C277A8"/>
    <w:rsid w:val="00C27A54"/>
    <w:rsid w:val="00C32822"/>
    <w:rsid w:val="00C337A0"/>
    <w:rsid w:val="00C341A0"/>
    <w:rsid w:val="00C35900"/>
    <w:rsid w:val="00C3722B"/>
    <w:rsid w:val="00C4065D"/>
    <w:rsid w:val="00C4143B"/>
    <w:rsid w:val="00C41C13"/>
    <w:rsid w:val="00C43DFF"/>
    <w:rsid w:val="00C46297"/>
    <w:rsid w:val="00C46A93"/>
    <w:rsid w:val="00C470F0"/>
    <w:rsid w:val="00C473EA"/>
    <w:rsid w:val="00C47F11"/>
    <w:rsid w:val="00C50260"/>
    <w:rsid w:val="00C509D1"/>
    <w:rsid w:val="00C514A1"/>
    <w:rsid w:val="00C516F8"/>
    <w:rsid w:val="00C528D1"/>
    <w:rsid w:val="00C52A57"/>
    <w:rsid w:val="00C52AE8"/>
    <w:rsid w:val="00C52EF6"/>
    <w:rsid w:val="00C531DF"/>
    <w:rsid w:val="00C5387D"/>
    <w:rsid w:val="00C53C85"/>
    <w:rsid w:val="00C54BDB"/>
    <w:rsid w:val="00C55F17"/>
    <w:rsid w:val="00C56532"/>
    <w:rsid w:val="00C56ACF"/>
    <w:rsid w:val="00C571BC"/>
    <w:rsid w:val="00C57B8D"/>
    <w:rsid w:val="00C60807"/>
    <w:rsid w:val="00C60A1C"/>
    <w:rsid w:val="00C615DA"/>
    <w:rsid w:val="00C621A0"/>
    <w:rsid w:val="00C62AB8"/>
    <w:rsid w:val="00C62CF3"/>
    <w:rsid w:val="00C64576"/>
    <w:rsid w:val="00C6491C"/>
    <w:rsid w:val="00C64BCA"/>
    <w:rsid w:val="00C64D1E"/>
    <w:rsid w:val="00C650F0"/>
    <w:rsid w:val="00C65542"/>
    <w:rsid w:val="00C65FF2"/>
    <w:rsid w:val="00C667F6"/>
    <w:rsid w:val="00C670F1"/>
    <w:rsid w:val="00C67FAC"/>
    <w:rsid w:val="00C70A22"/>
    <w:rsid w:val="00C70E62"/>
    <w:rsid w:val="00C71581"/>
    <w:rsid w:val="00C717C1"/>
    <w:rsid w:val="00C722BD"/>
    <w:rsid w:val="00C72511"/>
    <w:rsid w:val="00C725EA"/>
    <w:rsid w:val="00C7326D"/>
    <w:rsid w:val="00C738AF"/>
    <w:rsid w:val="00C73B6E"/>
    <w:rsid w:val="00C73D0C"/>
    <w:rsid w:val="00C7425A"/>
    <w:rsid w:val="00C7458A"/>
    <w:rsid w:val="00C74E02"/>
    <w:rsid w:val="00C74F12"/>
    <w:rsid w:val="00C74FE3"/>
    <w:rsid w:val="00C7506F"/>
    <w:rsid w:val="00C750AB"/>
    <w:rsid w:val="00C75486"/>
    <w:rsid w:val="00C75642"/>
    <w:rsid w:val="00C75737"/>
    <w:rsid w:val="00C75EF7"/>
    <w:rsid w:val="00C76181"/>
    <w:rsid w:val="00C764DB"/>
    <w:rsid w:val="00C764F3"/>
    <w:rsid w:val="00C767F0"/>
    <w:rsid w:val="00C76A08"/>
    <w:rsid w:val="00C76DAB"/>
    <w:rsid w:val="00C803CF"/>
    <w:rsid w:val="00C80690"/>
    <w:rsid w:val="00C808F9"/>
    <w:rsid w:val="00C818F2"/>
    <w:rsid w:val="00C81C56"/>
    <w:rsid w:val="00C828E4"/>
    <w:rsid w:val="00C82C1A"/>
    <w:rsid w:val="00C840E3"/>
    <w:rsid w:val="00C8480F"/>
    <w:rsid w:val="00C852D6"/>
    <w:rsid w:val="00C8634A"/>
    <w:rsid w:val="00C86886"/>
    <w:rsid w:val="00C874B9"/>
    <w:rsid w:val="00C879B5"/>
    <w:rsid w:val="00C879F5"/>
    <w:rsid w:val="00C87D15"/>
    <w:rsid w:val="00C87F69"/>
    <w:rsid w:val="00C904CA"/>
    <w:rsid w:val="00C90EA0"/>
    <w:rsid w:val="00C91A02"/>
    <w:rsid w:val="00C91A32"/>
    <w:rsid w:val="00C92140"/>
    <w:rsid w:val="00C93A24"/>
    <w:rsid w:val="00C94685"/>
    <w:rsid w:val="00C94737"/>
    <w:rsid w:val="00C95582"/>
    <w:rsid w:val="00C9563C"/>
    <w:rsid w:val="00C957B9"/>
    <w:rsid w:val="00C9648D"/>
    <w:rsid w:val="00C96680"/>
    <w:rsid w:val="00C9723C"/>
    <w:rsid w:val="00CA0615"/>
    <w:rsid w:val="00CA26EF"/>
    <w:rsid w:val="00CA2B48"/>
    <w:rsid w:val="00CA3E70"/>
    <w:rsid w:val="00CA3FBA"/>
    <w:rsid w:val="00CA42F9"/>
    <w:rsid w:val="00CA55FE"/>
    <w:rsid w:val="00CA647C"/>
    <w:rsid w:val="00CA6F0A"/>
    <w:rsid w:val="00CA720B"/>
    <w:rsid w:val="00CA7485"/>
    <w:rsid w:val="00CA7890"/>
    <w:rsid w:val="00CA7984"/>
    <w:rsid w:val="00CA7C71"/>
    <w:rsid w:val="00CB0A01"/>
    <w:rsid w:val="00CB0AA3"/>
    <w:rsid w:val="00CB1430"/>
    <w:rsid w:val="00CB22B1"/>
    <w:rsid w:val="00CB2D52"/>
    <w:rsid w:val="00CB3159"/>
    <w:rsid w:val="00CB357E"/>
    <w:rsid w:val="00CB3642"/>
    <w:rsid w:val="00CB41A7"/>
    <w:rsid w:val="00CB4B35"/>
    <w:rsid w:val="00CB50BF"/>
    <w:rsid w:val="00CB52C8"/>
    <w:rsid w:val="00CB54A3"/>
    <w:rsid w:val="00CB5AD4"/>
    <w:rsid w:val="00CB70C8"/>
    <w:rsid w:val="00CB758D"/>
    <w:rsid w:val="00CC058C"/>
    <w:rsid w:val="00CC0BC7"/>
    <w:rsid w:val="00CC1169"/>
    <w:rsid w:val="00CC13AB"/>
    <w:rsid w:val="00CC1E7B"/>
    <w:rsid w:val="00CC211A"/>
    <w:rsid w:val="00CC30C9"/>
    <w:rsid w:val="00CC3800"/>
    <w:rsid w:val="00CC3E5A"/>
    <w:rsid w:val="00CC51CE"/>
    <w:rsid w:val="00CC54AC"/>
    <w:rsid w:val="00CC696D"/>
    <w:rsid w:val="00CC76BF"/>
    <w:rsid w:val="00CC78FD"/>
    <w:rsid w:val="00CD0750"/>
    <w:rsid w:val="00CD1B64"/>
    <w:rsid w:val="00CD2DA7"/>
    <w:rsid w:val="00CD43AB"/>
    <w:rsid w:val="00CD4AD6"/>
    <w:rsid w:val="00CD4B93"/>
    <w:rsid w:val="00CD50E8"/>
    <w:rsid w:val="00CD5180"/>
    <w:rsid w:val="00CD5E33"/>
    <w:rsid w:val="00CE009B"/>
    <w:rsid w:val="00CE04EA"/>
    <w:rsid w:val="00CE09AD"/>
    <w:rsid w:val="00CE146B"/>
    <w:rsid w:val="00CE2068"/>
    <w:rsid w:val="00CE36A3"/>
    <w:rsid w:val="00CE49AF"/>
    <w:rsid w:val="00CE5265"/>
    <w:rsid w:val="00CE52C4"/>
    <w:rsid w:val="00CE5377"/>
    <w:rsid w:val="00CE57B3"/>
    <w:rsid w:val="00CE5A7A"/>
    <w:rsid w:val="00CE6DFA"/>
    <w:rsid w:val="00CE6F97"/>
    <w:rsid w:val="00CE7C5E"/>
    <w:rsid w:val="00CF0878"/>
    <w:rsid w:val="00CF1262"/>
    <w:rsid w:val="00CF1FA3"/>
    <w:rsid w:val="00CF30C0"/>
    <w:rsid w:val="00CF33DC"/>
    <w:rsid w:val="00CF4145"/>
    <w:rsid w:val="00CF5255"/>
    <w:rsid w:val="00CF5447"/>
    <w:rsid w:val="00CF5619"/>
    <w:rsid w:val="00CF57AE"/>
    <w:rsid w:val="00CF58E7"/>
    <w:rsid w:val="00CF5FB4"/>
    <w:rsid w:val="00CF69DE"/>
    <w:rsid w:val="00CF6BE4"/>
    <w:rsid w:val="00D0077C"/>
    <w:rsid w:val="00D01DB2"/>
    <w:rsid w:val="00D01E01"/>
    <w:rsid w:val="00D02ED7"/>
    <w:rsid w:val="00D044AE"/>
    <w:rsid w:val="00D07613"/>
    <w:rsid w:val="00D10510"/>
    <w:rsid w:val="00D10853"/>
    <w:rsid w:val="00D1136B"/>
    <w:rsid w:val="00D11773"/>
    <w:rsid w:val="00D11AD5"/>
    <w:rsid w:val="00D11CA6"/>
    <w:rsid w:val="00D12097"/>
    <w:rsid w:val="00D126D2"/>
    <w:rsid w:val="00D12A5D"/>
    <w:rsid w:val="00D12AC8"/>
    <w:rsid w:val="00D13AFE"/>
    <w:rsid w:val="00D143C4"/>
    <w:rsid w:val="00D149DA"/>
    <w:rsid w:val="00D14F94"/>
    <w:rsid w:val="00D15017"/>
    <w:rsid w:val="00D150D6"/>
    <w:rsid w:val="00D152C5"/>
    <w:rsid w:val="00D15B7E"/>
    <w:rsid w:val="00D15E86"/>
    <w:rsid w:val="00D16326"/>
    <w:rsid w:val="00D2068B"/>
    <w:rsid w:val="00D209F3"/>
    <w:rsid w:val="00D20F45"/>
    <w:rsid w:val="00D21257"/>
    <w:rsid w:val="00D2129C"/>
    <w:rsid w:val="00D21BE6"/>
    <w:rsid w:val="00D21CBC"/>
    <w:rsid w:val="00D21FBD"/>
    <w:rsid w:val="00D220C7"/>
    <w:rsid w:val="00D22538"/>
    <w:rsid w:val="00D22A2E"/>
    <w:rsid w:val="00D237BF"/>
    <w:rsid w:val="00D24048"/>
    <w:rsid w:val="00D24312"/>
    <w:rsid w:val="00D24882"/>
    <w:rsid w:val="00D24FEC"/>
    <w:rsid w:val="00D2603A"/>
    <w:rsid w:val="00D26331"/>
    <w:rsid w:val="00D26EDD"/>
    <w:rsid w:val="00D26FCA"/>
    <w:rsid w:val="00D27C24"/>
    <w:rsid w:val="00D30566"/>
    <w:rsid w:val="00D30B59"/>
    <w:rsid w:val="00D30D38"/>
    <w:rsid w:val="00D327F0"/>
    <w:rsid w:val="00D33046"/>
    <w:rsid w:val="00D337BE"/>
    <w:rsid w:val="00D3390C"/>
    <w:rsid w:val="00D33AA5"/>
    <w:rsid w:val="00D34410"/>
    <w:rsid w:val="00D34ABB"/>
    <w:rsid w:val="00D34EEF"/>
    <w:rsid w:val="00D3558F"/>
    <w:rsid w:val="00D3720C"/>
    <w:rsid w:val="00D3756D"/>
    <w:rsid w:val="00D40020"/>
    <w:rsid w:val="00D4020E"/>
    <w:rsid w:val="00D408CF"/>
    <w:rsid w:val="00D41961"/>
    <w:rsid w:val="00D43E72"/>
    <w:rsid w:val="00D45B32"/>
    <w:rsid w:val="00D47116"/>
    <w:rsid w:val="00D47FF3"/>
    <w:rsid w:val="00D508CA"/>
    <w:rsid w:val="00D5097C"/>
    <w:rsid w:val="00D51338"/>
    <w:rsid w:val="00D51A75"/>
    <w:rsid w:val="00D52E56"/>
    <w:rsid w:val="00D52EFB"/>
    <w:rsid w:val="00D55CF0"/>
    <w:rsid w:val="00D56B2C"/>
    <w:rsid w:val="00D56FBA"/>
    <w:rsid w:val="00D57408"/>
    <w:rsid w:val="00D57607"/>
    <w:rsid w:val="00D57EA5"/>
    <w:rsid w:val="00D6095A"/>
    <w:rsid w:val="00D60A68"/>
    <w:rsid w:val="00D60C00"/>
    <w:rsid w:val="00D62726"/>
    <w:rsid w:val="00D62BA5"/>
    <w:rsid w:val="00D65754"/>
    <w:rsid w:val="00D666CF"/>
    <w:rsid w:val="00D66749"/>
    <w:rsid w:val="00D6692B"/>
    <w:rsid w:val="00D6693A"/>
    <w:rsid w:val="00D66ED7"/>
    <w:rsid w:val="00D70FCE"/>
    <w:rsid w:val="00D7131B"/>
    <w:rsid w:val="00D722BD"/>
    <w:rsid w:val="00D7377B"/>
    <w:rsid w:val="00D73AFE"/>
    <w:rsid w:val="00D74F1B"/>
    <w:rsid w:val="00D74F83"/>
    <w:rsid w:val="00D75BA0"/>
    <w:rsid w:val="00D7611D"/>
    <w:rsid w:val="00D7762F"/>
    <w:rsid w:val="00D80DA5"/>
    <w:rsid w:val="00D81003"/>
    <w:rsid w:val="00D81447"/>
    <w:rsid w:val="00D8181D"/>
    <w:rsid w:val="00D82813"/>
    <w:rsid w:val="00D82AC6"/>
    <w:rsid w:val="00D840CB"/>
    <w:rsid w:val="00D84F08"/>
    <w:rsid w:val="00D84F38"/>
    <w:rsid w:val="00D85699"/>
    <w:rsid w:val="00D85B2F"/>
    <w:rsid w:val="00D861A2"/>
    <w:rsid w:val="00D86B7C"/>
    <w:rsid w:val="00D86C94"/>
    <w:rsid w:val="00D90FDA"/>
    <w:rsid w:val="00D917F9"/>
    <w:rsid w:val="00D92564"/>
    <w:rsid w:val="00D926FA"/>
    <w:rsid w:val="00D93556"/>
    <w:rsid w:val="00D94457"/>
    <w:rsid w:val="00D95480"/>
    <w:rsid w:val="00D95608"/>
    <w:rsid w:val="00D958C0"/>
    <w:rsid w:val="00D9614A"/>
    <w:rsid w:val="00DA0133"/>
    <w:rsid w:val="00DA113B"/>
    <w:rsid w:val="00DA1220"/>
    <w:rsid w:val="00DA16F4"/>
    <w:rsid w:val="00DA223E"/>
    <w:rsid w:val="00DA2278"/>
    <w:rsid w:val="00DA271E"/>
    <w:rsid w:val="00DA2DBF"/>
    <w:rsid w:val="00DA313C"/>
    <w:rsid w:val="00DA46CB"/>
    <w:rsid w:val="00DA5140"/>
    <w:rsid w:val="00DA51FD"/>
    <w:rsid w:val="00DA539E"/>
    <w:rsid w:val="00DA5684"/>
    <w:rsid w:val="00DA5A72"/>
    <w:rsid w:val="00DA5F64"/>
    <w:rsid w:val="00DA6152"/>
    <w:rsid w:val="00DA629C"/>
    <w:rsid w:val="00DA63D1"/>
    <w:rsid w:val="00DA69B9"/>
    <w:rsid w:val="00DA728C"/>
    <w:rsid w:val="00DB0018"/>
    <w:rsid w:val="00DB02CD"/>
    <w:rsid w:val="00DB0428"/>
    <w:rsid w:val="00DB1B00"/>
    <w:rsid w:val="00DB1D68"/>
    <w:rsid w:val="00DB1EB5"/>
    <w:rsid w:val="00DB2967"/>
    <w:rsid w:val="00DB32C0"/>
    <w:rsid w:val="00DB3352"/>
    <w:rsid w:val="00DB3D02"/>
    <w:rsid w:val="00DB5DB2"/>
    <w:rsid w:val="00DB662A"/>
    <w:rsid w:val="00DB67CE"/>
    <w:rsid w:val="00DB69AF"/>
    <w:rsid w:val="00DB71B9"/>
    <w:rsid w:val="00DB7ED2"/>
    <w:rsid w:val="00DC09BB"/>
    <w:rsid w:val="00DC11C3"/>
    <w:rsid w:val="00DC17A2"/>
    <w:rsid w:val="00DC1D48"/>
    <w:rsid w:val="00DC1FA8"/>
    <w:rsid w:val="00DC2125"/>
    <w:rsid w:val="00DC2CFA"/>
    <w:rsid w:val="00DC2DC3"/>
    <w:rsid w:val="00DC3BC1"/>
    <w:rsid w:val="00DC5C40"/>
    <w:rsid w:val="00DC6164"/>
    <w:rsid w:val="00DC63C0"/>
    <w:rsid w:val="00DC66E8"/>
    <w:rsid w:val="00DC6A7A"/>
    <w:rsid w:val="00DC6CF6"/>
    <w:rsid w:val="00DC7034"/>
    <w:rsid w:val="00DC75B2"/>
    <w:rsid w:val="00DC76F9"/>
    <w:rsid w:val="00DC7890"/>
    <w:rsid w:val="00DC7A68"/>
    <w:rsid w:val="00DD03CF"/>
    <w:rsid w:val="00DD2495"/>
    <w:rsid w:val="00DD35EA"/>
    <w:rsid w:val="00DD3686"/>
    <w:rsid w:val="00DD378C"/>
    <w:rsid w:val="00DD3E88"/>
    <w:rsid w:val="00DD3EDB"/>
    <w:rsid w:val="00DD5114"/>
    <w:rsid w:val="00DD5248"/>
    <w:rsid w:val="00DD5479"/>
    <w:rsid w:val="00DD5F43"/>
    <w:rsid w:val="00DD707F"/>
    <w:rsid w:val="00DD7271"/>
    <w:rsid w:val="00DD78B2"/>
    <w:rsid w:val="00DD792D"/>
    <w:rsid w:val="00DE015B"/>
    <w:rsid w:val="00DE0C57"/>
    <w:rsid w:val="00DE1410"/>
    <w:rsid w:val="00DE26B7"/>
    <w:rsid w:val="00DE2E7A"/>
    <w:rsid w:val="00DE3186"/>
    <w:rsid w:val="00DE3492"/>
    <w:rsid w:val="00DE3946"/>
    <w:rsid w:val="00DE3CD1"/>
    <w:rsid w:val="00DE41EA"/>
    <w:rsid w:val="00DE47E0"/>
    <w:rsid w:val="00DE6026"/>
    <w:rsid w:val="00DE6116"/>
    <w:rsid w:val="00DE6821"/>
    <w:rsid w:val="00DE6AF9"/>
    <w:rsid w:val="00DE6E27"/>
    <w:rsid w:val="00DE7739"/>
    <w:rsid w:val="00DF0396"/>
    <w:rsid w:val="00DF0888"/>
    <w:rsid w:val="00DF21D9"/>
    <w:rsid w:val="00DF23EF"/>
    <w:rsid w:val="00DF2C18"/>
    <w:rsid w:val="00DF3D79"/>
    <w:rsid w:val="00DF47EE"/>
    <w:rsid w:val="00DF502B"/>
    <w:rsid w:val="00DF54BB"/>
    <w:rsid w:val="00DF62E0"/>
    <w:rsid w:val="00DF7435"/>
    <w:rsid w:val="00DF7D77"/>
    <w:rsid w:val="00E00060"/>
    <w:rsid w:val="00E000A7"/>
    <w:rsid w:val="00E00431"/>
    <w:rsid w:val="00E00507"/>
    <w:rsid w:val="00E006F4"/>
    <w:rsid w:val="00E00CC8"/>
    <w:rsid w:val="00E00E12"/>
    <w:rsid w:val="00E00FD3"/>
    <w:rsid w:val="00E0376B"/>
    <w:rsid w:val="00E04254"/>
    <w:rsid w:val="00E0594F"/>
    <w:rsid w:val="00E06166"/>
    <w:rsid w:val="00E06BE5"/>
    <w:rsid w:val="00E06C22"/>
    <w:rsid w:val="00E07795"/>
    <w:rsid w:val="00E07A3B"/>
    <w:rsid w:val="00E07FF6"/>
    <w:rsid w:val="00E10DF0"/>
    <w:rsid w:val="00E11F2A"/>
    <w:rsid w:val="00E125FC"/>
    <w:rsid w:val="00E1304B"/>
    <w:rsid w:val="00E147A0"/>
    <w:rsid w:val="00E163CE"/>
    <w:rsid w:val="00E21BC0"/>
    <w:rsid w:val="00E21C53"/>
    <w:rsid w:val="00E21CFC"/>
    <w:rsid w:val="00E21D16"/>
    <w:rsid w:val="00E227A8"/>
    <w:rsid w:val="00E23508"/>
    <w:rsid w:val="00E23E26"/>
    <w:rsid w:val="00E250D5"/>
    <w:rsid w:val="00E25958"/>
    <w:rsid w:val="00E25EB4"/>
    <w:rsid w:val="00E26245"/>
    <w:rsid w:val="00E3048B"/>
    <w:rsid w:val="00E30FFE"/>
    <w:rsid w:val="00E3120A"/>
    <w:rsid w:val="00E319F1"/>
    <w:rsid w:val="00E31B70"/>
    <w:rsid w:val="00E31F5F"/>
    <w:rsid w:val="00E3284A"/>
    <w:rsid w:val="00E32B86"/>
    <w:rsid w:val="00E32F8A"/>
    <w:rsid w:val="00E3450F"/>
    <w:rsid w:val="00E35150"/>
    <w:rsid w:val="00E35603"/>
    <w:rsid w:val="00E35862"/>
    <w:rsid w:val="00E36441"/>
    <w:rsid w:val="00E40A55"/>
    <w:rsid w:val="00E40BD9"/>
    <w:rsid w:val="00E41A3C"/>
    <w:rsid w:val="00E427EA"/>
    <w:rsid w:val="00E42915"/>
    <w:rsid w:val="00E43501"/>
    <w:rsid w:val="00E436CF"/>
    <w:rsid w:val="00E445F3"/>
    <w:rsid w:val="00E45076"/>
    <w:rsid w:val="00E45EC6"/>
    <w:rsid w:val="00E47096"/>
    <w:rsid w:val="00E47297"/>
    <w:rsid w:val="00E47572"/>
    <w:rsid w:val="00E47746"/>
    <w:rsid w:val="00E47C0C"/>
    <w:rsid w:val="00E51017"/>
    <w:rsid w:val="00E512E5"/>
    <w:rsid w:val="00E517BE"/>
    <w:rsid w:val="00E51C05"/>
    <w:rsid w:val="00E51E7C"/>
    <w:rsid w:val="00E51FF3"/>
    <w:rsid w:val="00E520D4"/>
    <w:rsid w:val="00E52503"/>
    <w:rsid w:val="00E52EDE"/>
    <w:rsid w:val="00E5416C"/>
    <w:rsid w:val="00E54809"/>
    <w:rsid w:val="00E54EAC"/>
    <w:rsid w:val="00E551D1"/>
    <w:rsid w:val="00E56D72"/>
    <w:rsid w:val="00E60486"/>
    <w:rsid w:val="00E60783"/>
    <w:rsid w:val="00E607B4"/>
    <w:rsid w:val="00E619D0"/>
    <w:rsid w:val="00E635C3"/>
    <w:rsid w:val="00E63F62"/>
    <w:rsid w:val="00E64AD6"/>
    <w:rsid w:val="00E6584B"/>
    <w:rsid w:val="00E65BC7"/>
    <w:rsid w:val="00E6626C"/>
    <w:rsid w:val="00E663DA"/>
    <w:rsid w:val="00E663EC"/>
    <w:rsid w:val="00E66BAA"/>
    <w:rsid w:val="00E66E32"/>
    <w:rsid w:val="00E671D9"/>
    <w:rsid w:val="00E6777C"/>
    <w:rsid w:val="00E677BA"/>
    <w:rsid w:val="00E67A03"/>
    <w:rsid w:val="00E7061C"/>
    <w:rsid w:val="00E723C5"/>
    <w:rsid w:val="00E72584"/>
    <w:rsid w:val="00E72A21"/>
    <w:rsid w:val="00E73116"/>
    <w:rsid w:val="00E73369"/>
    <w:rsid w:val="00E741A2"/>
    <w:rsid w:val="00E7481D"/>
    <w:rsid w:val="00E76096"/>
    <w:rsid w:val="00E77ABA"/>
    <w:rsid w:val="00E77E24"/>
    <w:rsid w:val="00E80B86"/>
    <w:rsid w:val="00E81029"/>
    <w:rsid w:val="00E814A1"/>
    <w:rsid w:val="00E814F0"/>
    <w:rsid w:val="00E827B2"/>
    <w:rsid w:val="00E83678"/>
    <w:rsid w:val="00E83F3C"/>
    <w:rsid w:val="00E84A19"/>
    <w:rsid w:val="00E84B9A"/>
    <w:rsid w:val="00E8694E"/>
    <w:rsid w:val="00E907C5"/>
    <w:rsid w:val="00E907EE"/>
    <w:rsid w:val="00E909E3"/>
    <w:rsid w:val="00E90EFD"/>
    <w:rsid w:val="00E911DB"/>
    <w:rsid w:val="00E91206"/>
    <w:rsid w:val="00E91283"/>
    <w:rsid w:val="00E91363"/>
    <w:rsid w:val="00E91FAD"/>
    <w:rsid w:val="00E93425"/>
    <w:rsid w:val="00E934D3"/>
    <w:rsid w:val="00E93A9C"/>
    <w:rsid w:val="00E93D79"/>
    <w:rsid w:val="00E93F6E"/>
    <w:rsid w:val="00E93FFC"/>
    <w:rsid w:val="00E948A2"/>
    <w:rsid w:val="00E95908"/>
    <w:rsid w:val="00E95C23"/>
    <w:rsid w:val="00E96EF4"/>
    <w:rsid w:val="00E970B9"/>
    <w:rsid w:val="00E97543"/>
    <w:rsid w:val="00EA0380"/>
    <w:rsid w:val="00EA0910"/>
    <w:rsid w:val="00EA0B82"/>
    <w:rsid w:val="00EA0C58"/>
    <w:rsid w:val="00EA0CD7"/>
    <w:rsid w:val="00EA1B99"/>
    <w:rsid w:val="00EA1D7E"/>
    <w:rsid w:val="00EA1F5C"/>
    <w:rsid w:val="00EA1FD4"/>
    <w:rsid w:val="00EA2232"/>
    <w:rsid w:val="00EA2B23"/>
    <w:rsid w:val="00EA3271"/>
    <w:rsid w:val="00EA3514"/>
    <w:rsid w:val="00EA40C7"/>
    <w:rsid w:val="00EA436F"/>
    <w:rsid w:val="00EA51D0"/>
    <w:rsid w:val="00EA521D"/>
    <w:rsid w:val="00EA5559"/>
    <w:rsid w:val="00EA63B2"/>
    <w:rsid w:val="00EB0493"/>
    <w:rsid w:val="00EB17AB"/>
    <w:rsid w:val="00EB1F0B"/>
    <w:rsid w:val="00EB2AEC"/>
    <w:rsid w:val="00EB2E69"/>
    <w:rsid w:val="00EB36BE"/>
    <w:rsid w:val="00EB401E"/>
    <w:rsid w:val="00EB4726"/>
    <w:rsid w:val="00EB536D"/>
    <w:rsid w:val="00EB72A8"/>
    <w:rsid w:val="00EC007B"/>
    <w:rsid w:val="00EC0EED"/>
    <w:rsid w:val="00EC13FD"/>
    <w:rsid w:val="00EC16DC"/>
    <w:rsid w:val="00EC2624"/>
    <w:rsid w:val="00EC28CB"/>
    <w:rsid w:val="00EC34FE"/>
    <w:rsid w:val="00EC3D97"/>
    <w:rsid w:val="00EC3F1F"/>
    <w:rsid w:val="00EC4022"/>
    <w:rsid w:val="00EC4718"/>
    <w:rsid w:val="00EC5262"/>
    <w:rsid w:val="00EC5974"/>
    <w:rsid w:val="00EC636E"/>
    <w:rsid w:val="00EC6448"/>
    <w:rsid w:val="00EC7751"/>
    <w:rsid w:val="00EC788E"/>
    <w:rsid w:val="00EC7F4E"/>
    <w:rsid w:val="00ED0231"/>
    <w:rsid w:val="00ED02EF"/>
    <w:rsid w:val="00ED0831"/>
    <w:rsid w:val="00ED1C4A"/>
    <w:rsid w:val="00ED2254"/>
    <w:rsid w:val="00ED2B11"/>
    <w:rsid w:val="00ED2C8D"/>
    <w:rsid w:val="00ED314B"/>
    <w:rsid w:val="00ED37D0"/>
    <w:rsid w:val="00ED3F9D"/>
    <w:rsid w:val="00ED439F"/>
    <w:rsid w:val="00ED526A"/>
    <w:rsid w:val="00ED543B"/>
    <w:rsid w:val="00ED55C0"/>
    <w:rsid w:val="00ED5ECD"/>
    <w:rsid w:val="00ED71D5"/>
    <w:rsid w:val="00ED74F5"/>
    <w:rsid w:val="00EE042C"/>
    <w:rsid w:val="00EE0913"/>
    <w:rsid w:val="00EE0A0B"/>
    <w:rsid w:val="00EE25D9"/>
    <w:rsid w:val="00EE2C59"/>
    <w:rsid w:val="00EE2E0D"/>
    <w:rsid w:val="00EE3C92"/>
    <w:rsid w:val="00EE3D95"/>
    <w:rsid w:val="00EE7E4F"/>
    <w:rsid w:val="00EF006C"/>
    <w:rsid w:val="00EF009D"/>
    <w:rsid w:val="00EF083D"/>
    <w:rsid w:val="00EF0962"/>
    <w:rsid w:val="00EF0F18"/>
    <w:rsid w:val="00EF209D"/>
    <w:rsid w:val="00EF233D"/>
    <w:rsid w:val="00EF26EA"/>
    <w:rsid w:val="00EF3590"/>
    <w:rsid w:val="00EF3D32"/>
    <w:rsid w:val="00EF57BF"/>
    <w:rsid w:val="00EF6277"/>
    <w:rsid w:val="00EF6FDB"/>
    <w:rsid w:val="00F00420"/>
    <w:rsid w:val="00F00E39"/>
    <w:rsid w:val="00F0127B"/>
    <w:rsid w:val="00F014C9"/>
    <w:rsid w:val="00F01A02"/>
    <w:rsid w:val="00F01B9E"/>
    <w:rsid w:val="00F0229E"/>
    <w:rsid w:val="00F0302D"/>
    <w:rsid w:val="00F03244"/>
    <w:rsid w:val="00F034BC"/>
    <w:rsid w:val="00F03FCD"/>
    <w:rsid w:val="00F05134"/>
    <w:rsid w:val="00F05BD3"/>
    <w:rsid w:val="00F0627D"/>
    <w:rsid w:val="00F06AF5"/>
    <w:rsid w:val="00F07C7C"/>
    <w:rsid w:val="00F07FE2"/>
    <w:rsid w:val="00F10903"/>
    <w:rsid w:val="00F117BC"/>
    <w:rsid w:val="00F11DCF"/>
    <w:rsid w:val="00F1226F"/>
    <w:rsid w:val="00F122B5"/>
    <w:rsid w:val="00F1248E"/>
    <w:rsid w:val="00F12BCB"/>
    <w:rsid w:val="00F13CD6"/>
    <w:rsid w:val="00F14E40"/>
    <w:rsid w:val="00F1515F"/>
    <w:rsid w:val="00F15DDB"/>
    <w:rsid w:val="00F16098"/>
    <w:rsid w:val="00F16779"/>
    <w:rsid w:val="00F17131"/>
    <w:rsid w:val="00F17206"/>
    <w:rsid w:val="00F20D61"/>
    <w:rsid w:val="00F21854"/>
    <w:rsid w:val="00F21EAD"/>
    <w:rsid w:val="00F22558"/>
    <w:rsid w:val="00F24C39"/>
    <w:rsid w:val="00F24CA5"/>
    <w:rsid w:val="00F259B3"/>
    <w:rsid w:val="00F279A6"/>
    <w:rsid w:val="00F27B39"/>
    <w:rsid w:val="00F303DF"/>
    <w:rsid w:val="00F30812"/>
    <w:rsid w:val="00F30FB2"/>
    <w:rsid w:val="00F313CA"/>
    <w:rsid w:val="00F31A9A"/>
    <w:rsid w:val="00F32236"/>
    <w:rsid w:val="00F325C1"/>
    <w:rsid w:val="00F332C3"/>
    <w:rsid w:val="00F34A42"/>
    <w:rsid w:val="00F34D2B"/>
    <w:rsid w:val="00F35074"/>
    <w:rsid w:val="00F35505"/>
    <w:rsid w:val="00F358AF"/>
    <w:rsid w:val="00F35AF8"/>
    <w:rsid w:val="00F35E29"/>
    <w:rsid w:val="00F36479"/>
    <w:rsid w:val="00F36BC3"/>
    <w:rsid w:val="00F36FB1"/>
    <w:rsid w:val="00F3715D"/>
    <w:rsid w:val="00F3729E"/>
    <w:rsid w:val="00F37A57"/>
    <w:rsid w:val="00F40263"/>
    <w:rsid w:val="00F40CAB"/>
    <w:rsid w:val="00F41740"/>
    <w:rsid w:val="00F417D4"/>
    <w:rsid w:val="00F41895"/>
    <w:rsid w:val="00F41AFC"/>
    <w:rsid w:val="00F41CFE"/>
    <w:rsid w:val="00F42D37"/>
    <w:rsid w:val="00F432FB"/>
    <w:rsid w:val="00F44B84"/>
    <w:rsid w:val="00F45144"/>
    <w:rsid w:val="00F45F42"/>
    <w:rsid w:val="00F47FF8"/>
    <w:rsid w:val="00F50A31"/>
    <w:rsid w:val="00F516B9"/>
    <w:rsid w:val="00F516E8"/>
    <w:rsid w:val="00F51C04"/>
    <w:rsid w:val="00F53111"/>
    <w:rsid w:val="00F53406"/>
    <w:rsid w:val="00F5395D"/>
    <w:rsid w:val="00F53A99"/>
    <w:rsid w:val="00F5402D"/>
    <w:rsid w:val="00F55983"/>
    <w:rsid w:val="00F55991"/>
    <w:rsid w:val="00F55E2C"/>
    <w:rsid w:val="00F56579"/>
    <w:rsid w:val="00F56887"/>
    <w:rsid w:val="00F574D2"/>
    <w:rsid w:val="00F61F49"/>
    <w:rsid w:val="00F620DD"/>
    <w:rsid w:val="00F6277C"/>
    <w:rsid w:val="00F63440"/>
    <w:rsid w:val="00F647F9"/>
    <w:rsid w:val="00F64B62"/>
    <w:rsid w:val="00F64F4B"/>
    <w:rsid w:val="00F661C7"/>
    <w:rsid w:val="00F66588"/>
    <w:rsid w:val="00F67F56"/>
    <w:rsid w:val="00F67F8C"/>
    <w:rsid w:val="00F67FD8"/>
    <w:rsid w:val="00F70838"/>
    <w:rsid w:val="00F71D5C"/>
    <w:rsid w:val="00F71E7A"/>
    <w:rsid w:val="00F720C1"/>
    <w:rsid w:val="00F727AF"/>
    <w:rsid w:val="00F72B0B"/>
    <w:rsid w:val="00F72C8D"/>
    <w:rsid w:val="00F737F2"/>
    <w:rsid w:val="00F73D97"/>
    <w:rsid w:val="00F74D56"/>
    <w:rsid w:val="00F74FF4"/>
    <w:rsid w:val="00F7593E"/>
    <w:rsid w:val="00F76078"/>
    <w:rsid w:val="00F760EB"/>
    <w:rsid w:val="00F76F9D"/>
    <w:rsid w:val="00F800B9"/>
    <w:rsid w:val="00F8076E"/>
    <w:rsid w:val="00F80B77"/>
    <w:rsid w:val="00F80FBC"/>
    <w:rsid w:val="00F8153F"/>
    <w:rsid w:val="00F8163A"/>
    <w:rsid w:val="00F8208F"/>
    <w:rsid w:val="00F8218E"/>
    <w:rsid w:val="00F82F71"/>
    <w:rsid w:val="00F833DC"/>
    <w:rsid w:val="00F83F8F"/>
    <w:rsid w:val="00F840FB"/>
    <w:rsid w:val="00F862D0"/>
    <w:rsid w:val="00F86B60"/>
    <w:rsid w:val="00F87092"/>
    <w:rsid w:val="00F87518"/>
    <w:rsid w:val="00F87A56"/>
    <w:rsid w:val="00F87CD7"/>
    <w:rsid w:val="00F87D5F"/>
    <w:rsid w:val="00F90760"/>
    <w:rsid w:val="00F90DEB"/>
    <w:rsid w:val="00F91869"/>
    <w:rsid w:val="00F91CFE"/>
    <w:rsid w:val="00F923DC"/>
    <w:rsid w:val="00F9374F"/>
    <w:rsid w:val="00F93D8D"/>
    <w:rsid w:val="00F93E96"/>
    <w:rsid w:val="00F9525F"/>
    <w:rsid w:val="00F96269"/>
    <w:rsid w:val="00F96621"/>
    <w:rsid w:val="00F968A3"/>
    <w:rsid w:val="00F96A2B"/>
    <w:rsid w:val="00FA0219"/>
    <w:rsid w:val="00FA1A82"/>
    <w:rsid w:val="00FA30A2"/>
    <w:rsid w:val="00FA337C"/>
    <w:rsid w:val="00FA389D"/>
    <w:rsid w:val="00FA3CCE"/>
    <w:rsid w:val="00FA460E"/>
    <w:rsid w:val="00FA5273"/>
    <w:rsid w:val="00FA5BFD"/>
    <w:rsid w:val="00FA5E36"/>
    <w:rsid w:val="00FA6030"/>
    <w:rsid w:val="00FA641D"/>
    <w:rsid w:val="00FA6F79"/>
    <w:rsid w:val="00FA71F0"/>
    <w:rsid w:val="00FB02FF"/>
    <w:rsid w:val="00FB0AF5"/>
    <w:rsid w:val="00FB25C5"/>
    <w:rsid w:val="00FB2C5B"/>
    <w:rsid w:val="00FB2FBC"/>
    <w:rsid w:val="00FB4813"/>
    <w:rsid w:val="00FB4AF7"/>
    <w:rsid w:val="00FB5965"/>
    <w:rsid w:val="00FB5A0E"/>
    <w:rsid w:val="00FB71AA"/>
    <w:rsid w:val="00FB7C40"/>
    <w:rsid w:val="00FC01F5"/>
    <w:rsid w:val="00FC0E9A"/>
    <w:rsid w:val="00FC1E39"/>
    <w:rsid w:val="00FC2426"/>
    <w:rsid w:val="00FC2AB8"/>
    <w:rsid w:val="00FC2D25"/>
    <w:rsid w:val="00FC30B1"/>
    <w:rsid w:val="00FC3259"/>
    <w:rsid w:val="00FC3DF3"/>
    <w:rsid w:val="00FC4084"/>
    <w:rsid w:val="00FC4453"/>
    <w:rsid w:val="00FC556D"/>
    <w:rsid w:val="00FC6D76"/>
    <w:rsid w:val="00FC7687"/>
    <w:rsid w:val="00FC76D9"/>
    <w:rsid w:val="00FC7EC6"/>
    <w:rsid w:val="00FD023A"/>
    <w:rsid w:val="00FD0814"/>
    <w:rsid w:val="00FD248D"/>
    <w:rsid w:val="00FD285D"/>
    <w:rsid w:val="00FD2C13"/>
    <w:rsid w:val="00FD332A"/>
    <w:rsid w:val="00FD33E5"/>
    <w:rsid w:val="00FD3840"/>
    <w:rsid w:val="00FD49DA"/>
    <w:rsid w:val="00FD4B20"/>
    <w:rsid w:val="00FD5589"/>
    <w:rsid w:val="00FD570A"/>
    <w:rsid w:val="00FD5847"/>
    <w:rsid w:val="00FD5E12"/>
    <w:rsid w:val="00FD656E"/>
    <w:rsid w:val="00FD7028"/>
    <w:rsid w:val="00FD7143"/>
    <w:rsid w:val="00FD7C4B"/>
    <w:rsid w:val="00FE0AF7"/>
    <w:rsid w:val="00FE0ECD"/>
    <w:rsid w:val="00FE1323"/>
    <w:rsid w:val="00FE1DB5"/>
    <w:rsid w:val="00FE1F5E"/>
    <w:rsid w:val="00FE26AD"/>
    <w:rsid w:val="00FE271F"/>
    <w:rsid w:val="00FE28BE"/>
    <w:rsid w:val="00FE2EF9"/>
    <w:rsid w:val="00FE3142"/>
    <w:rsid w:val="00FE3CB1"/>
    <w:rsid w:val="00FE4342"/>
    <w:rsid w:val="00FE52E2"/>
    <w:rsid w:val="00FE5F99"/>
    <w:rsid w:val="00FE63F3"/>
    <w:rsid w:val="00FE6A9A"/>
    <w:rsid w:val="00FE79C1"/>
    <w:rsid w:val="00FE7B87"/>
    <w:rsid w:val="00FF00E1"/>
    <w:rsid w:val="00FF0587"/>
    <w:rsid w:val="00FF1F49"/>
    <w:rsid w:val="00FF3301"/>
    <w:rsid w:val="00FF3335"/>
    <w:rsid w:val="00FF3C71"/>
    <w:rsid w:val="00FF3DEC"/>
    <w:rsid w:val="00FF4469"/>
    <w:rsid w:val="00FF47F6"/>
    <w:rsid w:val="00FF4A83"/>
    <w:rsid w:val="00FF4D31"/>
    <w:rsid w:val="00FF52CF"/>
    <w:rsid w:val="00FF5CC9"/>
    <w:rsid w:val="00FF6D43"/>
    <w:rsid w:val="00FF73E8"/>
    <w:rsid w:val="00FF796E"/>
    <w:rsid w:val="09D05DEC"/>
    <w:rsid w:val="09F63639"/>
    <w:rsid w:val="0D340241"/>
    <w:rsid w:val="0F9D481D"/>
    <w:rsid w:val="183F56C2"/>
    <w:rsid w:val="19F71C34"/>
    <w:rsid w:val="1BFA1A53"/>
    <w:rsid w:val="1C2B0EAC"/>
    <w:rsid w:val="1FE91A8A"/>
    <w:rsid w:val="2277389B"/>
    <w:rsid w:val="22CD40D2"/>
    <w:rsid w:val="259439FC"/>
    <w:rsid w:val="26A356EF"/>
    <w:rsid w:val="270D6402"/>
    <w:rsid w:val="30075F2D"/>
    <w:rsid w:val="349E3B22"/>
    <w:rsid w:val="353C4DCD"/>
    <w:rsid w:val="3CCA65A0"/>
    <w:rsid w:val="3D9E769D"/>
    <w:rsid w:val="3FA61DD6"/>
    <w:rsid w:val="43025857"/>
    <w:rsid w:val="476D6BB3"/>
    <w:rsid w:val="4E7C08FB"/>
    <w:rsid w:val="53CE29C2"/>
    <w:rsid w:val="5C2C297C"/>
    <w:rsid w:val="5CFE08AF"/>
    <w:rsid w:val="5FE572A1"/>
    <w:rsid w:val="60723523"/>
    <w:rsid w:val="633A50B8"/>
    <w:rsid w:val="64662CCF"/>
    <w:rsid w:val="64F523D1"/>
    <w:rsid w:val="650A7614"/>
    <w:rsid w:val="6D341690"/>
    <w:rsid w:val="6DC87FAF"/>
    <w:rsid w:val="724C158B"/>
    <w:rsid w:val="72D4487B"/>
    <w:rsid w:val="74B7525B"/>
    <w:rsid w:val="750E6C6B"/>
    <w:rsid w:val="79814931"/>
    <w:rsid w:val="7B70048C"/>
    <w:rsid w:val="7C4B484E"/>
    <w:rsid w:val="7E38645A"/>
    <w:rsid w:val="7F3217A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weight="1.25pt" color="#739CC3"/>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name="heading 3"/>
    <w:lsdException w:qFormat="1" w:unhideWhenUsed="0"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0" w:name="Normal Indent"/>
    <w:lsdException w:uiPriority="0" w:name="footnote text"/>
    <w:lsdException w:uiPriority="0" w:name="annotation text"/>
    <w:lsdException w:qFormat="1" w:uiPriority="99" w:semiHidden="0" w:name="header"/>
    <w:lsdException w:qFormat="1" w:uiPriority="99" w:semiHidden="0" w:name="footer"/>
    <w:lsdException w:uiPriority="0" w:name="index heading"/>
    <w:lsdException w:qFormat="1" w:uiPriority="35"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1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11" w:semiHidden="0" w:name="Subtitle"/>
    <w:lsdException w:uiPriority="0" w:name="Salutation"/>
    <w:lsdException w:qFormat="1"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99" w:semiHidden="0" w:name="Hyperlink"/>
    <w:lsdException w:uiPriority="0" w:name="FollowedHyperlink"/>
    <w:lsdException w:qFormat="1" w:unhideWhenUsed="0" w:uiPriority="22" w:semiHidden="0" w:name="Strong"/>
    <w:lsdException w:qFormat="1" w:unhideWhenUsed="0" w:uiPriority="20" w:semiHidden="0" w:name="Emphasis"/>
    <w:lsdException w:uiPriority="0" w:name="Document Map"/>
    <w:lsdException w:uiPriority="0" w:name="Plain Text"/>
    <w:lsdException w:uiPriority="0" w:name="E-mail Signature"/>
    <w:lsdException w:qFormat="1"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iPriority="99" w:semiHidden="0" w:name="Balloon Text"/>
    <w:lsdException w:qFormat="1" w:unhideWhenUsed="0" w:uiPriority="99"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paragraph" w:styleId="2">
    <w:name w:val="heading 1"/>
    <w:basedOn w:val="1"/>
    <w:next w:val="1"/>
    <w:link w:val="35"/>
    <w:qFormat/>
    <w:uiPriority w:val="9"/>
    <w:pPr>
      <w:keepNext/>
      <w:keepLines/>
      <w:spacing w:before="340" w:after="330" w:line="578" w:lineRule="auto"/>
      <w:outlineLvl w:val="0"/>
    </w:pPr>
    <w:rPr>
      <w:rFonts w:asciiTheme="minorHAnsi" w:hAnsiTheme="minorHAnsi" w:eastAsiaTheme="minorEastAsia" w:cstheme="minorBidi"/>
      <w:b/>
      <w:bCs/>
      <w:kern w:val="44"/>
      <w:sz w:val="44"/>
      <w:szCs w:val="44"/>
    </w:rPr>
  </w:style>
  <w:style w:type="paragraph" w:styleId="3">
    <w:name w:val="heading 2"/>
    <w:basedOn w:val="1"/>
    <w:next w:val="1"/>
    <w:link w:val="23"/>
    <w:qFormat/>
    <w:uiPriority w:val="9"/>
    <w:pPr>
      <w:widowControl/>
      <w:spacing w:before="100" w:beforeAutospacing="1" w:after="100" w:afterAutospacing="1"/>
      <w:jc w:val="left"/>
      <w:outlineLvl w:val="1"/>
    </w:pPr>
    <w:rPr>
      <w:rFonts w:ascii="宋体" w:hAnsi="宋体" w:cs="宋体"/>
      <w:kern w:val="0"/>
      <w:sz w:val="36"/>
      <w:szCs w:val="36"/>
    </w:rPr>
  </w:style>
  <w:style w:type="paragraph" w:styleId="4">
    <w:name w:val="heading 4"/>
    <w:basedOn w:val="1"/>
    <w:next w:val="1"/>
    <w:link w:val="24"/>
    <w:qFormat/>
    <w:uiPriority w:val="9"/>
    <w:pPr>
      <w:widowControl/>
      <w:spacing w:before="100" w:beforeAutospacing="1" w:after="100" w:afterAutospacing="1"/>
      <w:jc w:val="left"/>
      <w:outlineLvl w:val="3"/>
    </w:pPr>
    <w:rPr>
      <w:rFonts w:ascii="宋体" w:hAnsi="宋体" w:cs="宋体"/>
      <w:kern w:val="0"/>
      <w:sz w:val="24"/>
      <w:szCs w:val="24"/>
    </w:rPr>
  </w:style>
  <w:style w:type="character" w:default="1" w:styleId="12">
    <w:name w:val="Default Paragraph Font"/>
    <w:semiHidden/>
    <w:unhideWhenUsed/>
    <w:qFormat/>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paragraph" w:styleId="5">
    <w:name w:val="Date"/>
    <w:basedOn w:val="1"/>
    <w:next w:val="1"/>
    <w:link w:val="34"/>
    <w:semiHidden/>
    <w:unhideWhenUsed/>
    <w:qFormat/>
    <w:uiPriority w:val="0"/>
    <w:pPr>
      <w:ind w:left="100" w:leftChars="2500"/>
    </w:pPr>
  </w:style>
  <w:style w:type="paragraph" w:styleId="6">
    <w:name w:val="Balloon Text"/>
    <w:basedOn w:val="1"/>
    <w:link w:val="16"/>
    <w:unhideWhenUsed/>
    <w:qFormat/>
    <w:uiPriority w:val="99"/>
    <w:rPr>
      <w:sz w:val="18"/>
      <w:szCs w:val="18"/>
    </w:rPr>
  </w:style>
  <w:style w:type="paragraph" w:styleId="7">
    <w:name w:val="footer"/>
    <w:basedOn w:val="1"/>
    <w:link w:val="18"/>
    <w:unhideWhenUsed/>
    <w:qFormat/>
    <w:uiPriority w:val="99"/>
    <w:pPr>
      <w:tabs>
        <w:tab w:val="center" w:pos="4153"/>
        <w:tab w:val="right" w:pos="8306"/>
      </w:tabs>
      <w:snapToGrid w:val="0"/>
      <w:jc w:val="left"/>
    </w:pPr>
    <w:rPr>
      <w:sz w:val="18"/>
      <w:szCs w:val="18"/>
    </w:rPr>
  </w:style>
  <w:style w:type="paragraph" w:styleId="8">
    <w:name w:val="header"/>
    <w:basedOn w:val="1"/>
    <w:link w:val="17"/>
    <w:unhideWhenUsed/>
    <w:qFormat/>
    <w:uiPriority w:val="99"/>
    <w:pPr>
      <w:pBdr>
        <w:bottom w:val="single" w:color="auto" w:sz="6" w:space="1"/>
      </w:pBdr>
      <w:tabs>
        <w:tab w:val="center" w:pos="4153"/>
        <w:tab w:val="right" w:pos="8306"/>
      </w:tabs>
      <w:snapToGrid w:val="0"/>
      <w:jc w:val="center"/>
    </w:pPr>
    <w:rPr>
      <w:sz w:val="18"/>
      <w:szCs w:val="18"/>
    </w:rPr>
  </w:style>
  <w:style w:type="paragraph" w:styleId="9">
    <w:name w:val="Normal (Web)"/>
    <w:basedOn w:val="1"/>
    <w:unhideWhenUsed/>
    <w:qFormat/>
    <w:uiPriority w:val="99"/>
    <w:pPr>
      <w:widowControl/>
      <w:spacing w:before="100" w:beforeAutospacing="1" w:after="100" w:afterAutospacing="1"/>
      <w:jc w:val="left"/>
    </w:pPr>
    <w:rPr>
      <w:rFonts w:ascii="宋体" w:hAnsi="宋体" w:cs="宋体"/>
      <w:kern w:val="0"/>
      <w:sz w:val="24"/>
      <w:szCs w:val="24"/>
    </w:rPr>
  </w:style>
  <w:style w:type="table" w:styleId="11">
    <w:name w:val="Table Grid"/>
    <w:basedOn w:val="10"/>
    <w:qFormat/>
    <w:uiPriority w:val="9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13">
    <w:name w:val="Strong"/>
    <w:basedOn w:val="12"/>
    <w:qFormat/>
    <w:uiPriority w:val="22"/>
    <w:rPr>
      <w:b/>
      <w:bCs/>
    </w:rPr>
  </w:style>
  <w:style w:type="character" w:styleId="14">
    <w:name w:val="Emphasis"/>
    <w:basedOn w:val="12"/>
    <w:qFormat/>
    <w:uiPriority w:val="20"/>
    <w:rPr>
      <w:i/>
      <w:iCs/>
    </w:rPr>
  </w:style>
  <w:style w:type="character" w:styleId="15">
    <w:name w:val="Hyperlink"/>
    <w:basedOn w:val="12"/>
    <w:unhideWhenUsed/>
    <w:qFormat/>
    <w:uiPriority w:val="99"/>
    <w:rPr>
      <w:color w:val="0000FF"/>
      <w:u w:val="single"/>
    </w:rPr>
  </w:style>
  <w:style w:type="character" w:customStyle="1" w:styleId="16">
    <w:name w:val="批注框文本 Char"/>
    <w:basedOn w:val="12"/>
    <w:link w:val="6"/>
    <w:semiHidden/>
    <w:qFormat/>
    <w:uiPriority w:val="99"/>
    <w:rPr>
      <w:sz w:val="18"/>
      <w:szCs w:val="18"/>
    </w:rPr>
  </w:style>
  <w:style w:type="character" w:customStyle="1" w:styleId="17">
    <w:name w:val="页眉 Char"/>
    <w:basedOn w:val="12"/>
    <w:link w:val="8"/>
    <w:semiHidden/>
    <w:qFormat/>
    <w:uiPriority w:val="99"/>
    <w:rPr>
      <w:sz w:val="18"/>
      <w:szCs w:val="18"/>
    </w:rPr>
  </w:style>
  <w:style w:type="character" w:customStyle="1" w:styleId="18">
    <w:name w:val="页脚 Char"/>
    <w:basedOn w:val="12"/>
    <w:link w:val="7"/>
    <w:qFormat/>
    <w:uiPriority w:val="99"/>
    <w:rPr>
      <w:sz w:val="18"/>
      <w:szCs w:val="18"/>
    </w:rPr>
  </w:style>
  <w:style w:type="paragraph" w:styleId="19">
    <w:name w:val="No Spacing"/>
    <w:link w:val="20"/>
    <w:qFormat/>
    <w:uiPriority w:val="1"/>
    <w:rPr>
      <w:rFonts w:asciiTheme="minorHAnsi" w:hAnsiTheme="minorHAnsi" w:eastAsiaTheme="minorEastAsia" w:cstheme="minorBidi"/>
      <w:sz w:val="22"/>
      <w:szCs w:val="22"/>
      <w:lang w:val="en-US" w:eastAsia="zh-CN" w:bidi="ar-SA"/>
    </w:rPr>
  </w:style>
  <w:style w:type="character" w:customStyle="1" w:styleId="20">
    <w:name w:val="无间隔 Char"/>
    <w:basedOn w:val="12"/>
    <w:link w:val="19"/>
    <w:qFormat/>
    <w:uiPriority w:val="1"/>
    <w:rPr>
      <w:rFonts w:asciiTheme="minorHAnsi" w:hAnsiTheme="minorHAnsi" w:eastAsiaTheme="minorEastAsia" w:cstheme="minorBidi"/>
      <w:sz w:val="22"/>
      <w:szCs w:val="22"/>
    </w:rPr>
  </w:style>
  <w:style w:type="paragraph" w:styleId="21">
    <w:name w:val="List Paragraph"/>
    <w:basedOn w:val="1"/>
    <w:unhideWhenUsed/>
    <w:qFormat/>
    <w:uiPriority w:val="34"/>
    <w:pPr>
      <w:ind w:firstLine="420" w:firstLineChars="200"/>
    </w:pPr>
  </w:style>
  <w:style w:type="paragraph" w:customStyle="1" w:styleId="22">
    <w:name w:val="cont-summary"/>
    <w:basedOn w:val="1"/>
    <w:qFormat/>
    <w:uiPriority w:val="0"/>
    <w:pPr>
      <w:widowControl/>
      <w:spacing w:before="100" w:beforeAutospacing="1" w:after="100" w:afterAutospacing="1"/>
      <w:jc w:val="left"/>
    </w:pPr>
    <w:rPr>
      <w:rFonts w:ascii="宋体" w:hAnsi="宋体" w:cs="宋体"/>
      <w:kern w:val="0"/>
      <w:sz w:val="24"/>
      <w:szCs w:val="24"/>
    </w:rPr>
  </w:style>
  <w:style w:type="character" w:customStyle="1" w:styleId="23">
    <w:name w:val="标题 2 Char"/>
    <w:basedOn w:val="12"/>
    <w:link w:val="3"/>
    <w:qFormat/>
    <w:uiPriority w:val="9"/>
    <w:rPr>
      <w:rFonts w:ascii="宋体" w:hAnsi="宋体" w:cs="宋体"/>
      <w:sz w:val="36"/>
      <w:szCs w:val="36"/>
    </w:rPr>
  </w:style>
  <w:style w:type="character" w:customStyle="1" w:styleId="24">
    <w:name w:val="标题 4 Char"/>
    <w:basedOn w:val="12"/>
    <w:link w:val="4"/>
    <w:qFormat/>
    <w:uiPriority w:val="9"/>
    <w:rPr>
      <w:rFonts w:ascii="宋体" w:hAnsi="宋体" w:cs="宋体"/>
      <w:sz w:val="24"/>
      <w:szCs w:val="24"/>
    </w:rPr>
  </w:style>
  <w:style w:type="paragraph" w:customStyle="1" w:styleId="25">
    <w:name w:val="summary"/>
    <w:basedOn w:val="1"/>
    <w:qFormat/>
    <w:uiPriority w:val="0"/>
    <w:pPr>
      <w:widowControl/>
      <w:spacing w:before="100" w:beforeAutospacing="1" w:after="480" w:line="375" w:lineRule="atLeast"/>
      <w:jc w:val="left"/>
    </w:pPr>
    <w:rPr>
      <w:rFonts w:ascii="宋体" w:hAnsi="宋体" w:cs="宋体"/>
      <w:kern w:val="0"/>
      <w:sz w:val="24"/>
      <w:szCs w:val="24"/>
    </w:rPr>
  </w:style>
  <w:style w:type="character" w:customStyle="1" w:styleId="26">
    <w:name w:val="articlel"/>
    <w:basedOn w:val="12"/>
    <w:qFormat/>
    <w:uiPriority w:val="0"/>
  </w:style>
  <w:style w:type="character" w:customStyle="1" w:styleId="27">
    <w:name w:val="articler"/>
    <w:basedOn w:val="12"/>
    <w:qFormat/>
    <w:uiPriority w:val="0"/>
  </w:style>
  <w:style w:type="paragraph" w:customStyle="1" w:styleId="28">
    <w:name w:val="profile_meta"/>
    <w:basedOn w:val="1"/>
    <w:qFormat/>
    <w:uiPriority w:val="0"/>
    <w:pPr>
      <w:widowControl/>
      <w:spacing w:before="75" w:after="100" w:afterAutospacing="1"/>
      <w:jc w:val="left"/>
    </w:pPr>
    <w:rPr>
      <w:rFonts w:ascii="宋体" w:hAnsi="宋体" w:cs="宋体"/>
      <w:kern w:val="0"/>
      <w:sz w:val="24"/>
      <w:szCs w:val="24"/>
    </w:rPr>
  </w:style>
  <w:style w:type="character" w:customStyle="1" w:styleId="29">
    <w:name w:val="rich_media_meta1"/>
    <w:basedOn w:val="12"/>
    <w:qFormat/>
    <w:uiPriority w:val="0"/>
    <w:rPr>
      <w:sz w:val="24"/>
      <w:szCs w:val="24"/>
    </w:rPr>
  </w:style>
  <w:style w:type="character" w:customStyle="1" w:styleId="30">
    <w:name w:val="profile_meta_value1"/>
    <w:basedOn w:val="12"/>
    <w:qFormat/>
    <w:uiPriority w:val="0"/>
    <w:rPr>
      <w:color w:val="ADADAD"/>
    </w:rPr>
  </w:style>
  <w:style w:type="character" w:customStyle="1" w:styleId="31">
    <w:name w:val="apple-converted-space"/>
    <w:basedOn w:val="12"/>
    <w:qFormat/>
    <w:uiPriority w:val="0"/>
  </w:style>
  <w:style w:type="character" w:customStyle="1" w:styleId="32">
    <w:name w:val="rich_media_meta"/>
    <w:basedOn w:val="12"/>
    <w:qFormat/>
    <w:uiPriority w:val="0"/>
  </w:style>
  <w:style w:type="character" w:customStyle="1" w:styleId="33">
    <w:name w:val="blue"/>
    <w:basedOn w:val="12"/>
    <w:qFormat/>
    <w:uiPriority w:val="0"/>
  </w:style>
  <w:style w:type="character" w:customStyle="1" w:styleId="34">
    <w:name w:val="日期 Char"/>
    <w:basedOn w:val="12"/>
    <w:link w:val="5"/>
    <w:semiHidden/>
    <w:qFormat/>
    <w:uiPriority w:val="0"/>
    <w:rPr>
      <w:rFonts w:ascii="Calibri" w:hAnsi="Calibri"/>
      <w:kern w:val="2"/>
      <w:sz w:val="21"/>
      <w:szCs w:val="22"/>
    </w:rPr>
  </w:style>
  <w:style w:type="character" w:customStyle="1" w:styleId="35">
    <w:name w:val="标题 1 Char"/>
    <w:basedOn w:val="12"/>
    <w:link w:val="2"/>
    <w:qFormat/>
    <w:uiPriority w:val="9"/>
    <w:rPr>
      <w:rFonts w:asciiTheme="minorHAnsi" w:hAnsiTheme="minorHAnsi" w:eastAsiaTheme="minorEastAsia" w:cstheme="minorBidi"/>
      <w:b/>
      <w:bCs/>
      <w:kern w:val="44"/>
      <w:sz w:val="44"/>
      <w:szCs w:val="44"/>
    </w:rPr>
  </w:style>
  <w:style w:type="character" w:customStyle="1" w:styleId="36">
    <w:name w:val="wx_tap_link"/>
    <w:basedOn w:val="12"/>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theme" Target="theme/theme1.xml"/><Relationship Id="rId32" Type="http://schemas.openxmlformats.org/officeDocument/2006/relationships/fontTable" Target="fontTable.xml"/><Relationship Id="rId31" Type="http://schemas.openxmlformats.org/officeDocument/2006/relationships/customXml" Target="../customXml/item2.xml"/><Relationship Id="rId30" Type="http://schemas.openxmlformats.org/officeDocument/2006/relationships/numbering" Target="numbering.xml"/><Relationship Id="rId3" Type="http://schemas.openxmlformats.org/officeDocument/2006/relationships/footer" Target="footer1.xml"/><Relationship Id="rId29" Type="http://schemas.openxmlformats.org/officeDocument/2006/relationships/customXml" Target="../customXml/item1.xml"/><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0329726-DF6E-4258-8BC4-0E4AA1881B46}">
  <ds:schemaRefs/>
</ds:datastoreItem>
</file>

<file path=docProps/app.xml><?xml version="1.0" encoding="utf-8"?>
<Properties xmlns="http://schemas.openxmlformats.org/officeDocument/2006/extended-properties" xmlns:vt="http://schemas.openxmlformats.org/officeDocument/2006/docPropsVTypes">
  <Template>Normal.dotm</Template>
  <Company>Lenovo</Company>
  <Pages>53</Pages>
  <Words>13406</Words>
  <Characters>14291</Characters>
  <Lines>107</Lines>
  <Paragraphs>30</Paragraphs>
  <TotalTime>65</TotalTime>
  <ScaleCrop>false</ScaleCrop>
  <LinksUpToDate>false</LinksUpToDate>
  <CharactersWithSpaces>14441</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2020-05-26T01:03:00Z</dcterms:created>
  <dc:creator>FtpDown</dc:creator>
  <cp:lastModifiedBy>王麒懿</cp:lastModifiedBy>
  <cp:lastPrinted>2023-08-22T02:53:00Z</cp:lastPrinted>
  <dcterms:modified xsi:type="dcterms:W3CDTF">2023-09-04T01:43:52Z</dcterms:modified>
  <dc:subject>2015年7月29日</dc:subject>
  <dc:title>2015年第一期</dc:title>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DF5037EDC2C7415DBA1FF4609A99298F</vt:lpwstr>
  </property>
</Properties>
</file>