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2"/>
            <w:tblpPr w:leftFromText="187" w:rightFromText="187" w:horzAnchor="margin" w:tblpXSpec="center" w:tblpYSpec="bottom"/>
            <w:tblW w:w="6834" w:type="dxa"/>
            <w:tblInd w:w="0" w:type="dxa"/>
            <w:tblLayout w:type="fixed"/>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6834" w:type="dxa"/>
                <w:tcMar>
                  <w:top w:w="216" w:type="dxa"/>
                  <w:left w:w="115" w:type="dxa"/>
                  <w:bottom w:w="216" w:type="dxa"/>
                  <w:right w:w="115" w:type="dxa"/>
                </w:tcMar>
              </w:tcPr>
              <w:p>
                <w:pPr>
                  <w:pStyle w:val="21"/>
                  <w:rPr>
                    <w:color w:val="4F81BD" w:themeColor="accent1"/>
                    <w14:textFill>
                      <w14:solidFill>
                        <w14:schemeClr w14:val="accent1"/>
                      </w14:solidFill>
                    </w14:textFill>
                  </w:rPr>
                </w:pPr>
              </w:p>
              <w:p>
                <w:pPr>
                  <w:pStyle w:val="21"/>
                  <w:rPr>
                    <w:color w:val="4F81BD" w:themeColor="accent1"/>
                    <w14:textFill>
                      <w14:solidFill>
                        <w14:schemeClr w14:val="accent1"/>
                      </w14:solidFill>
                    </w14:textFill>
                  </w:rPr>
                </w:pPr>
              </w:p>
              <w:p>
                <w:pPr>
                  <w:pStyle w:val="21"/>
                  <w:rPr>
                    <w:color w:val="4F81BD" w:themeColor="accent1"/>
                    <w14:textFill>
                      <w14:solidFill>
                        <w14:schemeClr w14:val="accent1"/>
                      </w14:solidFill>
                    </w14:textFill>
                  </w:rPr>
                </w:pPr>
              </w:p>
              <w:p>
                <w:pPr>
                  <w:pStyle w:val="21"/>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（2023年第</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期） 2023年</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7</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rPr>
              <w:rFonts w:hint="eastAsia"/>
            </w:rPr>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widowControl/>
        <w:tabs>
          <w:tab w:val="left" w:pos="5245"/>
        </w:tabs>
        <w:jc w:val="left"/>
      </w:pPr>
    </w:p>
    <w:p>
      <w:pPr>
        <w:tabs>
          <w:tab w:val="left" w:pos="5245"/>
        </w:tabs>
      </w:pPr>
    </w:p>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1287145</wp:posOffset>
                </wp:positionH>
                <wp:positionV relativeFrom="paragraph">
                  <wp:posOffset>27305</wp:posOffset>
                </wp:positionV>
                <wp:extent cx="30480" cy="8162925"/>
                <wp:effectExtent l="15875" t="0" r="29845" b="9525"/>
                <wp:wrapNone/>
                <wp:docPr id="17" name="Straight Connector 3"/>
                <wp:cNvGraphicFramePr/>
                <a:graphic xmlns:a="http://schemas.openxmlformats.org/drawingml/2006/main">
                  <a:graphicData uri="http://schemas.microsoft.com/office/word/2010/wordprocessingShape">
                    <wps:wsp>
                      <wps:cNvCnPr/>
                      <wps:spPr>
                        <a:xfrm>
                          <a:off x="0" y="0"/>
                          <a:ext cx="30480" cy="816292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1.35pt;margin-top:2.15pt;height:642.75pt;width:2.4pt;z-index:251660288;mso-width-relative:page;mso-height-relative:page;" filled="f" stroked="t" coordsize="21600,21600" o:gfxdata="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viO&#10;pNsAAAAKAQAADwAAAAAAAAABACAAAAAiAAAAZHJzL2Rvd25yZXYueG1sUEsBAhQAFAAAAAgAh07i&#10;QEflObDmAQAA7wMAAA4AAAAAAAAAAQAgAAAAKgEAAGRycy9lMm9Eb2MueG1sUEsFBgAAAAAGAAYA&#10;WQEAAIIFAAAAAA==&#10;">
                <v:fill on="f" focussize="0,0"/>
                <v:stroke weight="2.5pt" color="#548DD4"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3"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a:effectLst/>
                      </wps:spPr>
                      <wps:bodyPr/>
                    </wps:wsp>
                  </a:graphicData>
                </a:graphic>
              </wp:anchor>
            </w:drawing>
          </mc:Choice>
          <mc:Fallback>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vGPpbW&#10;AAAACAEAAA8AAAAAAAAAAQAgAAAAIgAAAGRycy9kb3ducmV2LnhtbFBLAQIUABQAAAAIAIdO4kAo&#10;rjqc6QEAAPoDAAAOAAAAAAAAAAEAIAAAACUBAABkcnMvZTJvRG9jLnhtbFBLBQYAAAAABgAGAFkB&#10;AACABQAAAAA=&#10;">
                <v:fill on="f" focussize="0,0"/>
                <v:stroke weight="3pt" color="#548DD4" joinstyle="round"/>
                <v:imagedata o:title=""/>
                <o:lock v:ext="edit" aspectratio="f"/>
              </v:shape>
            </w:pict>
          </mc:Fallback>
        </mc:AlternateContent>
      </w:r>
      <w:r>
        <w:rPr>
          <w:rFonts w:hint="eastAsia"/>
        </w:rPr>
        <w:t xml:space="preserve"> </w:t>
      </w:r>
    </w:p>
    <w:p>
      <w:pPr>
        <w:tabs>
          <w:tab w:val="left" w:pos="5245"/>
        </w:tabs>
      </w:pPr>
    </w:p>
    <w:p>
      <w:pPr>
        <w:tabs>
          <w:tab w:val="center" w:pos="4156"/>
        </w:tabs>
      </w:pPr>
      <w:r>
        <mc:AlternateContent>
          <mc:Choice Requires="wps">
            <w:drawing>
              <wp:anchor distT="0" distB="0" distL="114300" distR="114300" simplePos="0" relativeHeight="251667456" behindDoc="0" locked="0" layoutInCell="1" allowOverlap="1">
                <wp:simplePos x="0" y="0"/>
                <wp:positionH relativeFrom="column">
                  <wp:posOffset>1554480</wp:posOffset>
                </wp:positionH>
                <wp:positionV relativeFrom="paragraph">
                  <wp:posOffset>106680</wp:posOffset>
                </wp:positionV>
                <wp:extent cx="4210050" cy="787400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a:effectLst/>
                      </wps:spPr>
                      <wps:txbx>
                        <w:txbxContent>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1.</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国家医保局发文，推进医疗保障基金智能审核和监控</w:t>
                            </w:r>
                          </w:p>
                          <w:p>
                            <w:pPr>
                              <w:rPr>
                                <w:rFonts w:ascii="宋体" w:hAnsi="宋体" w:cs="宋体"/>
                                <w:b/>
                                <w:bCs/>
                                <w:kern w:val="0"/>
                                <w:sz w:val="33"/>
                                <w:szCs w:val="33"/>
                              </w:rPr>
                            </w:pPr>
                          </w:p>
                          <w:p>
                            <w:pPr>
                              <w:rPr>
                                <w:rFonts w:hint="eastAsia" w:ascii="宋体" w:hAnsi="宋体" w:cs="宋体"/>
                                <w:b/>
                                <w:bCs/>
                                <w:kern w:val="0"/>
                                <w:sz w:val="33"/>
                                <w:szCs w:val="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2.</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国家药监局出台</w:t>
                            </w:r>
                            <w:r>
                              <w:rPr>
                                <w:rFonts w:hint="eastAsia" w:asciiTheme="majorEastAsia" w:hAnsiTheme="majorEastAsia" w:eastAsiaTheme="majorEastAsia" w:cstheme="majorEastAsia"/>
                                <w:i w:val="0"/>
                                <w:iCs w:val="0"/>
                                <w:caps w:val="0"/>
                                <w:spacing w:val="8"/>
                                <w:sz w:val="33"/>
                                <w:szCs w:val="33"/>
                                <w:shd w:val="clear" w:fill="FFFFFF"/>
                                <w:lang w:val="en-US" w:eastAsia="zh-CN"/>
                              </w:rPr>
                              <w:t>医疗器械网络销售</w:t>
                            </w:r>
                            <w:r>
                              <w:rPr>
                                <w:rFonts w:hint="eastAsia" w:asciiTheme="majorEastAsia" w:hAnsiTheme="majorEastAsia" w:eastAsiaTheme="majorEastAsia" w:cstheme="majorEastAsia"/>
                                <w:i w:val="0"/>
                                <w:iCs w:val="0"/>
                                <w:caps w:val="0"/>
                                <w:spacing w:val="8"/>
                                <w:sz w:val="33"/>
                                <w:szCs w:val="33"/>
                                <w:shd w:val="clear" w:fill="FFFFFF"/>
                              </w:rPr>
                              <w:t>新规</w:t>
                            </w:r>
                          </w:p>
                          <w:p>
                            <w:pPr>
                              <w:rPr>
                                <w:rFonts w:ascii="宋体" w:hAnsi="宋体" w:cs="宋体"/>
                                <w:b/>
                                <w:bCs/>
                                <w:kern w:val="0"/>
                                <w:sz w:val="33"/>
                                <w:szCs w:val="33"/>
                              </w:rPr>
                            </w:pPr>
                          </w:p>
                          <w:p>
                            <w:pPr>
                              <w:rPr>
                                <w:rFonts w:ascii="宋体" w:hAnsi="宋体" w:cs="宋体"/>
                                <w:b/>
                                <w:bCs/>
                                <w:kern w:val="0"/>
                                <w:sz w:val="33"/>
                                <w:szCs w:val="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宋体" w:hAnsi="宋体" w:cs="宋体"/>
                                <w:b/>
                                <w:bCs/>
                                <w:kern w:val="0"/>
                                <w:sz w:val="33"/>
                                <w:szCs w:val="33"/>
                              </w:rPr>
                            </w:pPr>
                            <w:r>
                              <w:rPr>
                                <w:rFonts w:hint="eastAsia" w:ascii="宋体" w:hAnsi="宋体" w:cs="宋体"/>
                                <w:b/>
                                <w:bCs/>
                                <w:kern w:val="0"/>
                                <w:sz w:val="33"/>
                                <w:szCs w:val="33"/>
                              </w:rPr>
                              <w:t>3.</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近万家药店开卖集采药</w:t>
                            </w:r>
                          </w:p>
                          <w:p>
                            <w:pPr>
                              <w:rPr>
                                <w:rFonts w:ascii="宋体" w:hAnsi="宋体" w:cs="宋体"/>
                                <w:b/>
                                <w:bCs/>
                                <w:kern w:val="0"/>
                                <w:sz w:val="33"/>
                                <w:szCs w:val="33"/>
                              </w:rPr>
                            </w:pPr>
                          </w:p>
                          <w:p>
                            <w:pPr>
                              <w:rPr>
                                <w:rFonts w:ascii="宋体" w:hAnsi="宋体" w:cs="宋体"/>
                                <w:b/>
                                <w:bCs/>
                                <w:kern w:val="0"/>
                                <w:sz w:val="33"/>
                                <w:szCs w:val="33"/>
                              </w:rPr>
                            </w:pPr>
                          </w:p>
                          <w:p>
                            <w:pPr>
                              <w:pStyle w:val="2"/>
                              <w:widowControl/>
                              <w:shd w:val="clear" w:color="auto" w:fill="FFFFFF"/>
                              <w:spacing w:beforeAutospacing="0" w:after="210" w:afterAutospacing="0" w:line="21" w:lineRule="atLeast"/>
                              <w:rPr>
                                <w:rFonts w:hint="default" w:cs="宋体"/>
                                <w:kern w:val="0"/>
                                <w:sz w:val="33"/>
                                <w:szCs w:val="33"/>
                              </w:rPr>
                            </w:pPr>
                            <w:r>
                              <w:rPr>
                                <w:rFonts w:cs="宋体"/>
                                <w:kern w:val="0"/>
                                <w:sz w:val="33"/>
                                <w:szCs w:val="33"/>
                              </w:rPr>
                              <w:t>4.</w:t>
                            </w:r>
                            <w:r>
                              <w:t xml:space="preserve"> </w:t>
                            </w:r>
                            <w:r>
                              <w:rPr>
                                <w:sz w:val="33"/>
                                <w:szCs w:val="33"/>
                              </w:rPr>
                              <w:t>门诊统筹药店，已突破14万家</w:t>
                            </w:r>
                          </w:p>
                          <w:p/>
                          <w:p/>
                          <w:p>
                            <w:pPr>
                              <w:rPr>
                                <w:rFonts w:hint="eastAsia"/>
                              </w:rPr>
                            </w:pPr>
                          </w:p>
                          <w:p>
                            <w:pPr>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5.</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区域龙头批发大比拼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hint="eastAsia"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b/>
                                <w:sz w:val="36"/>
                                <w:szCs w:val="36"/>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txbxContent>
                      </wps:txbx>
                      <wps:bodyPr upright="1"/>
                    </wps:wsp>
                  </a:graphicData>
                </a:graphic>
              </wp:anchor>
            </w:drawing>
          </mc:Choice>
          <mc:Fallback>
            <w:pict>
              <v:shape id="文本框 14" o:spid="_x0000_s1026" o:spt="202" type="#_x0000_t202" style="position:absolute;left:0pt;margin-left:122.4pt;margin-top:8.4pt;height:620pt;width:331.5pt;z-index:251667456;mso-width-relative:page;mso-height-relative:page;" filled="f" stroked="f" coordsize="21600,21600" o:gfxdata="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3V9LjbAAAACwEAAA8AAAAAAAAAAQAgAAAAIgAAAGRycy9kb3ducmV2LnhtbFBL&#10;AQIUABQAAAAIAIdO4kDeKUPvugEAAGkDAAAOAAAAAAAAAAEAIAAAACoBAABkcnMvZTJvRG9jLnht&#10;bFBLBQYAAAAABgAGAFkBAABWBQAAAAA=&#10;">
                <v:fill on="f" focussize="0,0"/>
                <v:stroke on="f" weight="1.25pt"/>
                <v:imagedata o:title=""/>
                <o:lock v:ext="edit" aspectratio="f"/>
                <v:textbox>
                  <w:txbxContent>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1.</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国家医保局发文，推进医疗保障基金智能审核和监控</w:t>
                      </w:r>
                    </w:p>
                    <w:p>
                      <w:pPr>
                        <w:rPr>
                          <w:rFonts w:ascii="宋体" w:hAnsi="宋体" w:cs="宋体"/>
                          <w:b/>
                          <w:bCs/>
                          <w:kern w:val="0"/>
                          <w:sz w:val="33"/>
                          <w:szCs w:val="33"/>
                        </w:rPr>
                      </w:pPr>
                    </w:p>
                    <w:p>
                      <w:pPr>
                        <w:rPr>
                          <w:rFonts w:hint="eastAsia" w:ascii="宋体" w:hAnsi="宋体" w:cs="宋体"/>
                          <w:b/>
                          <w:bCs/>
                          <w:kern w:val="0"/>
                          <w:sz w:val="33"/>
                          <w:szCs w:val="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2.</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国家药监局出台</w:t>
                      </w:r>
                      <w:r>
                        <w:rPr>
                          <w:rFonts w:hint="eastAsia" w:asciiTheme="majorEastAsia" w:hAnsiTheme="majorEastAsia" w:eastAsiaTheme="majorEastAsia" w:cstheme="majorEastAsia"/>
                          <w:i w:val="0"/>
                          <w:iCs w:val="0"/>
                          <w:caps w:val="0"/>
                          <w:spacing w:val="8"/>
                          <w:sz w:val="33"/>
                          <w:szCs w:val="33"/>
                          <w:shd w:val="clear" w:fill="FFFFFF"/>
                          <w:lang w:val="en-US" w:eastAsia="zh-CN"/>
                        </w:rPr>
                        <w:t>医疗器械网络销售</w:t>
                      </w:r>
                      <w:r>
                        <w:rPr>
                          <w:rFonts w:hint="eastAsia" w:asciiTheme="majorEastAsia" w:hAnsiTheme="majorEastAsia" w:eastAsiaTheme="majorEastAsia" w:cstheme="majorEastAsia"/>
                          <w:i w:val="0"/>
                          <w:iCs w:val="0"/>
                          <w:caps w:val="0"/>
                          <w:spacing w:val="8"/>
                          <w:sz w:val="33"/>
                          <w:szCs w:val="33"/>
                          <w:shd w:val="clear" w:fill="FFFFFF"/>
                        </w:rPr>
                        <w:t>新规</w:t>
                      </w:r>
                    </w:p>
                    <w:p>
                      <w:pPr>
                        <w:rPr>
                          <w:rFonts w:ascii="宋体" w:hAnsi="宋体" w:cs="宋体"/>
                          <w:b/>
                          <w:bCs/>
                          <w:kern w:val="0"/>
                          <w:sz w:val="33"/>
                          <w:szCs w:val="33"/>
                        </w:rPr>
                      </w:pPr>
                    </w:p>
                    <w:p>
                      <w:pPr>
                        <w:rPr>
                          <w:rFonts w:ascii="宋体" w:hAnsi="宋体" w:cs="宋体"/>
                          <w:b/>
                          <w:bCs/>
                          <w:kern w:val="0"/>
                          <w:sz w:val="33"/>
                          <w:szCs w:val="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宋体" w:hAnsi="宋体" w:cs="宋体"/>
                          <w:b/>
                          <w:bCs/>
                          <w:kern w:val="0"/>
                          <w:sz w:val="33"/>
                          <w:szCs w:val="33"/>
                        </w:rPr>
                      </w:pPr>
                      <w:r>
                        <w:rPr>
                          <w:rFonts w:hint="eastAsia" w:ascii="宋体" w:hAnsi="宋体" w:cs="宋体"/>
                          <w:b/>
                          <w:bCs/>
                          <w:kern w:val="0"/>
                          <w:sz w:val="33"/>
                          <w:szCs w:val="33"/>
                        </w:rPr>
                        <w:t>3.</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近万家药店开卖集采药</w:t>
                      </w:r>
                    </w:p>
                    <w:p>
                      <w:pPr>
                        <w:rPr>
                          <w:rFonts w:ascii="宋体" w:hAnsi="宋体" w:cs="宋体"/>
                          <w:b/>
                          <w:bCs/>
                          <w:kern w:val="0"/>
                          <w:sz w:val="33"/>
                          <w:szCs w:val="33"/>
                        </w:rPr>
                      </w:pPr>
                    </w:p>
                    <w:p>
                      <w:pPr>
                        <w:rPr>
                          <w:rFonts w:ascii="宋体" w:hAnsi="宋体" w:cs="宋体"/>
                          <w:b/>
                          <w:bCs/>
                          <w:kern w:val="0"/>
                          <w:sz w:val="33"/>
                          <w:szCs w:val="33"/>
                        </w:rPr>
                      </w:pPr>
                    </w:p>
                    <w:p>
                      <w:pPr>
                        <w:pStyle w:val="2"/>
                        <w:widowControl/>
                        <w:shd w:val="clear" w:color="auto" w:fill="FFFFFF"/>
                        <w:spacing w:beforeAutospacing="0" w:after="210" w:afterAutospacing="0" w:line="21" w:lineRule="atLeast"/>
                        <w:rPr>
                          <w:rFonts w:hint="default" w:cs="宋体"/>
                          <w:kern w:val="0"/>
                          <w:sz w:val="33"/>
                          <w:szCs w:val="33"/>
                        </w:rPr>
                      </w:pPr>
                      <w:r>
                        <w:rPr>
                          <w:rFonts w:cs="宋体"/>
                          <w:kern w:val="0"/>
                          <w:sz w:val="33"/>
                          <w:szCs w:val="33"/>
                        </w:rPr>
                        <w:t>4.</w:t>
                      </w:r>
                      <w:r>
                        <w:t xml:space="preserve"> </w:t>
                      </w:r>
                      <w:r>
                        <w:rPr>
                          <w:sz w:val="33"/>
                          <w:szCs w:val="33"/>
                        </w:rPr>
                        <w:t>门诊统筹药店，已突破14万家</w:t>
                      </w:r>
                    </w:p>
                    <w:p/>
                    <w:p/>
                    <w:p>
                      <w:pPr>
                        <w:rPr>
                          <w:rFonts w:hint="eastAsia"/>
                        </w:rPr>
                      </w:pPr>
                    </w:p>
                    <w:p>
                      <w:pPr>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宋体" w:hAnsi="宋体" w:cs="宋体"/>
                          <w:b/>
                          <w:bCs/>
                          <w:kern w:val="0"/>
                          <w:sz w:val="33"/>
                          <w:szCs w:val="33"/>
                        </w:rPr>
                        <w:t>5.</w:t>
                      </w:r>
                      <w:r>
                        <w:rPr>
                          <w:rFonts w:hint="eastAsia"/>
                        </w:rPr>
                        <w:t xml:space="preserve"> </w:t>
                      </w:r>
                      <w:r>
                        <w:rPr>
                          <w:rFonts w:hint="eastAsia" w:asciiTheme="majorEastAsia" w:hAnsiTheme="majorEastAsia" w:eastAsiaTheme="majorEastAsia" w:cstheme="majorEastAsia"/>
                          <w:i w:val="0"/>
                          <w:iCs w:val="0"/>
                          <w:caps w:val="0"/>
                          <w:spacing w:val="8"/>
                          <w:sz w:val="33"/>
                          <w:szCs w:val="33"/>
                          <w:shd w:val="clear" w:fill="FFFFFF"/>
                        </w:rPr>
                        <w:t>区域龙头批发大比拼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hint="eastAsia"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rFonts w:ascii="宋体" w:hAnsi="宋体" w:cs="宋体"/>
                          <w:b/>
                          <w:bCs/>
                          <w:kern w:val="0"/>
                          <w:sz w:val="33"/>
                          <w:szCs w:val="33"/>
                        </w:rPr>
                      </w:pPr>
                    </w:p>
                    <w:p>
                      <w:pPr>
                        <w:rPr>
                          <w:b/>
                          <w:sz w:val="36"/>
                          <w:szCs w:val="36"/>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p>
                      <w:pPr>
                        <w:widowControl/>
                        <w:spacing w:after="210"/>
                        <w:jc w:val="left"/>
                        <w:outlineLvl w:val="1"/>
                        <w:rPr>
                          <w:rFonts w:ascii="宋体" w:hAnsi="宋体" w:cs="宋体"/>
                          <w:b/>
                          <w:bCs/>
                          <w:kern w:val="0"/>
                          <w:sz w:val="33"/>
                          <w:szCs w:val="33"/>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a:effectLst/>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9</w:t>
                            </w:r>
                            <w:r>
                              <w:rPr>
                                <w:rFonts w:hint="eastAsia"/>
                                <w:b/>
                                <w:sz w:val="36"/>
                                <w:szCs w:val="36"/>
                              </w:rPr>
                              <w:t>月第</w:t>
                            </w:r>
                            <w:r>
                              <w:rPr>
                                <w:rFonts w:hint="eastAsia"/>
                                <w:b/>
                                <w:sz w:val="36"/>
                                <w:szCs w:val="36"/>
                                <w:lang w:val="en-US" w:eastAsia="zh-CN"/>
                              </w:rPr>
                              <w:t>9</w:t>
                            </w:r>
                            <w:r>
                              <w:rPr>
                                <w:rFonts w:hint="eastAsia"/>
                                <w:b/>
                                <w:sz w:val="36"/>
                                <w:szCs w:val="36"/>
                              </w:rPr>
                              <w:t>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4384;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9i6d63AAAAAoBAAAPAAAAAAAAAAEAIAAAACIAAABkcnMvZG93bnJldi54bWxQ&#10;SwECFAAUAAAACACHTuJAdfhuTroBAABoAwAADgAAAAAAAAABACAAAAArAQAAZHJzL2Uyb0RvYy54&#10;bWxQSwUGAAAAAAYABgBZAQAAVwU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9</w:t>
                      </w:r>
                      <w:r>
                        <w:rPr>
                          <w:rFonts w:hint="eastAsia"/>
                          <w:b/>
                          <w:sz w:val="36"/>
                          <w:szCs w:val="36"/>
                        </w:rPr>
                        <w:t>月第</w:t>
                      </w:r>
                      <w:r>
                        <w:rPr>
                          <w:rFonts w:hint="eastAsia"/>
                          <w:b/>
                          <w:sz w:val="36"/>
                          <w:szCs w:val="36"/>
                          <w:lang w:val="en-US" w:eastAsia="zh-CN"/>
                        </w:rPr>
                        <w:t>9</w:t>
                      </w:r>
                      <w:r>
                        <w:rPr>
                          <w:rFonts w:hint="eastAsia"/>
                          <w:b/>
                          <w:sz w:val="36"/>
                          <w:szCs w:val="36"/>
                        </w:rPr>
                        <w:t>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120015</wp:posOffset>
                </wp:positionV>
                <wp:extent cx="2143125" cy="635"/>
                <wp:effectExtent l="0" t="17145" r="9525" b="20320"/>
                <wp:wrapNone/>
                <wp:docPr id="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a:effectLst/>
                      </wps:spPr>
                      <wps:bodyPr/>
                    </wps:wsp>
                  </a:graphicData>
                </a:graphic>
              </wp:anchor>
            </w:drawing>
          </mc:Choice>
          <mc:Fallback>
            <w:pict>
              <v:shape id="Straight Connector 5" o:spid="_x0000_s1026"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iHt&#10;0tgAAAAKAQAADwAAAAAAAAABACAAAAAiAAAAZHJzL2Rvd25yZXYueG1sUEsBAhQAFAAAAAgAh07i&#10;QCu8JFXpAQAA+gMAAA4AAAAAAAAAAQAgAAAAJwEAAGRycy9lMm9Eb2MueG1sUEsFBgAAAAAGAAYA&#10;WQEAAIIFA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a:effectLst/>
                      </wps:spPr>
                      <wps:txbx>
                        <w:txbxContent>
                          <w:p>
                            <w:pPr>
                              <w:jc w:val="center"/>
                              <w:rPr>
                                <w:sz w:val="44"/>
                                <w:szCs w:val="44"/>
                              </w:rPr>
                            </w:pPr>
                            <w:r>
                              <w:rPr>
                                <w:rFonts w:hint="eastAsia"/>
                                <w:sz w:val="44"/>
                                <w:szCs w:val="44"/>
                              </w:rPr>
                              <w:t>2023.</w:t>
                            </w:r>
                            <w:r>
                              <w:rPr>
                                <w:rFonts w:hint="eastAsia"/>
                                <w:sz w:val="44"/>
                                <w:szCs w:val="44"/>
                                <w:lang w:val="en-US" w:eastAsia="zh-CN"/>
                              </w:rPr>
                              <w:t>9</w:t>
                            </w:r>
                            <w:r>
                              <w:rPr>
                                <w:rFonts w:hint="eastAsia"/>
                                <w:sz w:val="44"/>
                                <w:szCs w:val="44"/>
                              </w:rPr>
                              <w:t xml:space="preserve">                                                                                                                                                                                                                                                                                                                                                                                                                                                                                                                                                                                                                                                                                                                                                                                                                                                                                                                                                                                                                                                                                                                                   .25</w:t>
                            </w:r>
                          </w:p>
                        </w:txbxContent>
                      </wps:txbx>
                      <wps:bodyPr upright="1"/>
                    </wps:wsp>
                  </a:graphicData>
                </a:graphic>
              </wp:anchor>
            </w:drawing>
          </mc:Choice>
          <mc:Fallback>
            <w:pict>
              <v:shape id="文本框 12" o:spid="_x0000_s1026" o:spt="202" type="#_x0000_t202" style="position:absolute;left:0pt;margin-left:-53.1pt;margin-top:10.65pt;height:60pt;width:140.25pt;z-index:251665408;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jKqV3AAAAAsBAAAPAAAAAAAAAAEAIAAAACIAAABkcnMvZG93bnJldi54bWxQ&#10;SwECFAAUAAAACACHTuJAX3/DXboBAABoAwAADgAAAAAAAAABACAAAAArAQAAZHJzL2Uyb0RvYy54&#10;bWxQSwUGAAAAAAYABgBZAQAAVwUAAAAA&#10;">
                <v:fill on="f" focussize="0,0"/>
                <v:stroke on="f" weight="1.25pt"/>
                <v:imagedata o:title=""/>
                <o:lock v:ext="edit" aspectratio="f"/>
                <v:textbox>
                  <w:txbxContent>
                    <w:p>
                      <w:pPr>
                        <w:jc w:val="center"/>
                        <w:rPr>
                          <w:sz w:val="44"/>
                          <w:szCs w:val="44"/>
                        </w:rPr>
                      </w:pPr>
                      <w:r>
                        <w:rPr>
                          <w:rFonts w:hint="eastAsia"/>
                          <w:sz w:val="44"/>
                          <w:szCs w:val="44"/>
                        </w:rPr>
                        <w:t>2023.</w:t>
                      </w:r>
                      <w:r>
                        <w:rPr>
                          <w:rFonts w:hint="eastAsia"/>
                          <w:sz w:val="44"/>
                          <w:szCs w:val="44"/>
                          <w:lang w:val="en-US" w:eastAsia="zh-CN"/>
                        </w:rPr>
                        <w:t>9</w:t>
                      </w:r>
                      <w:r>
                        <w:rPr>
                          <w:rFonts w:hint="eastAsia"/>
                          <w:sz w:val="44"/>
                          <w:szCs w:val="44"/>
                        </w:rPr>
                        <w:t xml:space="preserve">                                                                                                                                                                                                                                                                                                                                                                                                                                                                                                                                                                                                                                                                                                                                                                                                                                                                                                                                                                                                                                                                                                                                   .25</w:t>
                      </w:r>
                    </w:p>
                  </w:txbxContent>
                </v:textbox>
              </v:shape>
            </w:pict>
          </mc:Fallback>
        </mc:AlternateContent>
      </w:r>
    </w:p>
    <w:p>
      <w:pPr>
        <w:tabs>
          <w:tab w:val="left" w:pos="5245"/>
        </w:tabs>
      </w:pPr>
    </w:p>
    <w:p>
      <w:pPr>
        <w:tabs>
          <w:tab w:val="left" w:pos="5245"/>
        </w:tabs>
      </w:pPr>
    </w:p>
    <w:p>
      <w:pPr>
        <w:tabs>
          <w:tab w:val="left" w:pos="5245"/>
        </w:tabs>
      </w:pPr>
    </w:p>
    <w:p>
      <w:pPr>
        <w:tabs>
          <w:tab w:val="left" w:pos="5245"/>
        </w:tabs>
        <w:rPr>
          <w:rFonts w:hint="eastAsia"/>
        </w:rPr>
      </w:pPr>
    </w:p>
    <w:p>
      <w:pPr>
        <w:tabs>
          <w:tab w:val="left" w:pos="5245"/>
        </w:tabs>
      </w:pPr>
      <w:r>
        <mc:AlternateContent>
          <mc:Choice Requires="wps">
            <w:drawing>
              <wp:anchor distT="0" distB="0" distL="114300" distR="114300" simplePos="0" relativeHeight="251666432" behindDoc="0" locked="0" layoutInCell="1" allowOverlap="1">
                <wp:simplePos x="0" y="0"/>
                <wp:positionH relativeFrom="column">
                  <wp:posOffset>-554990</wp:posOffset>
                </wp:positionH>
                <wp:positionV relativeFrom="paragraph">
                  <wp:posOffset>48895</wp:posOffset>
                </wp:positionV>
                <wp:extent cx="1695450" cy="2562225"/>
                <wp:effectExtent l="0" t="0" r="0" b="0"/>
                <wp:wrapNone/>
                <wp:docPr id="19"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a:effectLst/>
                      </wps:spPr>
                      <wps:txbx>
                        <w:txbxContent>
                          <w:p/>
                          <w:p/>
                          <w:p/>
                          <w:p>
                            <w:pPr>
                              <w:rPr>
                                <w:b/>
                                <w:sz w:val="32"/>
                                <w:szCs w:val="32"/>
                              </w:rPr>
                            </w:pPr>
                            <w:r>
                              <w:rPr>
                                <w:rFonts w:hint="eastAsia"/>
                                <w:b/>
                                <w:sz w:val="32"/>
                                <w:szCs w:val="32"/>
                              </w:rPr>
                              <w:t>总  编  朱卫东副总编  杨亚南  责任编辑车成刚</w:t>
                            </w:r>
                          </w:p>
                        </w:txbxContent>
                      </wps:txbx>
                      <wps:bodyPr upright="1"/>
                    </wps:wsp>
                  </a:graphicData>
                </a:graphic>
              </wp:anchor>
            </w:drawing>
          </mc:Choice>
          <mc:Fallback>
            <w:pict>
              <v:shape id="文本框 13" o:spid="_x0000_s1026" o:spt="202" type="#_x0000_t202" style="position:absolute;left:0pt;margin-left:-43.7pt;margin-top:3.85pt;height:201.75pt;width:133.5pt;z-index:251666432;mso-width-relative:page;mso-height-relative:page;" filled="f" stroked="f" coordsize="21600,21600" o:gfxdata="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a10ztsAAAAJAQAADwAAAAAAAAABACAAAAAiAAAAZHJzL2Rvd25yZXYueG1s&#10;UEsBAhQAFAAAAAgAh07iQEncUQe8AQAAaQMAAA4AAAAAAAAAAQAgAAAAKgEAAGRycy9lMm9Eb2Mu&#10;eG1sUEsFBgAAAAAGAAYAWQEAAFgFAAAAAA==&#10;">
                <v:fill on="f" focussize="0,0"/>
                <v:stroke on="f" weight="1.25pt"/>
                <v:imagedata o:title=""/>
                <o:lock v:ext="edit" aspectratio="f"/>
                <v:textbox>
                  <w:txbxContent>
                    <w:p/>
                    <w:p/>
                    <w:p/>
                    <w:p>
                      <w:pPr>
                        <w:rPr>
                          <w:b/>
                          <w:sz w:val="32"/>
                          <w:szCs w:val="32"/>
                        </w:rPr>
                      </w:pPr>
                      <w:r>
                        <w:rPr>
                          <w:rFonts w:hint="eastAsia"/>
                          <w:b/>
                          <w:sz w:val="32"/>
                          <w:szCs w:val="32"/>
                        </w:rPr>
                        <w:t>总  编  朱卫东副总编  杨亚南  责任编辑车成刚</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1312" behindDoc="0" locked="0" layoutInCell="1" allowOverlap="1">
                <wp:simplePos x="0" y="0"/>
                <wp:positionH relativeFrom="column">
                  <wp:posOffset>-1008380</wp:posOffset>
                </wp:positionH>
                <wp:positionV relativeFrom="paragraph">
                  <wp:posOffset>864235</wp:posOffset>
                </wp:positionV>
                <wp:extent cx="6781800" cy="635"/>
                <wp:effectExtent l="0" t="19050" r="0" b="37465"/>
                <wp:wrapNone/>
                <wp:docPr id="7"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a:effectLst/>
                      </wps:spPr>
                      <wps:bodyPr/>
                    </wps:wsp>
                  </a:graphicData>
                </a:graphic>
              </wp:anchor>
            </w:drawing>
          </mc:Choice>
          <mc:Fallback>
            <w:pict>
              <v:shape id="Straight Connector 4" o:spid="_x0000_s1026" o:spt="32" type="#_x0000_t32" style="position:absolute;left:0pt;margin-left:-79.4pt;margin-top:68.05pt;height:0.05pt;width:534pt;z-index:251661312;mso-width-relative:page;mso-height-relative:page;" filled="f" stroked="t" coordsize="21600,21600" o:gfxdata="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JV&#10;+5XZAAAADAEAAA8AAAAAAAAAAQAgAAAAIgAAAGRycy9kb3ducmV2LnhtbFBLAQIUABQAAAAIAIdO&#10;4kDls6Yh6QEAAPoDAAAOAAAAAAAAAAEAIAAAACgBAABkcnMvZTJvRG9jLnhtbFBLBQYAAAAABgAG&#10;AFkBAACDBQAAAAA=&#10;">
                <v:fill on="f" focussize="0,0"/>
                <v:stroke weight="3pt" color="#548DD4" joinstyle="round"/>
                <v:imagedata o:title=""/>
                <o:lock v:ext="edit" aspectratio="f"/>
              </v:shape>
            </w:pict>
          </mc:Fallback>
        </mc:AlternateContent>
      </w:r>
    </w:p>
    <w:p>
      <w:pPr>
        <w:tabs>
          <w:tab w:val="left" w:pos="5245"/>
        </w:tabs>
      </w:pP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tbl>
      <w:tblPr>
        <w:tblStyle w:val="13"/>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Theme="minorEastAsia" w:hAnsiTheme="minorEastAsia" w:eastAsiaTheme="minorEastAsia"/>
                <w:b/>
                <w:color w:val="000000"/>
                <w:sz w:val="32"/>
                <w:szCs w:val="32"/>
              </w:rPr>
            </w:pPr>
            <w:r>
              <w:rPr>
                <w:rFonts w:hint="eastAsia" w:asciiTheme="majorEastAsia" w:hAnsiTheme="majorEastAsia" w:eastAsiaTheme="majorEastAsia" w:cstheme="majorEastAsia"/>
                <w:i w:val="0"/>
                <w:iCs w:val="0"/>
                <w:caps w:val="0"/>
                <w:spacing w:val="8"/>
                <w:sz w:val="33"/>
                <w:szCs w:val="33"/>
                <w:shd w:val="clear" w:fill="FFFFFF"/>
              </w:rPr>
              <w:t>国家医保局发文，推进医疗保障基金智能审核和监控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ind w:firstLine="280" w:firstLineChars="1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2023-</w:t>
            </w:r>
            <w:r>
              <w:rPr>
                <w:rFonts w:hint="eastAsia" w:asciiTheme="minorEastAsia" w:hAnsiTheme="minorEastAsia" w:eastAsiaTheme="minorEastAsia"/>
                <w:sz w:val="28"/>
                <w:szCs w:val="28"/>
                <w:lang w:val="en-US" w:eastAsia="zh-CN"/>
              </w:rPr>
              <w:t>9</w:t>
            </w:r>
            <w:r>
              <w:rPr>
                <w:rFonts w:hint="eastAsia" w:asciiTheme="minorEastAsia" w:hAnsiTheme="minorEastAsia" w:eastAsiaTheme="minorEastAsia"/>
                <w:sz w:val="28"/>
                <w:szCs w:val="28"/>
              </w:rPr>
              <w:t>-2</w:t>
            </w:r>
            <w:r>
              <w:rPr>
                <w:rFonts w:hint="eastAsia" w:asciiTheme="minorEastAsia" w:hAnsiTheme="minorEastAsia" w:eastAsiaTheme="minorEastAsia"/>
                <w:sz w:val="28"/>
                <w:szCs w:val="28"/>
                <w:lang w:val="en-US" w:eastAsia="zh-CN"/>
              </w:rPr>
              <w:t>5</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 </w:t>
            </w:r>
            <w:r>
              <w:rPr>
                <w:rFonts w:hint="eastAsia" w:asciiTheme="minorEastAsia" w:hAnsiTheme="minorEastAsia" w:eastAsiaTheme="minorEastAsia"/>
                <w:sz w:val="28"/>
                <w:szCs w:val="28"/>
                <w:lang w:val="en-US" w:eastAsia="zh-CN"/>
              </w:rPr>
              <w:fldChar w:fldCharType="begin"/>
            </w:r>
            <w:r>
              <w:rPr>
                <w:rFonts w:hint="eastAsia" w:asciiTheme="minorEastAsia" w:hAnsiTheme="minorEastAsia" w:eastAsiaTheme="minorEastAsia"/>
                <w:sz w:val="28"/>
                <w:szCs w:val="28"/>
                <w:lang w:val="en-US" w:eastAsia="zh-CN"/>
              </w:rPr>
              <w:instrText xml:space="preserve"> HYPERLINK "javascript:void(0);" </w:instrText>
            </w:r>
            <w:r>
              <w:rPr>
                <w:rFonts w:hint="eastAsia" w:asciiTheme="minorEastAsia" w:hAnsiTheme="minorEastAsia" w:eastAsiaTheme="minorEastAsia"/>
                <w:sz w:val="28"/>
                <w:szCs w:val="28"/>
                <w:lang w:val="en-US" w:eastAsia="zh-CN"/>
              </w:rPr>
              <w:fldChar w:fldCharType="separate"/>
            </w:r>
            <w:r>
              <w:rPr>
                <w:rFonts w:hint="eastAsia" w:asciiTheme="minorEastAsia" w:hAnsiTheme="minorEastAsia" w:eastAsiaTheme="minorEastAsia"/>
                <w:sz w:val="28"/>
                <w:szCs w:val="28"/>
              </w:rPr>
              <w:t>米内零售观察</w:t>
            </w:r>
            <w:r>
              <w:rPr>
                <w:rFonts w:hint="eastAsia" w:asciiTheme="minorEastAsia" w:hAnsiTheme="minorEastAsia" w:eastAsiaTheme="minor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tcPr>
          <w:p>
            <w:pPr>
              <w:tabs>
                <w:tab w:val="left" w:pos="7088"/>
              </w:tabs>
              <w:jc w:val="center"/>
              <w:rPr>
                <w:b/>
                <w:sz w:val="28"/>
                <w:szCs w:val="28"/>
              </w:rPr>
            </w:pPr>
            <w:r>
              <w:rPr>
                <w:rFonts w:hint="eastAsia"/>
                <w:b/>
                <w:sz w:val="30"/>
                <w:szCs w:val="30"/>
              </w:rPr>
              <w:t>信息确认</w:t>
            </w:r>
          </w:p>
        </w:tc>
        <w:tc>
          <w:tcPr>
            <w:tcW w:w="2487"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 </w:t>
            </w:r>
            <w:r>
              <w:rPr>
                <w:rFonts w:hint="eastAsia" w:asciiTheme="minorEastAsia" w:hAnsiTheme="minorEastAsia" w:eastAsiaTheme="minorEastAsia"/>
                <w:sz w:val="28"/>
                <w:szCs w:val="28"/>
                <w:lang w:val="en-US" w:eastAsia="zh-CN"/>
              </w:rPr>
              <w:fldChar w:fldCharType="begin"/>
            </w:r>
            <w:r>
              <w:rPr>
                <w:rFonts w:hint="eastAsia" w:asciiTheme="minorEastAsia" w:hAnsiTheme="minorEastAsia" w:eastAsiaTheme="minorEastAsia"/>
                <w:sz w:val="28"/>
                <w:szCs w:val="28"/>
                <w:lang w:val="en-US" w:eastAsia="zh-CN"/>
              </w:rPr>
              <w:instrText xml:space="preserve"> HYPERLINK "javascript:void(0);" </w:instrText>
            </w:r>
            <w:r>
              <w:rPr>
                <w:rFonts w:hint="eastAsia" w:asciiTheme="minorEastAsia" w:hAnsiTheme="minorEastAsia" w:eastAsiaTheme="minorEastAsia"/>
                <w:sz w:val="28"/>
                <w:szCs w:val="28"/>
                <w:lang w:val="en-US" w:eastAsia="zh-CN"/>
              </w:rPr>
              <w:fldChar w:fldCharType="separate"/>
            </w:r>
            <w:r>
              <w:rPr>
                <w:rFonts w:hint="eastAsia" w:asciiTheme="minorEastAsia" w:hAnsiTheme="minorEastAsia" w:eastAsiaTheme="minorEastAsia"/>
                <w:sz w:val="28"/>
                <w:szCs w:val="28"/>
              </w:rPr>
              <w:t>米内零售观察</w:t>
            </w:r>
            <w:r>
              <w:rPr>
                <w:rFonts w:hint="eastAsia" w:asciiTheme="minorEastAsia" w:hAnsiTheme="minorEastAsia" w:eastAsiaTheme="minor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val="en-US" w:eastAsia="zh-CN"/>
              </w:rPr>
              <w:t>医疗保障</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基金，智能</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监管</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560" w:firstLineChars="200"/>
              <w:jc w:val="both"/>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日前，国家医保局发布《关于进一步深入推进医疗保障基金智能审核和监控工作的通知》，以加快推进医疗保障基金智能审核和监控工作，实施大数据实时动态智能监控，构建事前、事中、事后全环节监管的基金安全防控机制，织密织紧基金监管防线。</w:t>
            </w:r>
          </w:p>
          <w:p>
            <w:pPr>
              <w:numPr>
                <w:ilvl w:val="0"/>
                <w:numId w:val="1"/>
              </w:numPr>
              <w:ind w:left="420"/>
              <w:rPr>
                <w:rFonts w:ascii="宋体" w:hAnsi="宋体" w:cs="宋体"/>
                <w:sz w:val="28"/>
                <w:szCs w:val="28"/>
              </w:rPr>
            </w:pPr>
            <w:r>
              <w:rPr>
                <w:rFonts w:hint="eastAsia" w:ascii="宋体" w:hAnsi="宋体" w:cs="宋体"/>
                <w:sz w:val="28"/>
                <w:szCs w:val="28"/>
              </w:rPr>
              <w:t>加强“两库”建设和应用 初步实现全国智能监控“一张网”；</w:t>
            </w:r>
          </w:p>
          <w:p>
            <w:pPr>
              <w:numPr>
                <w:ilvl w:val="0"/>
                <w:numId w:val="1"/>
              </w:numPr>
              <w:ind w:left="420"/>
              <w:rPr>
                <w:rFonts w:ascii="宋体" w:hAnsi="宋体" w:cs="宋体"/>
                <w:sz w:val="28"/>
                <w:szCs w:val="28"/>
              </w:rPr>
            </w:pPr>
            <w:r>
              <w:rPr>
                <w:rFonts w:hint="eastAsia" w:ascii="宋体" w:hAnsi="宋体" w:cs="宋体"/>
                <w:sz w:val="28"/>
                <w:szCs w:val="28"/>
              </w:rPr>
              <w:t>文件密集出台 定点药店首次被纳入飞检 ；</w:t>
            </w:r>
          </w:p>
          <w:p>
            <w:pPr>
              <w:numPr>
                <w:ilvl w:val="0"/>
                <w:numId w:val="1"/>
              </w:numPr>
              <w:ind w:left="420"/>
              <w:rPr>
                <w:rFonts w:ascii="宋体" w:hAnsi="宋体" w:cs="宋体"/>
                <w:sz w:val="28"/>
                <w:szCs w:val="28"/>
              </w:rPr>
            </w:pPr>
            <w:r>
              <w:rPr>
                <w:rFonts w:hint="eastAsia" w:ascii="宋体" w:hAnsi="宋体" w:cs="宋体"/>
                <w:sz w:val="28"/>
                <w:szCs w:val="28"/>
              </w:rPr>
              <w:t>全国已有14万家门诊统筹药店 多地强化监管。</w:t>
            </w:r>
          </w:p>
          <w:p>
            <w:pPr>
              <w:rPr>
                <w:rFonts w:hint="eastAsia" w:ascii="宋体" w:hAnsi="宋体" w:cs="宋体"/>
                <w:sz w:val="28"/>
                <w:szCs w:val="28"/>
              </w:rPr>
            </w:pPr>
          </w:p>
          <w:p>
            <w:pPr>
              <w:ind w:left="420"/>
              <w:rPr>
                <w:rFonts w:hint="eastAsia" w:asciiTheme="minorEastAsia" w:hAnsiTheme="minorEastAsia"/>
                <w:sz w:val="28"/>
                <w:szCs w:val="28"/>
              </w:rPr>
            </w:pPr>
          </w:p>
          <w:p>
            <w:pPr>
              <w:pStyle w:val="3"/>
              <w:spacing w:before="0" w:beforeAutospacing="0" w:after="210" w:afterAutospacing="0" w:line="21" w:lineRule="atLeast"/>
              <w:rPr>
                <w:rFonts w:asciiTheme="minorEastAsia" w:hAnsiTheme="minorEastAsia" w:eastAsiaTheme="minorEastAsia"/>
                <w:sz w:val="28"/>
                <w:szCs w:val="28"/>
              </w:rPr>
            </w:pPr>
            <w:r>
              <w:rPr>
                <w:rFonts w:hint="eastAsia" w:ascii="Calibri" w:hAnsi="Calibri" w:cs="Times New Roman"/>
                <w:kern w:val="2"/>
                <w:sz w:val="21"/>
                <w:szCs w:val="22"/>
              </w:rPr>
              <w:t>附件1: 国家医保局发文，推进医疗保障基金智能审核和监控</w:t>
            </w:r>
          </w:p>
        </w:tc>
      </w:tr>
    </w:tbl>
    <w:p>
      <w:pPr>
        <w:tabs>
          <w:tab w:val="left" w:pos="5245"/>
        </w:tabs>
      </w:pPr>
    </w:p>
    <w:tbl>
      <w:tblPr>
        <w:tblStyle w:val="13"/>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spacing w:before="0" w:beforeAutospacing="0" w:after="210" w:afterAutospacing="0" w:line="21" w:lineRule="atLeast"/>
              <w:rPr>
                <w:rFonts w:asciiTheme="minorEastAsia" w:hAnsiTheme="minorEastAsia" w:eastAsiaTheme="minorEastAsia"/>
                <w:b/>
                <w:sz w:val="32"/>
                <w:szCs w:val="32"/>
              </w:rPr>
            </w:pPr>
            <w:r>
              <w:rPr>
                <w:rFonts w:hint="eastAsia" w:asciiTheme="minorEastAsia" w:hAnsiTheme="minorEastAsia" w:eastAsiaTheme="minorEastAsia"/>
                <w:b/>
                <w:sz w:val="32"/>
                <w:szCs w:val="32"/>
              </w:rPr>
              <w:t>国家药监局出台</w:t>
            </w:r>
            <w:r>
              <w:rPr>
                <w:rFonts w:hint="eastAsia" w:asciiTheme="minorEastAsia" w:hAnsiTheme="minorEastAsia" w:eastAsiaTheme="minorEastAsia"/>
                <w:b/>
                <w:sz w:val="32"/>
                <w:szCs w:val="32"/>
                <w:lang w:val="en-US" w:eastAsia="zh-CN"/>
              </w:rPr>
              <w:t>医疗器械网络销售</w:t>
            </w:r>
            <w:r>
              <w:rPr>
                <w:rFonts w:hint="eastAsia" w:asciiTheme="minorEastAsia" w:hAnsiTheme="minorEastAsia" w:eastAsiaTheme="minorEastAsia"/>
                <w:b/>
                <w:sz w:val="32"/>
                <w:szCs w:val="32"/>
              </w:rPr>
              <w:t>新规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2023-</w:t>
            </w:r>
            <w:r>
              <w:rPr>
                <w:rFonts w:hint="eastAsia" w:cs="Helvetica" w:asciiTheme="minorEastAsia" w:hAnsiTheme="minorEastAsia" w:eastAsiaTheme="minorEastAsia"/>
                <w:kern w:val="0"/>
                <w:sz w:val="28"/>
                <w:szCs w:val="28"/>
                <w:lang w:val="en-US" w:eastAsia="zh-CN"/>
              </w:rPr>
              <w:t>9</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22</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sz w:val="28"/>
                <w:szCs w:val="28"/>
              </w:rPr>
            </w:pPr>
            <w:r>
              <w:rPr>
                <w:rFonts w:hint="eastAsia"/>
                <w:sz w:val="28"/>
                <w:szCs w:val="28"/>
                <w:lang w:val="en-US" w:eastAsia="zh-CN"/>
              </w:rPr>
              <w:fldChar w:fldCharType="begin"/>
            </w:r>
            <w:r>
              <w:rPr>
                <w:rFonts w:hint="eastAsia"/>
                <w:sz w:val="28"/>
                <w:szCs w:val="28"/>
                <w:lang w:val="en-US" w:eastAsia="zh-CN"/>
              </w:rPr>
              <w:instrText xml:space="preserve"> HYPERLINK "javascript:void(0);" </w:instrText>
            </w:r>
            <w:r>
              <w:rPr>
                <w:rFonts w:hint="eastAsia"/>
                <w:sz w:val="28"/>
                <w:szCs w:val="28"/>
                <w:lang w:val="en-US" w:eastAsia="zh-CN"/>
              </w:rPr>
              <w:fldChar w:fldCharType="separate"/>
            </w:r>
            <w:r>
              <w:rPr>
                <w:rFonts w:hint="eastAsia"/>
                <w:sz w:val="28"/>
                <w:szCs w:val="28"/>
              </w:rPr>
              <w:t>洞察OTC控销</w:t>
            </w:r>
            <w:r>
              <w:rPr>
                <w:rFonts w:hint="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fldChar w:fldCharType="begin"/>
            </w:r>
            <w:r>
              <w:rPr>
                <w:rFonts w:hint="eastAsia" w:asciiTheme="minorEastAsia" w:hAnsiTheme="minorEastAsia" w:eastAsiaTheme="minorEastAsia"/>
                <w:sz w:val="28"/>
                <w:szCs w:val="28"/>
                <w:lang w:val="en-US" w:eastAsia="zh-CN"/>
              </w:rPr>
              <w:instrText xml:space="preserve"> HYPERLINK "javascript:void(0);" </w:instrText>
            </w:r>
            <w:r>
              <w:rPr>
                <w:rFonts w:hint="eastAsia" w:asciiTheme="minorEastAsia" w:hAnsiTheme="minorEastAsia" w:eastAsiaTheme="minorEastAsia"/>
                <w:sz w:val="28"/>
                <w:szCs w:val="28"/>
                <w:lang w:val="en-US" w:eastAsia="zh-CN"/>
              </w:rPr>
              <w:fldChar w:fldCharType="separate"/>
            </w:r>
            <w:r>
              <w:rPr>
                <w:rFonts w:hint="eastAsia" w:asciiTheme="minorEastAsia" w:hAnsiTheme="minorEastAsia" w:eastAsiaTheme="minorEastAsia"/>
                <w:sz w:val="28"/>
                <w:szCs w:val="28"/>
              </w:rPr>
              <w:t>洞察OTC控销</w:t>
            </w:r>
            <w:r>
              <w:rPr>
                <w:rFonts w:hint="eastAsia" w:asciiTheme="minorEastAsia" w:hAnsiTheme="minorEastAsia" w:eastAsiaTheme="minor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医疗器械</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网络销售，严管</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pStyle w:val="23"/>
              <w:numPr>
                <w:ilvl w:val="0"/>
                <w:numId w:val="0"/>
              </w:numPr>
              <w:ind w:left="560" w:leftChars="0" w:firstLine="560" w:firstLineChars="200"/>
              <w:rPr>
                <w:rFonts w:ascii="宋体" w:hAnsi="宋体" w:cs="宋体"/>
                <w:sz w:val="28"/>
                <w:szCs w:val="28"/>
              </w:rPr>
            </w:pPr>
            <w:r>
              <w:rPr>
                <w:rFonts w:hint="eastAsia" w:ascii="宋体" w:hAnsi="宋体" w:cs="宋体"/>
                <w:sz w:val="28"/>
                <w:szCs w:val="28"/>
              </w:rPr>
              <w:t>9月18日，国家药监局出台《医疗器械网络销售质量管理规范（征求意见稿）》（以下简称“意见稿”），并正式向社会公开征求意见。</w:t>
            </w:r>
          </w:p>
          <w:p>
            <w:pPr>
              <w:pStyle w:val="23"/>
              <w:numPr>
                <w:ilvl w:val="0"/>
                <w:numId w:val="2"/>
              </w:numPr>
              <w:ind w:firstLineChars="0"/>
              <w:rPr>
                <w:rFonts w:ascii="宋体" w:hAnsi="宋体" w:cs="宋体"/>
                <w:sz w:val="28"/>
                <w:szCs w:val="28"/>
              </w:rPr>
            </w:pPr>
            <w:r>
              <w:rPr>
                <w:rFonts w:hint="eastAsia" w:ascii="宋体" w:hAnsi="宋体" w:cs="宋体"/>
                <w:sz w:val="28"/>
                <w:szCs w:val="28"/>
              </w:rPr>
              <w:t>医疗器械网售将面临严管；</w:t>
            </w:r>
          </w:p>
          <w:p>
            <w:pPr>
              <w:pStyle w:val="23"/>
              <w:numPr>
                <w:ilvl w:val="0"/>
                <w:numId w:val="2"/>
              </w:numPr>
              <w:ind w:firstLineChars="0"/>
              <w:rPr>
                <w:rFonts w:hint="eastAsia" w:ascii="宋体" w:hAnsi="宋体" w:cs="宋体"/>
                <w:sz w:val="28"/>
                <w:szCs w:val="28"/>
              </w:rPr>
            </w:pPr>
            <w:r>
              <w:rPr>
                <w:rFonts w:hint="eastAsia" w:ascii="宋体" w:hAnsi="宋体" w:cs="宋体"/>
                <w:sz w:val="28"/>
                <w:szCs w:val="28"/>
                <w:lang w:val="en-US" w:eastAsia="zh-CN"/>
              </w:rPr>
              <w:t>不得超范围开展器械网售；</w:t>
            </w:r>
          </w:p>
          <w:p>
            <w:pPr>
              <w:pStyle w:val="23"/>
              <w:numPr>
                <w:ilvl w:val="0"/>
                <w:numId w:val="2"/>
              </w:numPr>
              <w:ind w:firstLineChars="0"/>
              <w:rPr>
                <w:rFonts w:hint="eastAsia" w:ascii="宋体" w:hAnsi="宋体" w:cs="宋体"/>
                <w:sz w:val="28"/>
                <w:szCs w:val="28"/>
              </w:rPr>
            </w:pPr>
            <w:r>
              <w:rPr>
                <w:rFonts w:hint="eastAsia" w:ascii="宋体" w:hAnsi="宋体" w:cs="宋体"/>
                <w:sz w:val="28"/>
                <w:szCs w:val="28"/>
                <w:lang w:val="en-US" w:eastAsia="zh-CN"/>
              </w:rPr>
              <w:t>加强直播营销监管；</w:t>
            </w:r>
          </w:p>
          <w:p>
            <w:pPr>
              <w:pStyle w:val="23"/>
              <w:numPr>
                <w:ilvl w:val="0"/>
                <w:numId w:val="2"/>
              </w:numPr>
              <w:ind w:firstLineChars="0"/>
              <w:rPr>
                <w:rFonts w:hint="eastAsia" w:ascii="宋体" w:hAnsi="宋体" w:cs="宋体"/>
                <w:sz w:val="28"/>
                <w:szCs w:val="28"/>
              </w:rPr>
            </w:pPr>
            <w:r>
              <w:rPr>
                <w:rFonts w:hint="eastAsia" w:ascii="宋体" w:hAnsi="宋体" w:cs="宋体"/>
                <w:sz w:val="28"/>
                <w:szCs w:val="28"/>
                <w:lang w:val="en-US" w:eastAsia="zh-CN"/>
              </w:rPr>
              <w:t>23.5万家医疗器械药企面临“淘汰赛”；</w:t>
            </w:r>
          </w:p>
          <w:p>
            <w:pPr>
              <w:pStyle w:val="23"/>
              <w:numPr>
                <w:ilvl w:val="0"/>
                <w:numId w:val="2"/>
              </w:numPr>
              <w:ind w:firstLineChars="0"/>
              <w:rPr>
                <w:rFonts w:hint="eastAsia" w:ascii="宋体" w:hAnsi="宋体" w:cs="宋体"/>
                <w:sz w:val="28"/>
                <w:szCs w:val="28"/>
              </w:rPr>
            </w:pPr>
            <w:r>
              <w:rPr>
                <w:rFonts w:hint="eastAsia" w:ascii="宋体" w:hAnsi="宋体" w:cs="宋体"/>
                <w:sz w:val="28"/>
                <w:szCs w:val="28"/>
                <w:lang w:val="en-US" w:eastAsia="zh-CN"/>
              </w:rPr>
              <w:t>违法违规现象频发、行业乱象将清扫。</w:t>
            </w:r>
          </w:p>
          <w:p>
            <w:pPr>
              <w:widowControl/>
              <w:spacing w:line="420" w:lineRule="atLeast"/>
              <w:ind w:firstLine="420" w:firstLineChars="200"/>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r>
              <w:rPr>
                <w:rFonts w:hint="eastAsia" w:asciiTheme="minorEastAsia" w:hAnsiTheme="minorEastAsia" w:eastAsiaTheme="minorEastAsia"/>
              </w:rPr>
              <w:t xml:space="preserve">  </w:t>
            </w: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hint="eastAsia"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hint="eastAsia"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rPr>
              <w:t>附件2：国家药监局出台</w:t>
            </w:r>
            <w:r>
              <w:rPr>
                <w:rFonts w:hint="eastAsia"/>
                <w:lang w:val="en-US" w:eastAsia="zh-CN"/>
              </w:rPr>
              <w:t>医疗器械网络销售</w:t>
            </w:r>
            <w:r>
              <w:rPr>
                <w:rFonts w:hint="eastAsia"/>
              </w:rPr>
              <w:t>新规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default" w:cs="Helvetica" w:asciiTheme="minorEastAsia" w:hAnsiTheme="minorEastAsia" w:eastAsiaTheme="minorEastAsia"/>
                <w:color w:val="000000"/>
                <w:kern w:val="0"/>
                <w:sz w:val="32"/>
                <w:szCs w:val="32"/>
              </w:rPr>
            </w:pPr>
            <w:r>
              <w:rPr>
                <w:rFonts w:hint="eastAsia" w:asciiTheme="majorEastAsia" w:hAnsiTheme="majorEastAsia" w:eastAsiaTheme="majorEastAsia" w:cstheme="majorEastAsia"/>
                <w:i w:val="0"/>
                <w:iCs w:val="0"/>
                <w:caps w:val="0"/>
                <w:spacing w:val="8"/>
                <w:sz w:val="33"/>
                <w:szCs w:val="33"/>
                <w:shd w:val="clear" w:fill="FFFFFF"/>
              </w:rPr>
              <w:t>近万家药店开卖集采药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2023-</w:t>
            </w:r>
            <w:r>
              <w:rPr>
                <w:rFonts w:hint="eastAsia" w:cs="Helvetica" w:asciiTheme="minorEastAsia" w:hAnsiTheme="minorEastAsia" w:eastAsiaTheme="minorEastAsia"/>
                <w:kern w:val="0"/>
                <w:sz w:val="28"/>
                <w:szCs w:val="28"/>
                <w:lang w:val="en-US" w:eastAsia="zh-CN"/>
              </w:rPr>
              <w:t>9</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17</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eastAsia"/>
                <w:sz w:val="28"/>
                <w:szCs w:val="28"/>
              </w:rPr>
            </w:pPr>
            <w:r>
              <w:rPr>
                <w:rFonts w:hint="eastAsia"/>
                <w:sz w:val="28"/>
                <w:szCs w:val="28"/>
                <w:lang w:val="en-US" w:eastAsia="zh-CN"/>
              </w:rPr>
              <w:t> </w:t>
            </w:r>
            <w:r>
              <w:rPr>
                <w:rFonts w:hint="eastAsia"/>
                <w:sz w:val="28"/>
                <w:szCs w:val="28"/>
                <w:lang w:val="en-US" w:eastAsia="zh-CN"/>
              </w:rPr>
              <w:fldChar w:fldCharType="begin"/>
            </w:r>
            <w:r>
              <w:rPr>
                <w:rFonts w:hint="eastAsia"/>
                <w:sz w:val="28"/>
                <w:szCs w:val="28"/>
                <w:lang w:val="en-US" w:eastAsia="zh-CN"/>
              </w:rPr>
              <w:instrText xml:space="preserve"> HYPERLINK "javascript:void(0);" </w:instrText>
            </w:r>
            <w:r>
              <w:rPr>
                <w:rFonts w:hint="eastAsia"/>
                <w:sz w:val="28"/>
                <w:szCs w:val="28"/>
                <w:lang w:val="en-US" w:eastAsia="zh-CN"/>
              </w:rPr>
              <w:fldChar w:fldCharType="separate"/>
            </w:r>
            <w:r>
              <w:rPr>
                <w:rFonts w:hint="eastAsia"/>
                <w:sz w:val="28"/>
                <w:szCs w:val="28"/>
              </w:rPr>
              <w:t>第一药店财智</w:t>
            </w:r>
            <w:r>
              <w:rPr>
                <w:rFonts w:hint="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ascii="Helvetica" w:hAnsi="Helvetica" w:cs="Helvetica" w:eastAsiaTheme="minorEastAsia"/>
                <w:color w:val="000000" w:themeColor="text1"/>
                <w:kern w:val="0"/>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来源：</w:t>
            </w:r>
            <w:r>
              <w:rPr>
                <w:rFonts w:hint="eastAsia" w:cs="Helvetica" w:asciiTheme="minorEastAsia" w:hAnsiTheme="minorEastAsia" w:eastAsiaTheme="minorEastAsia"/>
                <w:color w:val="000000" w:themeColor="text1"/>
                <w:kern w:val="0"/>
                <w:sz w:val="28"/>
                <w:szCs w:val="28"/>
                <w:lang w:val="en-US" w:eastAsia="zh-CN"/>
                <w14:textFill>
                  <w14:solidFill>
                    <w14:schemeClr w14:val="tx1"/>
                  </w14:solidFill>
                </w14:textFill>
              </w:rPr>
              <w:t> </w:t>
            </w:r>
            <w:r>
              <w:rPr>
                <w:rFonts w:hint="eastAsia" w:cs="Helvetica" w:asciiTheme="minorEastAsia" w:hAnsiTheme="minorEastAsia" w:eastAsiaTheme="minorEastAsia"/>
                <w:color w:val="000000" w:themeColor="text1"/>
                <w:kern w:val="0"/>
                <w:sz w:val="28"/>
                <w:szCs w:val="28"/>
                <w:lang w:val="en-US" w:eastAsia="zh-CN"/>
                <w14:textFill>
                  <w14:solidFill>
                    <w14:schemeClr w14:val="tx1"/>
                  </w14:solidFill>
                </w14:textFill>
              </w:rPr>
              <w:fldChar w:fldCharType="begin"/>
            </w:r>
            <w:r>
              <w:rPr>
                <w:rFonts w:hint="eastAsia" w:cs="Helvetica" w:asciiTheme="minorEastAsia" w:hAnsiTheme="minorEastAsia" w:eastAsiaTheme="minorEastAsia"/>
                <w:color w:val="000000" w:themeColor="text1"/>
                <w:kern w:val="0"/>
                <w:sz w:val="28"/>
                <w:szCs w:val="28"/>
                <w:lang w:val="en-US" w:eastAsia="zh-CN"/>
                <w14:textFill>
                  <w14:solidFill>
                    <w14:schemeClr w14:val="tx1"/>
                  </w14:solidFill>
                </w14:textFill>
              </w:rPr>
              <w:instrText xml:space="preserve"> HYPERLINK "javascript:void(0);" </w:instrText>
            </w:r>
            <w:r>
              <w:rPr>
                <w:rFonts w:hint="eastAsia" w:cs="Helvetica" w:asciiTheme="minorEastAsia" w:hAnsiTheme="minorEastAsia" w:eastAsiaTheme="minorEastAsia"/>
                <w:color w:val="000000" w:themeColor="text1"/>
                <w:kern w:val="0"/>
                <w:sz w:val="28"/>
                <w:szCs w:val="28"/>
                <w:lang w:val="en-US" w:eastAsia="zh-CN"/>
                <w14:textFill>
                  <w14:solidFill>
                    <w14:schemeClr w14:val="tx1"/>
                  </w14:solidFill>
                </w14:textFill>
              </w:rPr>
              <w:fldChar w:fldCharType="separate"/>
            </w:r>
            <w:r>
              <w:rPr>
                <w:rFonts w:hint="eastAsia" w:cs="Helvetica" w:asciiTheme="minorEastAsia" w:hAnsiTheme="minorEastAsia" w:eastAsiaTheme="minorEastAsia"/>
                <w:color w:val="000000" w:themeColor="text1"/>
                <w:kern w:val="0"/>
                <w:sz w:val="28"/>
                <w:szCs w:val="28"/>
                <w14:textFill>
                  <w14:solidFill>
                    <w14:schemeClr w14:val="tx1"/>
                  </w14:solidFill>
                </w14:textFill>
              </w:rPr>
              <w:t>第一药店财智</w:t>
            </w:r>
            <w:r>
              <w:rPr>
                <w:rFonts w:hint="eastAsia" w:cs="Helvetica" w:asciiTheme="minorEastAsia" w:hAnsiTheme="minorEastAsia" w:eastAsiaTheme="minorEastAsia"/>
                <w:color w:val="000000" w:themeColor="text1"/>
                <w:kern w:val="0"/>
                <w:sz w:val="28"/>
                <w:szCs w:val="28"/>
                <w:lang w:val="en-US" w:eastAsia="zh-CN"/>
                <w14:textFill>
                  <w14:solidFill>
                    <w14:schemeClr w14:val="tx1"/>
                  </w14:solidFill>
                </w14:textFill>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sz w:val="28"/>
                <w:szCs w:val="28"/>
                <w:lang w:val="en-US" w:eastAsia="zh-CN"/>
              </w:rPr>
              <w:t>集采</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基层</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门诊统筹</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ind w:firstLine="680" w:firstLineChars="200"/>
              <w:jc w:val="left"/>
              <w:rPr>
                <w:rFonts w:ascii="宋体" w:hAnsi="宋体" w:cs="宋体"/>
                <w:sz w:val="28"/>
                <w:szCs w:val="28"/>
              </w:rPr>
            </w:pPr>
            <w:r>
              <w:rPr>
                <w:rFonts w:hint="eastAsia" w:asciiTheme="minorEastAsia" w:hAnsiTheme="minorEastAsia" w:eastAsiaTheme="minorEastAsia" w:cstheme="minorEastAsia"/>
                <w:i w:val="0"/>
                <w:iCs w:val="0"/>
                <w:caps w:val="0"/>
                <w:spacing w:val="30"/>
                <w:sz w:val="28"/>
                <w:szCs w:val="28"/>
                <w:shd w:val="clear" w:fill="FFFFFF"/>
              </w:rPr>
              <w:t>近日，山东首批开展集采药品进基层活动的8488家零售药店、11314家村卫生室、233家民营医院、9家线上平台，同步启动面向群众正式开始销售集采药品</w:t>
            </w:r>
            <w:r>
              <w:rPr>
                <w:rFonts w:hint="eastAsia" w:ascii="宋体" w:hAnsi="宋体" w:cs="宋体"/>
                <w:sz w:val="28"/>
                <w:szCs w:val="28"/>
              </w:rPr>
              <w:t>。</w:t>
            </w:r>
            <w:r>
              <w:rPr>
                <w:rFonts w:ascii="宋体" w:hAnsi="宋体" w:cs="宋体"/>
                <w:sz w:val="28"/>
                <w:szCs w:val="28"/>
              </w:rPr>
              <w:t xml:space="preserve"> </w:t>
            </w:r>
          </w:p>
          <w:p>
            <w:pPr>
              <w:ind w:left="420"/>
              <w:jc w:val="left"/>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门诊统筹共济背景下社区卫生服务中心成为香饽饽</w:t>
            </w:r>
            <w:r>
              <w:rPr>
                <w:rFonts w:hint="eastAsia" w:ascii="宋体" w:hAnsi="宋体" w:cs="宋体"/>
                <w:sz w:val="28"/>
                <w:szCs w:val="28"/>
              </w:rPr>
              <w:t>；</w:t>
            </w:r>
          </w:p>
          <w:p>
            <w:pPr>
              <w:ind w:left="420"/>
              <w:jc w:val="left"/>
              <w:rPr>
                <w:rFonts w:ascii="宋体" w:hAnsi="宋体" w:cs="宋体"/>
                <w:sz w:val="28"/>
                <w:szCs w:val="28"/>
              </w:rPr>
            </w:pPr>
            <w:r>
              <w:rPr>
                <w:rFonts w:hint="eastAsia" w:ascii="宋体" w:hAnsi="宋体" w:cs="宋体"/>
                <w:sz w:val="28"/>
                <w:szCs w:val="28"/>
              </w:rPr>
              <w:t>2、</w:t>
            </w:r>
            <w:r>
              <w:rPr>
                <w:rFonts w:hint="eastAsia" w:ascii="宋体" w:hAnsi="宋体" w:cs="宋体"/>
                <w:sz w:val="28"/>
                <w:szCs w:val="28"/>
                <w:lang w:val="en-US" w:eastAsia="zh-CN"/>
              </w:rPr>
              <w:t>药品零售行业的机遇与挑战</w:t>
            </w:r>
            <w:r>
              <w:rPr>
                <w:rFonts w:hint="eastAsia" w:ascii="宋体" w:hAnsi="宋体" w:cs="宋体"/>
                <w:sz w:val="28"/>
                <w:szCs w:val="28"/>
              </w:rPr>
              <w:t>。</w:t>
            </w:r>
          </w:p>
          <w:p>
            <w:pPr>
              <w:ind w:left="420"/>
              <w:jc w:val="left"/>
              <w:rPr>
                <w:rFonts w:ascii="宋体" w:hAnsi="宋体" w:cs="宋体"/>
                <w:sz w:val="28"/>
                <w:szCs w:val="28"/>
              </w:rPr>
            </w:pPr>
          </w:p>
          <w:p>
            <w:pPr>
              <w:ind w:left="420"/>
              <w:jc w:val="left"/>
              <w:rPr>
                <w:rFonts w:ascii="宋体" w:hAnsi="宋体" w:cs="宋体"/>
                <w:sz w:val="28"/>
                <w:szCs w:val="28"/>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cs="Helvetica"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附件3：近万家药店开卖集采药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 xml:space="preserve"> 门诊统筹药店，已突破14万家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2023-</w:t>
            </w:r>
            <w:r>
              <w:rPr>
                <w:rFonts w:hint="eastAsia" w:asciiTheme="minorEastAsia" w:hAnsiTheme="minorEastAsia" w:eastAsiaTheme="minorEastAsia"/>
                <w:sz w:val="28"/>
                <w:szCs w:val="28"/>
                <w:lang w:val="en-US" w:eastAsia="zh-CN"/>
              </w:rPr>
              <w:t>9</w:t>
            </w:r>
            <w:r>
              <w:rPr>
                <w:rFonts w:hint="eastAsia" w:asciiTheme="minorEastAsia" w:hAnsiTheme="minorEastAsia" w:eastAsiaTheme="minorEastAsia"/>
                <w:sz w:val="28"/>
                <w:szCs w:val="28"/>
              </w:rPr>
              <w:t>-2</w:t>
            </w:r>
            <w:r>
              <w:rPr>
                <w:rFonts w:hint="eastAsia" w:asciiTheme="minorEastAsia" w:hAnsiTheme="minorEastAsia" w:eastAsiaTheme="minorEastAsia"/>
                <w:sz w:val="28"/>
                <w:szCs w:val="28"/>
                <w:lang w:val="en-US" w:eastAsia="zh-CN"/>
              </w:rPr>
              <w:t>5</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lang w:val="en-US" w:eastAsia="zh-CN"/>
              </w:rPr>
              <w:fldChar w:fldCharType="begin"/>
            </w:r>
            <w:r>
              <w:rPr>
                <w:rFonts w:asciiTheme="minorEastAsia" w:hAnsiTheme="minorEastAsia" w:eastAsiaTheme="minorEastAsia"/>
                <w:sz w:val="28"/>
                <w:szCs w:val="28"/>
                <w:lang w:val="en-US" w:eastAsia="zh-CN"/>
              </w:rPr>
              <w:instrText xml:space="preserve"> HYPERLINK "javascript:void(0);" </w:instrText>
            </w:r>
            <w:r>
              <w:rPr>
                <w:rFonts w:asciiTheme="minorEastAsia" w:hAnsiTheme="minorEastAsia" w:eastAsiaTheme="minorEastAsia"/>
                <w:sz w:val="28"/>
                <w:szCs w:val="28"/>
                <w:lang w:val="en-US" w:eastAsia="zh-CN"/>
              </w:rPr>
              <w:fldChar w:fldCharType="separate"/>
            </w:r>
            <w:r>
              <w:rPr>
                <w:rFonts w:asciiTheme="minorEastAsia" w:hAnsiTheme="minorEastAsia" w:eastAsiaTheme="minorEastAsia"/>
                <w:sz w:val="28"/>
                <w:szCs w:val="28"/>
              </w:rPr>
              <w:t>第一药店财智</w:t>
            </w:r>
            <w:r>
              <w:rPr>
                <w:rFonts w:asciiTheme="minorEastAsia" w:hAnsiTheme="minorEastAsia" w:eastAsiaTheme="minor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fldChar w:fldCharType="begin"/>
            </w:r>
            <w:r>
              <w:rPr>
                <w:rFonts w:hint="eastAsia" w:asciiTheme="minorEastAsia" w:hAnsiTheme="minorEastAsia" w:eastAsiaTheme="minorEastAsia"/>
                <w:sz w:val="28"/>
                <w:szCs w:val="28"/>
                <w:lang w:val="en-US" w:eastAsia="zh-CN"/>
              </w:rPr>
              <w:instrText xml:space="preserve"> HYPERLINK "javascript:void(0);" </w:instrText>
            </w:r>
            <w:r>
              <w:rPr>
                <w:rFonts w:hint="eastAsia" w:asciiTheme="minorEastAsia" w:hAnsiTheme="minorEastAsia" w:eastAsiaTheme="minorEastAsia"/>
                <w:sz w:val="28"/>
                <w:szCs w:val="28"/>
                <w:lang w:val="en-US" w:eastAsia="zh-CN"/>
              </w:rPr>
              <w:fldChar w:fldCharType="separate"/>
            </w:r>
            <w:r>
              <w:rPr>
                <w:rFonts w:hint="eastAsia" w:asciiTheme="minorEastAsia" w:hAnsiTheme="minorEastAsia" w:eastAsiaTheme="minorEastAsia"/>
                <w:sz w:val="28"/>
                <w:szCs w:val="28"/>
              </w:rPr>
              <w:t>第一药店财智</w:t>
            </w:r>
            <w:r>
              <w:rPr>
                <w:rFonts w:hint="eastAsia" w:asciiTheme="minorEastAsia" w:hAnsiTheme="minorEastAsia" w:eastAsiaTheme="minor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零售药店，门诊统筹，报销</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结算、监管</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内容概要</w:t>
            </w:r>
          </w:p>
        </w:tc>
        <w:tc>
          <w:tcPr>
            <w:tcW w:w="6662" w:type="dxa"/>
            <w:gridSpan w:val="4"/>
            <w:vAlign w:val="center"/>
          </w:tcPr>
          <w:p>
            <w:pPr>
              <w:ind w:left="420" w:firstLine="560" w:firstLineChars="200"/>
              <w:jc w:val="left"/>
              <w:rPr>
                <w:rFonts w:ascii="宋体" w:hAnsi="宋体" w:cs="宋体"/>
                <w:sz w:val="28"/>
                <w:szCs w:val="28"/>
              </w:rPr>
            </w:pPr>
            <w:r>
              <w:rPr>
                <w:rFonts w:hint="eastAsia" w:ascii="宋体" w:hAnsi="宋体" w:cs="宋体"/>
                <w:sz w:val="28"/>
                <w:szCs w:val="28"/>
              </w:rPr>
              <w:t>截至2023年8月，全国已有约14.14万家定点零售药店开通了门诊统筹报销服务，累计结算1.74亿人次，结算医保基金69.36亿元。。</w:t>
            </w:r>
          </w:p>
          <w:p>
            <w:pPr>
              <w:ind w:left="42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2024年1月1日起正式执行新版医保药品目录</w:t>
            </w:r>
            <w:r>
              <w:rPr>
                <w:rFonts w:hint="eastAsia" w:ascii="宋体" w:hAnsi="宋体" w:cs="宋体"/>
                <w:sz w:val="28"/>
                <w:szCs w:val="28"/>
              </w:rPr>
              <w:t>；</w:t>
            </w:r>
          </w:p>
          <w:p>
            <w:pPr>
              <w:numPr>
                <w:ilvl w:val="0"/>
                <w:numId w:val="3"/>
              </w:numPr>
              <w:ind w:left="420"/>
              <w:rPr>
                <w:rFonts w:hint="eastAsia" w:ascii="宋体" w:hAnsi="宋体" w:cs="宋体"/>
                <w:sz w:val="28"/>
                <w:szCs w:val="28"/>
                <w:lang w:eastAsia="zh-CN"/>
              </w:rPr>
            </w:pPr>
            <w:r>
              <w:rPr>
                <w:rFonts w:hint="eastAsia" w:ascii="宋体" w:hAnsi="宋体" w:cs="宋体"/>
                <w:sz w:val="28"/>
                <w:szCs w:val="28"/>
                <w:lang w:val="en-US" w:eastAsia="zh-CN"/>
              </w:rPr>
              <w:t>继续强化医保基金监管力度</w:t>
            </w:r>
            <w:r>
              <w:rPr>
                <w:rFonts w:hint="eastAsia" w:ascii="宋体" w:hAnsi="宋体" w:cs="宋体"/>
                <w:sz w:val="28"/>
                <w:szCs w:val="28"/>
                <w:lang w:eastAsia="zh-CN"/>
              </w:rPr>
              <w:t>；</w:t>
            </w:r>
          </w:p>
          <w:p>
            <w:pPr>
              <w:numPr>
                <w:ilvl w:val="0"/>
                <w:numId w:val="3"/>
              </w:numPr>
              <w:ind w:left="420"/>
              <w:rPr>
                <w:rFonts w:hint="eastAsia" w:ascii="宋体" w:hAnsi="宋体" w:cs="宋体"/>
                <w:sz w:val="28"/>
                <w:szCs w:val="28"/>
                <w:lang w:eastAsia="zh-CN"/>
              </w:rPr>
            </w:pPr>
            <w:r>
              <w:rPr>
                <w:rFonts w:hint="eastAsia" w:ascii="宋体" w:hAnsi="宋体" w:cs="宋体"/>
                <w:sz w:val="28"/>
                <w:szCs w:val="28"/>
                <w:lang w:val="en-US" w:eastAsia="zh-CN"/>
              </w:rPr>
              <w:t>电子处方流转仍有堵点。</w:t>
            </w:r>
          </w:p>
          <w:p>
            <w:pPr>
              <w:ind w:left="420"/>
              <w:rPr>
                <w:rFonts w:ascii="宋体" w:hAnsi="宋体" w:cs="宋体"/>
                <w:sz w:val="28"/>
                <w:szCs w:val="28"/>
              </w:rPr>
            </w:pPr>
          </w:p>
          <w:p>
            <w:pPr>
              <w:rPr>
                <w:rFonts w:ascii="宋体" w:hAnsi="宋体" w:cs="宋体"/>
                <w:kern w:val="0"/>
                <w:szCs w:val="21"/>
              </w:rPr>
            </w:pPr>
          </w:p>
          <w:p>
            <w:pPr>
              <w:rPr>
                <w:rFonts w:ascii="宋体" w:hAnsi="宋体" w:cs="宋体"/>
                <w:kern w:val="0"/>
                <w:szCs w:val="21"/>
              </w:rPr>
            </w:pPr>
          </w:p>
          <w:p>
            <w:pPr>
              <w:rPr>
                <w:rFonts w:hint="eastAsia"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hint="eastAsia"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hint="eastAsia"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附件4：门诊统筹药店，已突破14万家</w:t>
            </w:r>
          </w:p>
        </w:tc>
      </w:tr>
    </w:tbl>
    <w:tbl>
      <w:tblPr>
        <w:tblStyle w:val="13"/>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2"/>
        <w:gridCol w:w="2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default" w:asciiTheme="minorEastAsia" w:hAnsiTheme="minorEastAsia" w:eastAsiaTheme="minorEastAsia"/>
                <w:sz w:val="32"/>
                <w:szCs w:val="32"/>
              </w:rPr>
            </w:pPr>
            <w:r>
              <w:rPr>
                <w:rFonts w:hint="eastAsia" w:asciiTheme="majorEastAsia" w:hAnsiTheme="majorEastAsia" w:eastAsiaTheme="majorEastAsia" w:cstheme="majorEastAsia"/>
                <w:i w:val="0"/>
                <w:iCs w:val="0"/>
                <w:caps w:val="0"/>
                <w:spacing w:val="8"/>
                <w:sz w:val="33"/>
                <w:szCs w:val="33"/>
                <w:shd w:val="clear" w:fill="FFFFFF"/>
              </w:rPr>
              <w:t>区域龙头批发大比拼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2023-</w:t>
            </w:r>
            <w:r>
              <w:rPr>
                <w:rFonts w:hint="eastAsia" w:asciiTheme="minorEastAsia" w:hAnsiTheme="minorEastAsia" w:eastAsiaTheme="minorEastAsia"/>
                <w:sz w:val="30"/>
                <w:szCs w:val="30"/>
                <w:lang w:val="en-US" w:eastAsia="zh-CN"/>
              </w:rPr>
              <w:t>9</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15</w:t>
            </w:r>
          </w:p>
        </w:tc>
        <w:tc>
          <w:tcPr>
            <w:tcW w:w="2342" w:type="dxa"/>
            <w:vAlign w:val="center"/>
          </w:tcPr>
          <w:p>
            <w:pPr>
              <w:tabs>
                <w:tab w:val="left" w:pos="7088"/>
              </w:tabs>
              <w:jc w:val="center"/>
              <w:rPr>
                <w:b/>
                <w:sz w:val="28"/>
                <w:szCs w:val="28"/>
              </w:rPr>
            </w:pPr>
            <w:r>
              <w:rPr>
                <w:rFonts w:hint="eastAsia"/>
                <w:b/>
                <w:sz w:val="30"/>
                <w:szCs w:val="30"/>
              </w:rPr>
              <w:t>信息来源</w:t>
            </w:r>
          </w:p>
        </w:tc>
        <w:tc>
          <w:tcPr>
            <w:tcW w:w="2194" w:type="dxa"/>
            <w:vAlign w:val="center"/>
          </w:tcPr>
          <w:p>
            <w:pPr>
              <w:tabs>
                <w:tab w:val="left" w:pos="7088"/>
              </w:tabs>
              <w:jc w:val="center"/>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"javascript:void(0);" </w:instrText>
            </w:r>
            <w:r>
              <w:rPr>
                <w:rFonts w:hint="eastAsia"/>
                <w:sz w:val="28"/>
                <w:szCs w:val="28"/>
                <w:lang w:val="en-US" w:eastAsia="zh-CN"/>
              </w:rPr>
              <w:fldChar w:fldCharType="separate"/>
            </w:r>
            <w:r>
              <w:rPr>
                <w:rFonts w:hint="eastAsia"/>
                <w:sz w:val="28"/>
                <w:szCs w:val="28"/>
              </w:rPr>
              <w:t>第一药店财智</w:t>
            </w:r>
            <w:r>
              <w:rPr>
                <w:rFonts w:hint="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2" w:type="dxa"/>
            <w:vAlign w:val="center"/>
          </w:tcPr>
          <w:p>
            <w:pPr>
              <w:tabs>
                <w:tab w:val="left" w:pos="7088"/>
              </w:tabs>
              <w:jc w:val="center"/>
              <w:rPr>
                <w:b/>
                <w:sz w:val="28"/>
                <w:szCs w:val="28"/>
              </w:rPr>
            </w:pPr>
            <w:r>
              <w:rPr>
                <w:rFonts w:hint="eastAsia"/>
                <w:b/>
                <w:sz w:val="30"/>
                <w:szCs w:val="30"/>
              </w:rPr>
              <w:t>信息确认</w:t>
            </w:r>
          </w:p>
        </w:tc>
        <w:tc>
          <w:tcPr>
            <w:tcW w:w="2194" w:type="dxa"/>
            <w:vAlign w:val="center"/>
          </w:tcPr>
          <w:p>
            <w:pPr>
              <w:tabs>
                <w:tab w:val="left" w:pos="7088"/>
              </w:tabs>
              <w:jc w:val="center"/>
              <w:rPr>
                <w:sz w:val="30"/>
                <w:szCs w:val="30"/>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28"/>
                <w:szCs w:val="28"/>
              </w:rPr>
              <w:t>来源：</w:t>
            </w:r>
            <w:r>
              <w:rPr>
                <w:rFonts w:hint="eastAsia"/>
                <w:sz w:val="28"/>
                <w:szCs w:val="28"/>
                <w:lang w:val="en-US" w:eastAsia="zh-CN"/>
              </w:rPr>
              <w:fldChar w:fldCharType="begin"/>
            </w:r>
            <w:r>
              <w:rPr>
                <w:rFonts w:hint="eastAsia"/>
                <w:sz w:val="28"/>
                <w:szCs w:val="28"/>
                <w:lang w:val="en-US" w:eastAsia="zh-CN"/>
              </w:rPr>
              <w:instrText xml:space="preserve"> HYPERLINK "javascript:void(0);" </w:instrText>
            </w:r>
            <w:r>
              <w:rPr>
                <w:rFonts w:hint="eastAsia"/>
                <w:sz w:val="28"/>
                <w:szCs w:val="28"/>
                <w:lang w:val="en-US" w:eastAsia="zh-CN"/>
              </w:rPr>
              <w:fldChar w:fldCharType="separate"/>
            </w:r>
            <w:r>
              <w:rPr>
                <w:rFonts w:hint="eastAsia"/>
                <w:sz w:val="28"/>
                <w:szCs w:val="28"/>
              </w:rPr>
              <w:t>第一药店财智</w:t>
            </w:r>
            <w:r>
              <w:rPr>
                <w:rFonts w:hint="eastAsia"/>
                <w:sz w:val="28"/>
                <w:szCs w:val="28"/>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val="en-US" w:eastAsia="zh-CN"/>
              </w:rPr>
              <w:t>区域龙头</w:t>
            </w:r>
            <w:r>
              <w:rPr>
                <w:rFonts w:hint="eastAsia"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lang w:val="en-US" w:eastAsia="zh-CN"/>
              </w:rPr>
              <w:t>营收</w:t>
            </w:r>
            <w:r>
              <w:rPr>
                <w:rFonts w:hint="eastAsia"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lang w:val="en-US" w:eastAsia="zh-CN"/>
              </w:rPr>
              <w:t>利润</w:t>
            </w:r>
            <w:r>
              <w:rPr>
                <w:rFonts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lang w:val="en-US" w:eastAsia="zh-CN"/>
              </w:rPr>
              <w:t>竞争力</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疫情和集采后，与千亿药商巨头保持稳定增长不同，区域药商龙头出现了业绩分化。部分区域龙头实现了比千亿药商更加高速的增长，也有一些区域龙头经营陷于低谷。</w:t>
            </w:r>
          </w:p>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1、集采后，区域龙头营收分化明显；</w:t>
            </w:r>
          </w:p>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2、区域龙头利润水平差异大；</w:t>
            </w:r>
          </w:p>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3、区域药商龙头业绩分化的原因；</w:t>
            </w:r>
          </w:p>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4、集采常态化后，区域药商如何打造竞争力？</w:t>
            </w: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rPr>
                <w:b/>
                <w:sz w:val="32"/>
                <w:szCs w:val="32"/>
              </w:rPr>
            </w:pPr>
            <w:r>
              <w:rPr>
                <w:rFonts w:hint="eastAsia" w:ascii="宋体" w:hAnsi="宋体" w:cs="宋体"/>
                <w:kern w:val="0"/>
                <w:szCs w:val="21"/>
              </w:rPr>
              <w:t>附件5: 区域龙头批发大比拼</w:t>
            </w:r>
          </w:p>
        </w:tc>
      </w:tr>
    </w:tbl>
    <w:p>
      <w:pPr>
        <w:widowControl/>
        <w:shd w:val="clear" w:color="auto" w:fill="FFFFFF"/>
        <w:spacing w:after="210"/>
        <w:jc w:val="left"/>
        <w:outlineLvl w:val="0"/>
        <w:rPr>
          <w:rFonts w:hint="eastAsia" w:asciiTheme="majorEastAsia" w:hAnsiTheme="majorEastAsia" w:eastAsiaTheme="majorEastAsia" w:cstheme="majorEastAsia"/>
          <w:b/>
          <w:bCs/>
          <w:spacing w:val="8"/>
          <w:kern w:val="44"/>
          <w:sz w:val="33"/>
          <w:szCs w:val="33"/>
          <w:shd w:val="clear" w:color="auto" w:fill="FFFFFF"/>
        </w:rPr>
      </w:pPr>
    </w:p>
    <w:p>
      <w:pPr>
        <w:pStyle w:val="3"/>
        <w:spacing w:before="0" w:beforeAutospacing="0" w:after="210" w:afterAutospacing="0" w:line="21" w:lineRule="atLeast"/>
        <w:rPr>
          <w:rFonts w:ascii="微软雅黑" w:hAnsi="微软雅黑" w:eastAsia="微软雅黑"/>
          <w:b/>
          <w:color w:val="333333"/>
          <w:kern w:val="36"/>
          <w:sz w:val="24"/>
          <w:szCs w:val="24"/>
        </w:rPr>
      </w:pPr>
      <w:r>
        <w:rPr>
          <w:rFonts w:hint="eastAsia" w:ascii="微软雅黑" w:hAnsi="微软雅黑" w:eastAsia="微软雅黑"/>
          <w:b/>
          <w:color w:val="333333"/>
          <w:kern w:val="36"/>
          <w:sz w:val="24"/>
          <w:szCs w:val="24"/>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Theme="majorEastAsia" w:hAnsiTheme="majorEastAsia" w:eastAsiaTheme="majorEastAsia" w:cstheme="majorEastAsia"/>
          <w:i w:val="0"/>
          <w:iCs w:val="0"/>
          <w:caps w:val="0"/>
          <w:spacing w:val="8"/>
          <w:sz w:val="33"/>
          <w:szCs w:val="33"/>
          <w:shd w:val="clear" w:fill="FFFFFF"/>
        </w:rPr>
        <w:t>国家医保局发文，推进医疗保障基金智能审核和监控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spacing w:val="8"/>
          <w:kern w:val="0"/>
          <w:sz w:val="22"/>
          <w:szCs w:val="22"/>
          <w:shd w:val="clear" w:fill="FFFFFF"/>
          <w:lang w:val="en-US" w:eastAsia="zh-CN" w:bidi="ar"/>
        </w:rPr>
        <w:t>采编中心</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17"/>
          <w:rFonts w:hint="eastAsia" w:ascii="Microsoft YaHei UI" w:hAnsi="Microsoft YaHei UI" w:eastAsia="Microsoft YaHei UI" w:cs="Microsoft YaHei UI"/>
          <w:i w:val="0"/>
          <w:iCs w:val="0"/>
          <w:caps w:val="0"/>
          <w:spacing w:val="8"/>
          <w:sz w:val="22"/>
          <w:szCs w:val="22"/>
          <w:u w:val="none"/>
          <w:shd w:val="clear" w:fill="FFFFFF"/>
        </w:rPr>
        <w:t>米内零售观察</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2023-09-25 17:29</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发表于广东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日前，国家医保局发布《关于进一步深入推进医疗保障基金智能审核和监控工作的通知》（以下简称《通知》），以加快推进医疗保障基金智能审核和监控工作，实施大数据实时动态智能监控，构建事前、事中、事后全环节监管的基金安全防控机制，织密织紧基金监管防线。</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90820" cy="2923540"/>
            <wp:effectExtent l="0" t="0" r="5080" b="1016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290820" cy="292354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国家医保局表示，从必要性上看，当前医保基金监管面对众多监管对象、庞大的资金量，以及海量的结算数据，靠过去的人海战术、手工审核、人工监管不能适应新形势的需要。医保基金智能审核和监控是医保部门日常审核结算的必备工具，也是信息化时代医保基金监管的重要手段，更是有效守护好群众“看病钱”的重要技术支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国家医保局指出，通过日常调研发现各地智能监管子系统建设应用进度不平衡，应用成效差异较大，国家1.0版智能审核和监控知识库、规则库（以下简称“两库”）落地应用进展不一，有必要出台《通知》，加大工作推进力度，推动地方医保部门加快国家1.0版“两库”框架体系落地应用，科学划分事前、事中、事后流程，压实责任，调动医药机构使用积极性，鼓励定点医疗机构开展事前提醒和预警，前移监管关口，帮助医疗机构强化自我管理，规范医疗服务行为，实现“源头治理”和全流程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sz w:val="28"/>
          <w:szCs w:val="28"/>
        </w:rPr>
      </w:pPr>
      <w:r>
        <w:rPr>
          <w:rStyle w:val="15"/>
          <w:rFonts w:hint="eastAsia" w:ascii="Microsoft YaHei UI" w:hAnsi="Microsoft YaHei UI" w:eastAsia="Microsoft YaHei UI" w:cs="Microsoft YaHei UI"/>
          <w:i w:val="0"/>
          <w:iCs w:val="0"/>
          <w:caps w:val="0"/>
          <w:color w:val="0070C0"/>
          <w:spacing w:val="15"/>
          <w:sz w:val="28"/>
          <w:szCs w:val="28"/>
          <w:shd w:val="clear" w:fill="FFFFFF"/>
        </w:rPr>
        <w:t>&gt;&gt;加强“两库”建设和应用 初步实现全国智能监控“一张网”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《通知》共6部分内容。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一是明确目标任务。到2023年底前全部统筹地区上线智能监管子系统，智能审核和监控数据准确上传国家医保信息平台，全面开展经办智能审核，规范定点医药机构服务行为，加强协议处理与行政监管、经办核查与行政执法的衔接，初步实现全国智能监控“一张网”。到2025年底，规范化、科学化、常态化的智能审核和监控体系基本建立，“两库”建设应用、智能审核、反欺诈大数据智能监测分析更加成熟完善，信息化、数字化、智能化全面赋能医保审核和基金监管，形成经办日常审核与现场核查、大数据分析、全场景智能监控等多种方式的常态化监管体系，确保基金安全、高效、合理使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二是加强“两库”建设和应用。要求各地准确把握“两库”建设重点，赋予各级医保部门充分自主权限，在国家“两库”的框架体系下结合本地实际增补规则和知识，自主设定规则参数、指标、阈值、应用场景等。要求各统筹地区医保部门综合考虑规则运行逻辑、监管目标、效果强度，以及检出“可疑”医保基金结算清单数量与实际工作情况相匹配，督促定点医药机构提高申诉、复核能力，合理确定上线规则数量和相关指标、阈值，做到成熟一条应用一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三是优化智能审核和监控流程。科学划分事前、事中、事后流程，以医保基金审核结算为中心节点，划分为事前提醒、事中审核、事后监管。鼓励定点医药机构对接智能监管子系统或在系统中嵌入规则，开展事前提醒。</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四是推动经办机构全面智能审核。要求各级经办机构以统筹区为单位，使用智能监管子系统全面审核定点医药机构申报的费用，实现医保基金支付智能审核全覆盖，严把医保基金安全的第一道防线。建立健全线上初审、复核、申诉、复审、反馈、处理等全审核流程的管理机制，合理设置各环节审核重点、办理时限。与协议管理工作相结合，采取有效措施，激励定点医药机构主动对接智能监管子系统。</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五是拓展智能监控应用场景。适应新形势的变化，做好门诊共济保障机制改革定点医药机构监管，加强DRG/DIP支付方式下医保基金智能审核和监管，应用新技术赋能基金监管，要求各级医保部门综合应用医疗保障智能审核监控和大数据分析手段，实现线索发现、调查取证、违规处理、结果应用等监管环节线上线下相结合，形成全流程闭环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六是提出工作要求。包括加强组织领导、健全工作机制、夯实数据基础、做好沟通宣传等内容。要求加强行政监管、信息化建设、经办实施的工作协同。健全数据安全工作机制，严格按照相关法律法规要求，提高信息安全防护和应急处置能力，确保网络信息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sz w:val="28"/>
          <w:szCs w:val="28"/>
        </w:rPr>
      </w:pPr>
      <w:r>
        <w:rPr>
          <w:rStyle w:val="15"/>
          <w:rFonts w:hint="eastAsia" w:ascii="Microsoft YaHei UI" w:hAnsi="Microsoft YaHei UI" w:eastAsia="Microsoft YaHei UI" w:cs="Microsoft YaHei UI"/>
          <w:i w:val="0"/>
          <w:iCs w:val="0"/>
          <w:caps w:val="0"/>
          <w:color w:val="0070C0"/>
          <w:spacing w:val="15"/>
          <w:sz w:val="28"/>
          <w:szCs w:val="28"/>
          <w:shd w:val="clear" w:fill="FFFFFF"/>
        </w:rPr>
        <w:t>&gt;&gt;文件密集出台 定点药店首次被纳入飞检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实际上，大数据监管是应对日益复杂监管形势、有效破解监管难题、不断提升监管效率和精准打击能力的重要举措。</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据了解，国家医保局在去年工作的基础上，今年在全国选取11个省区市和53个统筹区开展医保反欺诈大数据应用监管试点，鼓励各级医保部门创新运用大数据、人工智能等新技术，逐步构建起严密有力的大数据监管体系。同时，进一步积极推进智能审核和监控工作，力争尽快实现智能监管子系统在所有统筹地区全覆盖，形成全国智能监控“一张网”。今年上半年，全国智能审核和监控拒付、追回医保资金9.8亿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在日前国家医保局召开的新闻发布会上，据国家医保局基金监管司副司长顾荣介绍，今年上半年，全国医保部门共检查定点医药机构39万家，处理违法违规机构16万家，追回医保相关资金63.4亿元。2018年以来累计追回835亿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顾荣介绍说，国家医保局常态化开展飞行检查。今年8月，2023年度国家医保基金飞行检查正式开始，将覆盖全国31个省区市和新疆生产建设兵团，聚焦医学影像检查、临床检验、康复3个群众反映问题比较集中的领域。同时，首次将定点零售药店纳入检查对象。截至目前，已先后赴贵州、陕西、四川、新疆、上海等15个省区市开展飞检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同时，国家医保局连续5年联合公安、卫健部门开展打击欺诈骗保专项整治，今年检察机关和财政部门也加入其中，联动惩戒优势更加凸显。今年专项整治将聚焦“骨科、血透、心内、检查、检验、康复理疗”等重点领域，力争做到查处一批重点案件、打击一批违法行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顾荣指出，国家医保局持续强化社会监督，今年上半年，全国医保部门收到举报投诉2137件，通过办理群众举报，追回医保基金4233万元，并处行政处罚765万元。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今年5月，国务院办公厅印发了《关于加强医疗保障基金使用常态化监管的实施意见》（国办发〔2023〕17号），全面压实各方责任，做实常态化监管，健全完善制度机制，推动加快构建权责明晰、协同发力、系统集成、法治高效的医保基金使用常态化监管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国家医保局于3月出台部门规章《医疗保障基金飞行检查管理暂行办法》（国家医保局第6号令），规定了飞行检查的遵循原则、启动条件、组织方式、检查要求、检查程序、问题处理等内容，为进一步规范飞行检查提供重要制度保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3月，国家医保局印发了《骨科高值医用耗材专项检查工作指南（2023版）》等3个工作指南，分别于4月、7月印发了《关于开展医保领域打击欺诈骗保专项整治工作的通知》（医保发〔2023〕15号）、《关于开展2023年医疗保障基金飞行检查工作的通知》（医保发〔2023〕22号）两份文件，加强医保基金使用常态化监管，聚焦整治重点，严厉打击医保领域违法违规行为，保障医保基金安全规范使用，提高基金使用效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jc w:val="both"/>
        <w:rPr>
          <w:sz w:val="28"/>
          <w:szCs w:val="28"/>
        </w:rPr>
      </w:pPr>
      <w:r>
        <w:rPr>
          <w:rStyle w:val="15"/>
          <w:rFonts w:hint="eastAsia" w:ascii="Microsoft YaHei UI" w:hAnsi="Microsoft YaHei UI" w:eastAsia="Microsoft YaHei UI" w:cs="Microsoft YaHei UI"/>
          <w:i w:val="0"/>
          <w:iCs w:val="0"/>
          <w:caps w:val="0"/>
          <w:color w:val="0070C0"/>
          <w:spacing w:val="15"/>
          <w:sz w:val="28"/>
          <w:szCs w:val="28"/>
          <w:shd w:val="clear" w:fill="FFFFFF"/>
        </w:rPr>
        <w:t>&gt;&gt;全国已有14万家门诊统筹药店 多地强化监管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u w:val="none"/>
          <w:shd w:val="clear" w:fill="FFFFFF"/>
        </w:rPr>
        <w:t>截至8月，全国99%的职工医保统筹地区建立普通门诊统筹待遇，32.09万家定点医疗机构开通普通门诊统筹结算服务，累计结算13.14亿人次，结算医保基金1240.24亿元；25个省份的约14.14万家定点零售药店开通了门诊统筹报销服务，累计结算1.74亿人次，结算医保基金69.36亿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u w:val="none"/>
          <w:shd w:val="clear" w:fill="FFFFFF"/>
        </w:rPr>
        <w:t>随着越来越多的定点药店进入门诊统筹管理体系，意味着医保基金监管将迎来新的考验。具体到地方，监管部门通过多举措强化监管。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自2023年起，江苏省苏州市实施医保门诊共济新政，职工医保降低统筹基金使用门槛，并大幅提高统筹基金使用“封顶线”。</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新政实施后，苏州市职工医保参保人门诊报销时起付线维持不变，即在职职工600元、退休职工400元，门诊统筹年度最高支付限额达13000元——此前限额为在职职工4000元、退休职工4800元。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据了解，苏州市医保定点门诊医疗机构、零售药店分为B/C两级管理，此前B级定点门诊医疗机构及零售药店可以使用医保统筹基金，C级则仅可使用个人账户。改革后，C级定点医药机构发生的医药费用也纳入统筹基金支付范围， B级定点医药机构门诊统筹限额得到大幅提升。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苏州医保部门从多个方面着手，加强门诊共济改革后的门诊统筹基金监管工作：其一，做好医保管理规范并落实稽核检查。例如，苏州市医保部门要求定点零售药店做好处方的管理工作，必须凭处方购买处方药，且药店应留存相应处方备查。其二，用好智能监控、智能审核手段。此外，结合大数据分析，开展重点监管。从统筹基金使用量、统筹基金占比、大额费用占比等三个维度抓取“疑点”线索，重点关注相关数据排名前20的C级定点医药机构，开展实地检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为规范定点零售药店纳入职工医保门诊统筹管理，安徽省桐城市医保局以定点医药机构“进销存”管理为抓手，做到医保基金监管“事前”预防、“事中”干预。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一是聚焦“人”、“物”关键要素，前移监管关口，加大日常检查频次与力度，通过现场执法+智能监控构建医保基金监管“第一道防线”，对定点药店药品的入库、出库、使用等环节管理情况进行实时监测，要求具有完整的“进销存”管理制度及完整的患者购药、结算信息档案管理制度，做到全周期可追溯。</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此外，持续抓好职工门诊共济保障政策落实，依托统一的医保平台及信息化改造，确保具备与各级医保信息系统结算数据交换及处方信息流转的条件，让门诊慢特病人员可通过电子处方流转在定点零售药店购买医保目录内药品，凭医保电子凭证或社会保障卡直接刷卡购药，只需支付应由个人负担的费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120" w:right="12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color w:val="3F3F3F"/>
          <w:spacing w:val="15"/>
          <w:sz w:val="28"/>
          <w:szCs w:val="28"/>
          <w:shd w:val="clear" w:fill="FFFFFF"/>
        </w:rPr>
        <w:t>桐城市医保局明确定点零售药店职工医保门诊统筹管理业务申请条件和程序，对于材料齐全的予以受理并进行现场评估核实，评估结果合格的，医保经办机构与其签订医保补充协议并及时向社会公布相关信息。同时实行“有进有出”的动态管理，对违反医保服务协议的，严格按照协议规定处理。</w:t>
      </w:r>
    </w:p>
    <w:p>
      <w:pPr>
        <w:pStyle w:val="3"/>
        <w:spacing w:before="0" w:beforeAutospacing="0" w:after="210" w:afterAutospacing="0" w:line="21" w:lineRule="atLeast"/>
        <w:rPr>
          <w:rFonts w:hint="eastAsia" w:asciiTheme="minorEastAsia" w:hAnsiTheme="minorEastAsia" w:eastAsiaTheme="minorEastAsia" w:cstheme="minorEastAsia"/>
          <w:b/>
          <w:color w:val="333333"/>
          <w:kern w:val="36"/>
          <w:sz w:val="28"/>
          <w:szCs w:val="28"/>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hint="eastAsia" w:ascii="微软雅黑" w:hAnsi="微软雅黑" w:eastAsia="微软雅黑"/>
          <w:b/>
          <w:color w:val="333333"/>
          <w:kern w:val="36"/>
          <w:sz w:val="24"/>
          <w:szCs w:val="24"/>
        </w:rPr>
      </w:pPr>
    </w:p>
    <w:p>
      <w:pPr>
        <w:pStyle w:val="3"/>
        <w:spacing w:before="0" w:beforeAutospacing="0" w:after="210" w:afterAutospacing="0" w:line="21" w:lineRule="atLeast"/>
        <w:rPr>
          <w:rFonts w:ascii="微软雅黑" w:hAnsi="微软雅黑" w:eastAsia="微软雅黑"/>
          <w:b/>
          <w:color w:val="333333"/>
          <w:kern w:val="36"/>
          <w:sz w:val="24"/>
          <w:szCs w:val="24"/>
        </w:rPr>
      </w:pPr>
      <w:r>
        <w:rPr>
          <w:rFonts w:hint="eastAsia" w:ascii="微软雅黑" w:hAnsi="微软雅黑" w:eastAsia="微软雅黑"/>
          <w:b/>
          <w:color w:val="333333"/>
          <w:kern w:val="36"/>
          <w:sz w:val="24"/>
          <w:szCs w:val="24"/>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Theme="majorEastAsia" w:hAnsiTheme="majorEastAsia" w:eastAsiaTheme="majorEastAsia" w:cstheme="majorEastAsia"/>
          <w:i w:val="0"/>
          <w:iCs w:val="0"/>
          <w:caps w:val="0"/>
          <w:spacing w:val="8"/>
          <w:sz w:val="33"/>
          <w:szCs w:val="33"/>
          <w:shd w:val="clear" w:fill="FFFFFF"/>
        </w:rPr>
        <w:t>国家药监局出台</w:t>
      </w:r>
      <w:r>
        <w:rPr>
          <w:rFonts w:hint="eastAsia" w:asciiTheme="majorEastAsia" w:hAnsiTheme="majorEastAsia" w:eastAsiaTheme="majorEastAsia" w:cstheme="majorEastAsia"/>
          <w:i w:val="0"/>
          <w:iCs w:val="0"/>
          <w:caps w:val="0"/>
          <w:spacing w:val="8"/>
          <w:sz w:val="33"/>
          <w:szCs w:val="33"/>
          <w:shd w:val="clear" w:fill="FFFFFF"/>
          <w:lang w:val="en-US" w:eastAsia="zh-CN"/>
        </w:rPr>
        <w:t>医疗器械网络销售</w:t>
      </w:r>
      <w:r>
        <w:rPr>
          <w:rFonts w:hint="eastAsia" w:asciiTheme="majorEastAsia" w:hAnsiTheme="majorEastAsia" w:eastAsiaTheme="majorEastAsia" w:cstheme="majorEastAsia"/>
          <w:i w:val="0"/>
          <w:iCs w:val="0"/>
          <w:caps w:val="0"/>
          <w:spacing w:val="8"/>
          <w:sz w:val="33"/>
          <w:szCs w:val="33"/>
          <w:shd w:val="clear" w:fill="FFFFFF"/>
        </w:rPr>
        <w:t>新规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17"/>
          <w:rFonts w:hint="eastAsia" w:ascii="Microsoft YaHei UI" w:hAnsi="Microsoft YaHei UI" w:eastAsia="Microsoft YaHei UI" w:cs="Microsoft YaHei UI"/>
          <w:i w:val="0"/>
          <w:iCs w:val="0"/>
          <w:caps w:val="0"/>
          <w:spacing w:val="8"/>
          <w:sz w:val="22"/>
          <w:szCs w:val="22"/>
          <w:u w:val="none"/>
          <w:shd w:val="clear" w:fill="FFFFFF"/>
        </w:rPr>
        <w:t>洞察OTC控销</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2023-09-22 16:38</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发表于湖北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240" w:right="240"/>
        <w:jc w:val="both"/>
        <w:rPr>
          <w:rFonts w:hint="eastAsia" w:ascii="Microsoft YaHei UI" w:hAnsi="Microsoft YaHei UI" w:eastAsia="Microsoft YaHei UI" w:cs="Microsoft YaHei UI"/>
          <w:spacing w:val="8"/>
        </w:rPr>
      </w:pPr>
      <w:r>
        <w:rPr>
          <w:rFonts w:ascii="monospace" w:hAnsi="monospace" w:eastAsia="monospace" w:cs="monospace"/>
          <w:i w:val="0"/>
          <w:iCs w:val="0"/>
          <w:caps w:val="0"/>
          <w:spacing w:val="9"/>
          <w:sz w:val="24"/>
          <w:szCs w:val="24"/>
          <w:shd w:val="clear" w:fill="FFFFFF"/>
        </w:rPr>
        <w:drawing>
          <wp:inline distT="0" distB="0" distL="114300" distR="114300">
            <wp:extent cx="5135245" cy="2999740"/>
            <wp:effectExtent l="0" t="0" r="8255" b="10160"/>
            <wp:docPr id="21"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8"/>
                    <pic:cNvPicPr>
                      <a:picLocks noChangeAspect="1"/>
                    </pic:cNvPicPr>
                  </pic:nvPicPr>
                  <pic:blipFill>
                    <a:blip r:embed="rId7"/>
                    <a:stretch>
                      <a:fillRect/>
                    </a:stretch>
                  </pic:blipFill>
                  <pic:spPr>
                    <a:xfrm>
                      <a:off x="0" y="0"/>
                      <a:ext cx="5135245" cy="29997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both"/>
        <w:rPr>
          <w:sz w:val="28"/>
          <w:szCs w:val="28"/>
        </w:rPr>
      </w:pPr>
      <w:r>
        <w:rPr>
          <w:rStyle w:val="15"/>
          <w:i w:val="0"/>
          <w:iCs w:val="0"/>
          <w:caps w:val="0"/>
          <w:color w:val="AB1942"/>
          <w:spacing w:val="7"/>
          <w:sz w:val="28"/>
          <w:szCs w:val="28"/>
          <w:shd w:val="clear" w:fill="FFFFFF"/>
        </w:rPr>
        <w:t>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240" w:right="240"/>
        <w:jc w:val="both"/>
        <w:rPr>
          <w:rFonts w:hint="eastAsia" w:ascii="Microsoft YaHei UI" w:hAnsi="Microsoft YaHei UI" w:eastAsia="Microsoft YaHei UI" w:cs="Microsoft YaHei UI"/>
          <w:color w:val="222222"/>
          <w:spacing w:val="8"/>
          <w:sz w:val="28"/>
          <w:szCs w:val="28"/>
        </w:rPr>
      </w:pPr>
      <w:r>
        <w:rPr>
          <w:rStyle w:val="15"/>
          <w:rFonts w:hint="eastAsia" w:ascii="Microsoft YaHei UI" w:hAnsi="Microsoft YaHei UI" w:eastAsia="Microsoft YaHei UI" w:cs="Microsoft YaHei UI"/>
          <w:b/>
          <w:bCs/>
          <w:i w:val="0"/>
          <w:iCs w:val="0"/>
          <w:caps w:val="0"/>
          <w:color w:val="AB1942"/>
          <w:spacing w:val="7"/>
          <w:sz w:val="28"/>
          <w:szCs w:val="28"/>
          <w:shd w:val="clear" w:fill="FFFFFF"/>
        </w:rPr>
        <w:t>医疗器械网售将面临严管，新规出台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20" w:firstLineChars="200"/>
        <w:jc w:val="both"/>
        <w:rPr>
          <w:rFonts w:hint="default" w:asciiTheme="minorEastAsia" w:hAnsiTheme="minorEastAsia" w:eastAsiaTheme="minorEastAsia" w:cstheme="minorEastAsia"/>
          <w:i w:val="0"/>
          <w:iCs w:val="0"/>
          <w:caps w:val="0"/>
          <w:spacing w:val="15"/>
          <w:sz w:val="28"/>
          <w:szCs w:val="28"/>
          <w:shd w:val="clear" w:fill="FFFFFF"/>
          <w:lang w:val="en-US" w:eastAsia="zh-CN"/>
        </w:rPr>
      </w:pPr>
      <w:r>
        <w:rPr>
          <w:rFonts w:hint="eastAsia" w:asciiTheme="minorEastAsia" w:hAnsiTheme="minorEastAsia" w:eastAsiaTheme="minorEastAsia" w:cstheme="minorEastAsia"/>
          <w:i w:val="0"/>
          <w:iCs w:val="0"/>
          <w:caps w:val="0"/>
          <w:spacing w:val="15"/>
          <w:sz w:val="28"/>
          <w:szCs w:val="28"/>
          <w:shd w:val="clear" w:fill="FFFFFF"/>
        </w:rPr>
        <w:t>9月18日，国家药监局出台</w:t>
      </w:r>
      <w:r>
        <w:rPr>
          <w:rFonts w:hint="eastAsia" w:asciiTheme="minorEastAsia" w:hAnsiTheme="minorEastAsia" w:eastAsiaTheme="minorEastAsia" w:cstheme="minorEastAsia"/>
          <w:b/>
          <w:bCs/>
          <w:i w:val="0"/>
          <w:iCs w:val="0"/>
          <w:caps w:val="0"/>
          <w:color w:val="78ACFE"/>
          <w:spacing w:val="15"/>
          <w:sz w:val="28"/>
          <w:szCs w:val="28"/>
          <w:shd w:val="clear" w:fill="FFFFFF"/>
        </w:rPr>
        <w:t>《医疗器械网络销售质量管理规范（征求意见稿）》（以下简称“意见稿”）</w:t>
      </w:r>
      <w:r>
        <w:rPr>
          <w:rFonts w:hint="eastAsia" w:asciiTheme="minorEastAsia" w:hAnsiTheme="minorEastAsia" w:eastAsiaTheme="minorEastAsia" w:cstheme="minorEastAsia"/>
          <w:i w:val="0"/>
          <w:iCs w:val="0"/>
          <w:caps w:val="0"/>
          <w:spacing w:val="15"/>
          <w:sz w:val="28"/>
          <w:szCs w:val="28"/>
          <w:shd w:val="clear" w:fill="FFFFFF"/>
        </w:rPr>
        <w:t>，并正式向社会公开征求意见，公开征求意见的时间为2023年9月15日—10月14日。</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这是国内首个适用于医疗器械网售平台、网售经营者的医疗</w:t>
      </w:r>
      <w:r>
        <w:rPr>
          <w:rFonts w:hint="eastAsia" w:asciiTheme="minorEastAsia" w:hAnsiTheme="minorEastAsia" w:eastAsiaTheme="minorEastAsia" w:cstheme="minorEastAsia"/>
          <w:i w:val="0"/>
          <w:iCs w:val="0"/>
          <w:caps w:val="0"/>
          <w:spacing w:val="15"/>
          <w:sz w:val="28"/>
          <w:szCs w:val="28"/>
          <w:shd w:val="clear" w:fill="FFFFFF"/>
          <w:lang w:val="en-US" w:eastAsia="zh-CN"/>
        </w:rPr>
        <w:t>器械网络销售环节的管理规范。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both"/>
        <w:rPr>
          <w:i w:val="0"/>
          <w:iCs w:val="0"/>
          <w:caps w:val="0"/>
          <w:spacing w:val="8"/>
          <w:shd w:val="clear" w:fill="FFFFFF"/>
        </w:rPr>
      </w:pPr>
      <w:r>
        <w:rPr>
          <w:rFonts w:hint="eastAsia" w:ascii="Microsoft YaHei UI" w:hAnsi="Microsoft YaHei UI" w:eastAsia="Microsoft YaHei UI" w:cs="Microsoft YaHei UI"/>
          <w:i w:val="0"/>
          <w:iCs w:val="0"/>
          <w:caps w:val="0"/>
          <w:color w:val="222222"/>
          <w:spacing w:val="8"/>
          <w:sz w:val="24"/>
          <w:szCs w:val="24"/>
          <w:shd w:val="clear" w:fill="FFFFFF"/>
        </w:rPr>
        <w:drawing>
          <wp:inline distT="0" distB="0" distL="114300" distR="114300">
            <wp:extent cx="5248275" cy="3852545"/>
            <wp:effectExtent l="0" t="0" r="9525" b="14605"/>
            <wp:docPr id="25"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59"/>
                    <pic:cNvPicPr>
                      <a:picLocks noChangeAspect="1"/>
                    </pic:cNvPicPr>
                  </pic:nvPicPr>
                  <pic:blipFill>
                    <a:blip r:embed="rId8"/>
                    <a:stretch>
                      <a:fillRect/>
                    </a:stretch>
                  </pic:blipFill>
                  <pic:spPr>
                    <a:xfrm>
                      <a:off x="0" y="0"/>
                      <a:ext cx="5248275" cy="3852545"/>
                    </a:xfrm>
                    <a:prstGeom prst="rect">
                      <a:avLst/>
                    </a:prstGeom>
                    <a:noFill/>
                    <a:ln w="9525">
                      <a:noFill/>
                    </a:ln>
                  </pic:spPr>
                </pic:pic>
              </a:graphicData>
            </a:graphic>
          </wp:inline>
        </w:drawing>
      </w:r>
      <w:r>
        <w:rPr>
          <w:i w:val="0"/>
          <w:iCs w:val="0"/>
          <w:caps w:val="0"/>
          <w:spacing w:val="8"/>
          <w:shd w:val="clear" w:fill="FFFFFF"/>
        </w:rPr>
        <w:br w:type="textWrapp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620" w:firstLineChars="200"/>
        <w:jc w:val="both"/>
        <w:rPr>
          <w:rFonts w:hint="eastAsia" w:asciiTheme="minorEastAsia" w:hAnsiTheme="minorEastAsia" w:eastAsiaTheme="minorEastAsia" w:cstheme="minorEastAsia"/>
          <w:b/>
          <w:bCs/>
          <w:i w:val="0"/>
          <w:iCs w:val="0"/>
          <w:caps w:val="0"/>
          <w:spacing w:val="8"/>
          <w:sz w:val="28"/>
          <w:szCs w:val="28"/>
          <w:shd w:val="clear" w:fill="FFFFFF"/>
        </w:rPr>
      </w:pPr>
      <w:r>
        <w:rPr>
          <w:i w:val="0"/>
          <w:iCs w:val="0"/>
          <w:caps w:val="0"/>
          <w:spacing w:val="15"/>
          <w:sz w:val="28"/>
          <w:szCs w:val="28"/>
          <w:shd w:val="clear" w:fill="FFFFFF"/>
        </w:rPr>
        <w:t>意见稿共分4章74条，分为总则、</w:t>
      </w:r>
      <w:r>
        <w:rPr>
          <w:b/>
          <w:bCs/>
          <w:i w:val="0"/>
          <w:iCs w:val="0"/>
          <w:caps w:val="0"/>
          <w:color w:val="78ACFE"/>
          <w:spacing w:val="15"/>
          <w:sz w:val="28"/>
          <w:szCs w:val="28"/>
          <w:shd w:val="clear" w:fill="FFFFFF"/>
        </w:rPr>
        <w:t>网络销售经营者质量管理、平台经营者质量管理、附则等四个章节</w:t>
      </w:r>
      <w:r>
        <w:rPr>
          <w:i w:val="0"/>
          <w:iCs w:val="0"/>
          <w:caps w:val="0"/>
          <w:spacing w:val="15"/>
          <w:sz w:val="28"/>
          <w:szCs w:val="28"/>
          <w:shd w:val="clear" w:fill="FFFFFF"/>
        </w:rPr>
        <w:t>，是对医疗器械网络销售经营者、为医疗器械网络交易提供服务的电子商务平台经营者的基本要求。</w:t>
      </w:r>
      <w:r>
        <w:rPr>
          <w:b/>
          <w:bCs/>
          <w:i w:val="0"/>
          <w:iCs w:val="0"/>
          <w:caps w:val="0"/>
          <w:color w:val="78ACFE"/>
          <w:spacing w:val="15"/>
          <w:sz w:val="28"/>
          <w:szCs w:val="28"/>
          <w:shd w:val="clear" w:fill="FFFFFF"/>
        </w:rPr>
        <w:t>视频、直播带货、网络社交</w:t>
      </w:r>
      <w:r>
        <w:rPr>
          <w:i w:val="0"/>
          <w:iCs w:val="0"/>
          <w:caps w:val="0"/>
          <w:spacing w:val="15"/>
          <w:sz w:val="28"/>
          <w:szCs w:val="28"/>
          <w:shd w:val="clear" w:fill="FFFFFF"/>
        </w:rPr>
        <w:t>等新兴网络服务提供者如涉足医疗器械网售相关环节也应依法遵守。</w:t>
      </w:r>
      <w:r>
        <w:rPr>
          <w:i w:val="0"/>
          <w:iCs w:val="0"/>
          <w:caps w:val="0"/>
          <w:spacing w:val="15"/>
          <w:sz w:val="28"/>
          <w:szCs w:val="28"/>
          <w:shd w:val="clear" w:fill="FFFFFF"/>
        </w:rPr>
        <w:br w:type="textWrapping"/>
      </w:r>
      <w:r>
        <w:rPr>
          <w:rFonts w:hint="eastAsia"/>
          <w:i w:val="0"/>
          <w:iCs w:val="0"/>
          <w:caps w:val="0"/>
          <w:spacing w:val="15"/>
          <w:sz w:val="28"/>
          <w:szCs w:val="28"/>
          <w:shd w:val="clear" w:fill="FFFFFF"/>
          <w:lang w:val="en-US" w:eastAsia="zh-CN"/>
        </w:rPr>
        <w:t xml:space="preserve">    </w:t>
      </w:r>
      <w:r>
        <w:rPr>
          <w:i w:val="0"/>
          <w:iCs w:val="0"/>
          <w:caps w:val="0"/>
          <w:spacing w:val="15"/>
          <w:sz w:val="28"/>
          <w:szCs w:val="28"/>
          <w:shd w:val="clear" w:fill="FFFFFF"/>
        </w:rPr>
        <w:t>过去网售药品乱象丛生，自从去年12月1日《药品网络销售监督管理办法》正式实施后，网售药品乱象得到了有效治理；《医疗器械网络销售质量管理规范（征求意见稿）》的出台，表明国家已经将医疗器械的管理提升到药品的高度。”</w:t>
      </w:r>
      <w:r>
        <w:rPr>
          <w:i w:val="0"/>
          <w:iCs w:val="0"/>
          <w:caps w:val="0"/>
          <w:spacing w:val="15"/>
          <w:sz w:val="28"/>
          <w:szCs w:val="28"/>
          <w:shd w:val="clear" w:fill="FFFFFF"/>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02不得超范围开展器械网售</w:t>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 xml:space="preserve">   </w:t>
      </w:r>
      <w:r>
        <w:rPr>
          <w:rFonts w:hint="eastAsia" w:asciiTheme="minorEastAsia" w:hAnsiTheme="minorEastAsia" w:eastAsiaTheme="minorEastAsia" w:cstheme="minorEastAsia"/>
          <w:i w:val="0"/>
          <w:iCs w:val="0"/>
          <w:caps w:val="0"/>
          <w:spacing w:val="15"/>
          <w:sz w:val="28"/>
          <w:szCs w:val="28"/>
          <w:shd w:val="clear" w:fill="FFFFFF"/>
        </w:rPr>
        <w:t>《征求意见稿》强调，</w:t>
      </w:r>
      <w:r>
        <w:rPr>
          <w:rFonts w:hint="eastAsia" w:asciiTheme="minorEastAsia" w:hAnsiTheme="minorEastAsia" w:eastAsiaTheme="minorEastAsia" w:cstheme="minorEastAsia"/>
          <w:b/>
          <w:bCs/>
          <w:i w:val="0"/>
          <w:iCs w:val="0"/>
          <w:caps w:val="0"/>
          <w:color w:val="78ACFE"/>
          <w:spacing w:val="15"/>
          <w:sz w:val="28"/>
          <w:szCs w:val="28"/>
          <w:shd w:val="clear" w:fill="FFFFFF"/>
        </w:rPr>
        <w:t>网络销售经营者应当依据相关法律、法规、规章和规范的要求，按照经许可或者备案的经营方式、经营范围从事医疗器械网络销售活动。医疗器械注册人自行开展医疗器械网络销售的，经营范围不得超出其经注册的医疗器械产品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620" w:firstLineChars="200"/>
        <w:jc w:val="both"/>
        <w:rPr>
          <w:rFonts w:hint="eastAsia" w:asciiTheme="minorEastAsia" w:hAnsiTheme="minorEastAsia" w:eastAsiaTheme="minorEastAsia" w:cstheme="minorEastAsia"/>
          <w:i w:val="0"/>
          <w:iCs w:val="0"/>
          <w:caps w:val="0"/>
          <w:spacing w:val="15"/>
          <w:sz w:val="28"/>
          <w:szCs w:val="28"/>
          <w:shd w:val="clear" w:fill="FFFFFF"/>
        </w:rPr>
      </w:pPr>
      <w:r>
        <w:rPr>
          <w:rFonts w:hint="eastAsia" w:asciiTheme="minorEastAsia" w:hAnsiTheme="minorEastAsia" w:eastAsiaTheme="minorEastAsia" w:cstheme="minorEastAsia"/>
          <w:i w:val="0"/>
          <w:iCs w:val="0"/>
          <w:caps w:val="0"/>
          <w:spacing w:val="15"/>
          <w:sz w:val="28"/>
          <w:szCs w:val="28"/>
          <w:shd w:val="clear" w:fill="FFFFFF"/>
        </w:rPr>
        <w:t>医疗器械注册人、备案人委托医疗器械经营企业开展医疗器械网络销售的，应当委托符合条件的医疗器械经营企业，签订委托协议明确双方的权利和义务，并加强对经营企业培训和管理。</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8"/>
          <w:sz w:val="28"/>
          <w:szCs w:val="28"/>
          <w:shd w:val="clear" w:fill="FFFFFF"/>
        </w:rPr>
        <w:t>网售同时要确保医疗器械网络销售数据和记录的真实、准确、完整和可追溯，不得随意篡改数据。相关记录应当按照国务院药品监督管理部门规定的期限予以保存。</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在人员管理方面，《征求意见稿》也提出了具体要求。</w:t>
      </w:r>
      <w:r>
        <w:rPr>
          <w:rFonts w:hint="eastAsia" w:asciiTheme="minorEastAsia" w:hAnsiTheme="minorEastAsia" w:eastAsiaTheme="minorEastAsia" w:cstheme="minorEastAsia"/>
          <w:i w:val="0"/>
          <w:iCs w:val="0"/>
          <w:caps w:val="0"/>
          <w:color w:val="021EAA"/>
          <w:spacing w:val="15"/>
          <w:sz w:val="28"/>
          <w:szCs w:val="28"/>
          <w:shd w:val="clear" w:fill="FFFFFF"/>
        </w:rPr>
        <w:br w:type="textWrapping"/>
      </w:r>
      <w:r>
        <w:rPr>
          <w:rFonts w:hint="eastAsia" w:asciiTheme="minorEastAsia" w:hAnsiTheme="minorEastAsia" w:eastAsiaTheme="minorEastAsia" w:cstheme="minorEastAsia"/>
          <w:i w:val="0"/>
          <w:iCs w:val="0"/>
          <w:caps w:val="0"/>
          <w:color w:val="021EAA"/>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例如，</w:t>
      </w:r>
      <w:r>
        <w:rPr>
          <w:rFonts w:hint="eastAsia" w:asciiTheme="minorEastAsia" w:hAnsiTheme="minorEastAsia" w:eastAsiaTheme="minorEastAsia" w:cstheme="minorEastAsia"/>
          <w:b/>
          <w:bCs/>
          <w:i w:val="0"/>
          <w:iCs w:val="0"/>
          <w:caps w:val="0"/>
          <w:color w:val="78ACFE"/>
          <w:spacing w:val="15"/>
          <w:sz w:val="28"/>
          <w:szCs w:val="28"/>
          <w:shd w:val="clear" w:fill="FFFFFF"/>
        </w:rPr>
        <w:t>从事零售角膜接触镜、助听器等有特殊验配要求医疗器械的网络销售经营者，</w:t>
      </w:r>
      <w:r>
        <w:rPr>
          <w:rFonts w:hint="eastAsia" w:asciiTheme="minorEastAsia" w:hAnsiTheme="minorEastAsia" w:eastAsiaTheme="minorEastAsia" w:cstheme="minorEastAsia"/>
          <w:i w:val="0"/>
          <w:iCs w:val="0"/>
          <w:caps w:val="0"/>
          <w:spacing w:val="15"/>
          <w:sz w:val="28"/>
          <w:szCs w:val="28"/>
          <w:shd w:val="clear" w:fill="FFFFFF"/>
        </w:rPr>
        <w:t>应当配备具有相关专业或者职业资格的经营与售后服务人员。</w:t>
      </w:r>
      <w:r>
        <w:rPr>
          <w:rFonts w:hint="eastAsia" w:asciiTheme="minorEastAsia" w:hAnsiTheme="minorEastAsia" w:eastAsiaTheme="minorEastAsia" w:cstheme="minorEastAsia"/>
          <w:b/>
          <w:bCs/>
          <w:i w:val="0"/>
          <w:iCs w:val="0"/>
          <w:caps w:val="0"/>
          <w:color w:val="78ACFE"/>
          <w:spacing w:val="15"/>
          <w:sz w:val="28"/>
          <w:szCs w:val="28"/>
          <w:shd w:val="clear" w:fill="FFFFFF"/>
        </w:rPr>
        <w:t>从事体外诊断试剂网络销售的企业</w:t>
      </w:r>
      <w:r>
        <w:rPr>
          <w:rFonts w:hint="eastAsia" w:asciiTheme="minorEastAsia" w:hAnsiTheme="minorEastAsia" w:eastAsiaTheme="minorEastAsia" w:cstheme="minorEastAsia"/>
          <w:b/>
          <w:bCs/>
          <w:i w:val="0"/>
          <w:iCs w:val="0"/>
          <w:caps w:val="0"/>
          <w:spacing w:val="15"/>
          <w:sz w:val="28"/>
          <w:szCs w:val="28"/>
          <w:shd w:val="clear" w:fill="FFFFFF"/>
        </w:rPr>
        <w:t>，</w:t>
      </w:r>
      <w:r>
        <w:rPr>
          <w:rFonts w:hint="eastAsia" w:asciiTheme="minorEastAsia" w:hAnsiTheme="minorEastAsia" w:eastAsiaTheme="minorEastAsia" w:cstheme="minorEastAsia"/>
          <w:i w:val="0"/>
          <w:iCs w:val="0"/>
          <w:caps w:val="0"/>
          <w:spacing w:val="15"/>
          <w:sz w:val="28"/>
          <w:szCs w:val="28"/>
          <w:shd w:val="clear" w:fill="FFFFFF"/>
        </w:rPr>
        <w:t>其质量管理人员中，对证书和学历的要求也是非常严格的。</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《征求意见稿》再次强调，不得展示不符合法定要求、医疗器械注册证被依法撤销、医疗器械备案被依法取消等医疗器械信息。</w:t>
      </w:r>
      <w:r>
        <w:rPr>
          <w:rStyle w:val="15"/>
          <w:rFonts w:hint="eastAsia" w:asciiTheme="minorEastAsia" w:hAnsiTheme="minorEastAsia" w:eastAsiaTheme="minorEastAsia" w:cstheme="minorEastAsia"/>
          <w:i w:val="0"/>
          <w:iCs w:val="0"/>
          <w:caps w:val="0"/>
          <w:color w:val="AB1942"/>
          <w:spacing w:val="7"/>
          <w:sz w:val="28"/>
          <w:szCs w:val="28"/>
          <w:shd w:val="clear" w:fill="FFFFFF"/>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03加强直播营销监管</w:t>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 xml:space="preserve">    </w:t>
      </w:r>
      <w:r>
        <w:rPr>
          <w:rFonts w:hint="eastAsia" w:asciiTheme="minorEastAsia" w:hAnsiTheme="minorEastAsia" w:eastAsiaTheme="minorEastAsia" w:cstheme="minorEastAsia"/>
          <w:i w:val="0"/>
          <w:iCs w:val="0"/>
          <w:caps w:val="0"/>
          <w:spacing w:val="15"/>
          <w:sz w:val="28"/>
          <w:szCs w:val="28"/>
          <w:shd w:val="clear" w:fill="FFFFFF"/>
        </w:rPr>
        <w:t>《征求意见稿》对平台经营者质量管理做出明确要求。</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rPr>
        <w:t>例如，</w:t>
      </w:r>
      <w:r>
        <w:rPr>
          <w:rFonts w:hint="eastAsia" w:asciiTheme="minorEastAsia" w:hAnsiTheme="minorEastAsia" w:eastAsiaTheme="minorEastAsia" w:cstheme="minorEastAsia"/>
          <w:b/>
          <w:bCs/>
          <w:i w:val="0"/>
          <w:iCs w:val="0"/>
          <w:caps w:val="0"/>
          <w:color w:val="78ACFE"/>
          <w:spacing w:val="15"/>
          <w:sz w:val="28"/>
          <w:szCs w:val="28"/>
          <w:shd w:val="clear" w:fill="FFFFFF"/>
        </w:rPr>
        <w:t>平台经营者应当设立专门的医疗器械类目，对医疗器械单独管理。</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平台经营者应当对入驻平台网络销售经营者展示的经营主体、产品资质信息进行审核，确认其展示信息符合要求，且网络销售经营者经营方式、经营范围与上架医疗器械品种相适宜。</w:t>
      </w:r>
      <w:r>
        <w:rPr>
          <w:rFonts w:hint="eastAsia" w:asciiTheme="minorEastAsia" w:hAnsiTheme="minorEastAsia" w:eastAsiaTheme="minorEastAsia" w:cstheme="minorEastAsia"/>
          <w:i w:val="0"/>
          <w:iCs w:val="0"/>
          <w:caps w:val="0"/>
          <w:color w:val="021EAA"/>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rPr>
        <w:t>《征求意见稿》还专门对直播营销医疗器械提出要求。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620" w:firstLineChars="200"/>
        <w:jc w:val="both"/>
        <w:rPr>
          <w:rFonts w:hint="eastAsia" w:asciiTheme="minorEastAsia" w:hAnsiTheme="minorEastAsia" w:eastAsiaTheme="minorEastAsia" w:cstheme="minorEastAsia"/>
          <w:b/>
          <w:bCs/>
          <w:i w:val="0"/>
          <w:iCs w:val="0"/>
          <w:caps w:val="0"/>
          <w:spacing w:val="15"/>
          <w:sz w:val="28"/>
          <w:szCs w:val="28"/>
          <w:shd w:val="clear" w:fill="FFFFFF"/>
        </w:rPr>
      </w:pPr>
      <w:r>
        <w:rPr>
          <w:rFonts w:hint="eastAsia" w:asciiTheme="minorEastAsia" w:hAnsiTheme="minorEastAsia" w:eastAsiaTheme="minorEastAsia" w:cstheme="minorEastAsia"/>
          <w:i w:val="0"/>
          <w:iCs w:val="0"/>
          <w:caps w:val="0"/>
          <w:spacing w:val="15"/>
          <w:sz w:val="28"/>
          <w:szCs w:val="28"/>
          <w:shd w:val="clear" w:fill="FFFFFF"/>
        </w:rPr>
        <w:t>其中规定，</w:t>
      </w:r>
      <w:r>
        <w:rPr>
          <w:rFonts w:hint="eastAsia" w:asciiTheme="minorEastAsia" w:hAnsiTheme="minorEastAsia" w:eastAsiaTheme="minorEastAsia" w:cstheme="minorEastAsia"/>
          <w:b/>
          <w:bCs/>
          <w:i w:val="0"/>
          <w:iCs w:val="0"/>
          <w:caps w:val="0"/>
          <w:color w:val="78ACFE"/>
          <w:spacing w:val="15"/>
          <w:sz w:val="28"/>
          <w:szCs w:val="28"/>
          <w:shd w:val="clear" w:fill="FFFFFF"/>
        </w:rPr>
        <w:t>提供直播方式营销服务的平台经营者，应当保存平台内医疗器械网络营销活动的直播视频，保存时间自直播结束之日起不少于3年。</w:t>
      </w:r>
      <w:r>
        <w:rPr>
          <w:rFonts w:hint="eastAsia" w:asciiTheme="minorEastAsia" w:hAnsiTheme="minorEastAsia" w:eastAsiaTheme="minorEastAsia" w:cstheme="minorEastAsia"/>
          <w:b/>
          <w:bCs/>
          <w:i w:val="0"/>
          <w:iCs w:val="0"/>
          <w:caps w:val="0"/>
          <w:spacing w:val="8"/>
          <w:sz w:val="28"/>
          <w:szCs w:val="28"/>
          <w:shd w:val="clear" w:fill="FFFFFF"/>
        </w:rPr>
        <w:br w:type="textWrapping"/>
      </w:r>
      <w:r>
        <w:rPr>
          <w:rFonts w:hint="eastAsia" w:asciiTheme="minorEastAsia" w:hAnsiTheme="minorEastAsia" w:eastAsiaTheme="minorEastAsia" w:cstheme="minorEastAsia"/>
          <w:i w:val="0"/>
          <w:iCs w:val="0"/>
          <w:caps w:val="0"/>
          <w:spacing w:val="8"/>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通过直播方式营销医疗器械的网络销售经营者，</w:t>
      </w:r>
      <w:r>
        <w:rPr>
          <w:rFonts w:hint="eastAsia" w:asciiTheme="minorEastAsia" w:hAnsiTheme="minorEastAsia" w:eastAsiaTheme="minorEastAsia" w:cstheme="minorEastAsia"/>
          <w:b/>
          <w:bCs/>
          <w:i w:val="0"/>
          <w:iCs w:val="0"/>
          <w:caps w:val="0"/>
          <w:color w:val="78ACFE"/>
          <w:spacing w:val="15"/>
          <w:sz w:val="28"/>
          <w:szCs w:val="28"/>
          <w:shd w:val="clear" w:fill="FFFFFF"/>
        </w:rPr>
        <w:t>应当为直播营销人员出具加盖本企业公章的授权书，授权书应当载明直播营销的品种和期限，并加强对直播营销人员的培训和管理，对直播营销人员为本企业开展的直播营销行为承担法律责任。</w:t>
      </w:r>
      <w:r>
        <w:rPr>
          <w:rFonts w:hint="eastAsia" w:asciiTheme="minorEastAsia" w:hAnsiTheme="minorEastAsia" w:eastAsiaTheme="minorEastAsia" w:cstheme="minorEastAsia"/>
          <w:b/>
          <w:bCs/>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网络销售经营者通过网络直播、团购等方式营销医疗器械的，其页面显著位置应当持续展示符合该规范要求的相关信息或者相关信息链接。</w:t>
      </w:r>
      <w:r>
        <w:rPr>
          <w:rStyle w:val="15"/>
          <w:rFonts w:hint="eastAsia" w:asciiTheme="minorEastAsia" w:hAnsiTheme="minorEastAsia" w:eastAsiaTheme="minorEastAsia" w:cstheme="minorEastAsia"/>
          <w:i w:val="0"/>
          <w:iCs w:val="0"/>
          <w:caps w:val="0"/>
          <w:spacing w:val="7"/>
          <w:sz w:val="28"/>
          <w:szCs w:val="28"/>
          <w:shd w:val="clear" w:fill="FFFFFF"/>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04  23.5万家医疗器械药企面临“淘汰赛”!</w:t>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br w:type="textWrapping"/>
      </w:r>
      <w:r>
        <w:rPr>
          <w:rStyle w:val="15"/>
          <w:rFonts w:hint="eastAsia" w:ascii="Microsoft YaHei UI" w:hAnsi="Microsoft YaHei UI" w:eastAsia="Microsoft YaHei UI" w:cs="Microsoft YaHei UI"/>
          <w:i w:val="0"/>
          <w:iCs w:val="0"/>
          <w:caps w:val="0"/>
          <w:color w:val="AB1942"/>
          <w:spacing w:val="7"/>
          <w:kern w:val="44"/>
          <w:sz w:val="28"/>
          <w:szCs w:val="28"/>
          <w:shd w:val="clear" w:fill="FFFFFF"/>
          <w:lang w:val="en-US" w:eastAsia="zh-CN" w:bidi="ar-SA"/>
        </w:rPr>
        <w:t xml:space="preserve">    </w:t>
      </w:r>
      <w:r>
        <w:rPr>
          <w:rFonts w:hint="eastAsia" w:asciiTheme="minorEastAsia" w:hAnsiTheme="minorEastAsia" w:eastAsiaTheme="minorEastAsia" w:cstheme="minorEastAsia"/>
          <w:i w:val="0"/>
          <w:iCs w:val="0"/>
          <w:caps w:val="0"/>
          <w:spacing w:val="15"/>
          <w:sz w:val="28"/>
          <w:szCs w:val="28"/>
          <w:shd w:val="clear" w:fill="FFFFFF"/>
        </w:rPr>
        <w:t>相关数据显示，截至2023年6月30日，我国共有医疗器械网络销售企业约23.5万家，医疗器械网络交易服务第三方平台789家；2022年市场规模达2924亿元，专家预计今年将超过3500亿元，药械网络销售行业保持快速发展态势。</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按照意见稿规定，网络销售经营者不仅要在其经营首页显著位置持续公示销售医疗器械的相关资质如营业执照等，同时还需公示医疗器械的注册、生产、备案等资质信息，实施生产、销售一体化管理。</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b/>
          <w:bCs/>
          <w:i w:val="0"/>
          <w:iCs w:val="0"/>
          <w:caps w:val="0"/>
          <w:color w:val="78ACFE"/>
          <w:spacing w:val="15"/>
          <w:sz w:val="28"/>
          <w:szCs w:val="28"/>
          <w:shd w:val="clear" w:fill="FFFFFF"/>
        </w:rPr>
        <w:t>货从厂出，这意味着，对医疗器械网售的加强管理，同时也是对医疗器械生产企业的加强管理。</w:t>
      </w:r>
      <w:r>
        <w:rPr>
          <w:rFonts w:hint="eastAsia" w:asciiTheme="minorEastAsia" w:hAnsiTheme="minorEastAsia" w:eastAsiaTheme="minorEastAsia" w:cstheme="minorEastAsia"/>
          <w:i w:val="0"/>
          <w:iCs w:val="0"/>
          <w:caps w:val="0"/>
          <w:spacing w:val="15"/>
          <w:sz w:val="28"/>
          <w:szCs w:val="28"/>
          <w:shd w:val="clear" w:fill="FFFFFF"/>
        </w:rPr>
        <w:t>从医疗器械的生产厂家到销售企业，一场轰轰烈烈的行业“淘汰赛”也将拉开帷幕，</w:t>
      </w:r>
      <w:r>
        <w:rPr>
          <w:rFonts w:hint="eastAsia" w:asciiTheme="minorEastAsia" w:hAnsiTheme="minorEastAsia" w:eastAsiaTheme="minorEastAsia" w:cstheme="minorEastAsia"/>
          <w:b/>
          <w:bCs/>
          <w:i w:val="0"/>
          <w:iCs w:val="0"/>
          <w:caps w:val="0"/>
          <w:color w:val="78ACFE"/>
          <w:spacing w:val="15"/>
          <w:sz w:val="28"/>
          <w:szCs w:val="28"/>
          <w:shd w:val="clear" w:fill="FFFFFF"/>
        </w:rPr>
        <w:t>而23.5万家医疗器械网络销售企业将率先得到规范。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spacing w:val="15"/>
          <w:sz w:val="28"/>
          <w:szCs w:val="28"/>
          <w:shd w:val="clear" w:fill="FFFFFF"/>
        </w:rPr>
        <w:t>而根据应用场景的不同，医疗器械可以简单地理解为医院医用医疗器械和家用医疗器械两类。此次意见稿的出台，家用医疗器械将首当其冲受到影响，“尤其是售卖中老年康复理疗产品的这类企业”。</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如艾灸，一个艾灸的小仪器，售价198元，没什么技术含量，就两个铁棍子，加个东西一插，成本也就20块钱50块钱的。”卖出价格确实四五倍之高，很多康复理疗类的家用医疗器械从生产到销售环节，都需要严格规范。</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据相关业内人士介绍，部分贴膏、牙膏等产品是医疗器械批准文号而成分却是中草药，二类及以下医疗器械产品一般由省级部门批准，管理相对于药品来讲有待提升其标准，统一规范的难度也较大。随着意见稿的出台，期待此类需要严管的产品，未来会由“地标”提升到为“国标”级别。</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68" w:lineRule="atLeast"/>
        <w:ind w:left="0" w:right="0"/>
        <w:jc w:val="both"/>
        <w:rPr>
          <w:rFonts w:hint="eastAsia" w:ascii="Microsoft YaHei UI" w:hAnsi="Microsoft YaHei UI" w:eastAsia="Microsoft YaHei UI" w:cs="Microsoft YaHei UI"/>
          <w:spacing w:val="8"/>
          <w:sz w:val="28"/>
          <w:szCs w:val="28"/>
        </w:rPr>
      </w:pPr>
      <w:r>
        <w:rPr>
          <w:rStyle w:val="15"/>
          <w:rFonts w:hint="eastAsia" w:ascii="Microsoft YaHei UI" w:hAnsi="Microsoft YaHei UI" w:eastAsia="Microsoft YaHei UI" w:cs="Microsoft YaHei UI"/>
          <w:i w:val="0"/>
          <w:iCs w:val="0"/>
          <w:caps w:val="0"/>
          <w:color w:val="AB1942"/>
          <w:spacing w:val="7"/>
          <w:sz w:val="28"/>
          <w:szCs w:val="28"/>
          <w:shd w:val="clear" w:fill="FFFFFF"/>
        </w:rPr>
        <w:t>05违法违规现象频发、行业乱象将清扫</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62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iCs w:val="0"/>
          <w:caps w:val="0"/>
          <w:spacing w:val="15"/>
          <w:sz w:val="28"/>
          <w:szCs w:val="28"/>
          <w:shd w:val="clear" w:fill="FFFFFF"/>
        </w:rPr>
        <w:t>近年来，随着医疗器械网络销售的飞速发展，利用网络非法销售未经注册的医疗器械、虚假夸大宣传、欺骗消费者等事件不断涌现，给大众用械安全带来潜在风险。</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今年以来，国家药监局共通报了三批18起医疗器械网络销售违法违规案件信息，其中涉及无证经营、擅自变更经营方式、未建立进货查验记录和销售记录制度、未按照要求展示医疗器械注册证等。</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国家药监局相关负责人指出，网络销售具有跨时空性、多媒体性、交互性、高效性、虚拟性、隐蔽性等特点，使得医疗器械网络销售成为医疗器械监管工作重点。药品监管部门始终坚持“线上线下一致”管理原则，积极推进法规制度体系建设，不断创新监管技术手段，持续开展网络销售监测工作，坚持问题导向，加大“线上清网，线下整治”治理力度，严查违法违规行为，有力保障网络销售医疗器械质量安全。</w:t>
      </w:r>
      <w:r>
        <w:rPr>
          <w:rFonts w:hint="eastAsia" w:asciiTheme="minorEastAsia" w:hAnsiTheme="minorEastAsia" w:eastAsiaTheme="minorEastAsia" w:cstheme="minorEastAsia"/>
          <w:i w:val="0"/>
          <w:iCs w:val="0"/>
          <w:caps w:val="0"/>
          <w:spacing w:val="15"/>
          <w:sz w:val="28"/>
          <w:szCs w:val="28"/>
          <w:shd w:val="clear" w:fill="FFFFFF"/>
        </w:rPr>
        <w:br w:type="textWrapping"/>
      </w:r>
      <w:r>
        <w:rPr>
          <w:rFonts w:hint="eastAsia" w:asciiTheme="minorEastAsia" w:hAnsiTheme="minorEastAsia" w:eastAsiaTheme="minorEastAsia" w:cstheme="minorEastAsia"/>
          <w:i w:val="0"/>
          <w:iCs w:val="0"/>
          <w:caps w:val="0"/>
          <w:spacing w:val="15"/>
          <w:sz w:val="28"/>
          <w:szCs w:val="28"/>
          <w:shd w:val="clear" w:fill="FFFFFF"/>
          <w:lang w:val="en-US" w:eastAsia="zh-CN"/>
        </w:rPr>
        <w:t xml:space="preserve">    </w:t>
      </w:r>
      <w:r>
        <w:rPr>
          <w:rFonts w:hint="eastAsia" w:asciiTheme="minorEastAsia" w:hAnsiTheme="minorEastAsia" w:eastAsiaTheme="minorEastAsia" w:cstheme="minorEastAsia"/>
          <w:i w:val="0"/>
          <w:iCs w:val="0"/>
          <w:caps w:val="0"/>
          <w:spacing w:val="15"/>
          <w:sz w:val="28"/>
          <w:szCs w:val="28"/>
          <w:shd w:val="clear" w:fill="FFFFFF"/>
        </w:rPr>
        <w:t>在此背景之下，完善医疗器械网络销售相关法规，从制度层面进一步明确网络销售的主体责任和监管责任，可以说意义重大。</w:t>
      </w:r>
    </w:p>
    <w:p>
      <w:pPr>
        <w:pStyle w:val="2"/>
        <w:widowControl/>
        <w:spacing w:beforeAutospacing="0" w:after="210" w:afterAutospacing="0" w:line="21" w:lineRule="atLeast"/>
        <w:rPr>
          <w:rFonts w:hint="default"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ascii="微软雅黑" w:hAnsi="微软雅黑" w:eastAsia="微软雅黑" w:cs="宋体"/>
          <w:color w:val="333333"/>
          <w:kern w:val="36"/>
          <w:sz w:val="24"/>
          <w:szCs w:val="24"/>
        </w:rPr>
      </w:pPr>
    </w:p>
    <w:p>
      <w:pPr>
        <w:pStyle w:val="2"/>
        <w:widowControl/>
        <w:spacing w:beforeAutospacing="0" w:after="210" w:afterAutospacing="0" w:line="21" w:lineRule="atLeast"/>
        <w:rPr>
          <w:rFonts w:hint="default" w:ascii="微软雅黑" w:hAnsi="微软雅黑" w:eastAsia="微软雅黑" w:cs="宋体"/>
          <w:color w:val="333333"/>
          <w:kern w:val="36"/>
          <w:sz w:val="24"/>
          <w:szCs w:val="24"/>
        </w:rPr>
      </w:pPr>
      <w:r>
        <w:rPr>
          <w:rFonts w:ascii="微软雅黑" w:hAnsi="微软雅黑" w:eastAsia="微软雅黑" w:cs="宋体"/>
          <w:color w:val="333333"/>
          <w:kern w:val="36"/>
          <w:sz w:val="24"/>
          <w:szCs w:val="24"/>
        </w:rPr>
        <w:t xml:space="preserve">附件3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Theme="majorEastAsia" w:hAnsiTheme="majorEastAsia" w:eastAsiaTheme="majorEastAsia" w:cstheme="majorEastAsia"/>
          <w:i w:val="0"/>
          <w:iCs w:val="0"/>
          <w:caps w:val="0"/>
          <w:spacing w:val="8"/>
          <w:sz w:val="33"/>
          <w:szCs w:val="33"/>
          <w:shd w:val="clear" w:fill="FFFFFF"/>
        </w:rPr>
        <w:t>近万家药店开卖集采药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2"/>
          <w:szCs w:val="22"/>
          <w:shd w:val="clear" w:fill="FFFFFF"/>
          <w:lang w:val="en-US" w:eastAsia="zh-CN" w:bidi="ar"/>
        </w:rPr>
        <w:t>天河小梅西</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17"/>
          <w:rFonts w:hint="eastAsia" w:ascii="Microsoft YaHei UI" w:hAnsi="Microsoft YaHei UI" w:eastAsia="Microsoft YaHei UI" w:cs="Microsoft YaHei UI"/>
          <w:i w:val="0"/>
          <w:iCs w:val="0"/>
          <w:caps w:val="0"/>
          <w:spacing w:val="8"/>
          <w:sz w:val="22"/>
          <w:szCs w:val="22"/>
          <w:u w:val="none"/>
          <w:shd w:val="clear" w:fill="FFFFFF"/>
        </w:rPr>
        <w:t>第一药店财智</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2023-09-17 15:32</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发表于广东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近日，山东首批开展集采药品进基层活动的8488家零售药店、11314家村卫生室、233家民营医院、9家线上平台，同步启动面向群众正式开始销售集采药品。根据</w:t>
      </w:r>
      <w:r>
        <w:rPr>
          <w:rFonts w:hint="eastAsia" w:asciiTheme="minorEastAsia" w:hAnsiTheme="minorEastAsia" w:eastAsiaTheme="minorEastAsia" w:cstheme="minorEastAsia"/>
          <w:i w:val="0"/>
          <w:iCs w:val="0"/>
          <w:caps w:val="0"/>
          <w:spacing w:val="30"/>
          <w:sz w:val="28"/>
          <w:szCs w:val="28"/>
          <w:u w:val="none"/>
          <w:shd w:val="clear" w:fill="FFFFFF"/>
        </w:rPr>
        <w:t>中康</w:t>
      </w:r>
      <w:r>
        <w:rPr>
          <w:rFonts w:hint="eastAsia" w:asciiTheme="minorEastAsia" w:hAnsiTheme="minorEastAsia" w:eastAsiaTheme="minorEastAsia" w:cstheme="minorEastAsia"/>
          <w:i w:val="0"/>
          <w:iCs w:val="0"/>
          <w:caps w:val="0"/>
          <w:spacing w:val="30"/>
          <w:sz w:val="28"/>
          <w:szCs w:val="28"/>
          <w:shd w:val="clear" w:fill="FFFFFF"/>
        </w:rPr>
        <w:t>药店通数据，山东省拥有4.9万家门店，数量仅次于广东省，此次进入集采的零售药店占山东省总药店的17%。</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有近1万家药店积极参与集采的主要原因包括自主定价以及门诊统筹</w:t>
      </w:r>
      <w:r>
        <w:rPr>
          <w:rFonts w:hint="eastAsia" w:asciiTheme="minorEastAsia" w:hAnsiTheme="minorEastAsia" w:eastAsiaTheme="minorEastAsia" w:cstheme="minorEastAsia"/>
          <w:i w:val="0"/>
          <w:iCs w:val="0"/>
          <w:caps w:val="0"/>
          <w:spacing w:val="30"/>
          <w:sz w:val="28"/>
          <w:szCs w:val="28"/>
          <w:u w:val="none"/>
          <w:shd w:val="clear" w:fill="FFFFFF"/>
        </w:rPr>
        <w:t>共济</w:t>
      </w:r>
      <w:r>
        <w:rPr>
          <w:rFonts w:hint="eastAsia" w:asciiTheme="minorEastAsia" w:hAnsiTheme="minorEastAsia" w:eastAsiaTheme="minorEastAsia" w:cstheme="minorEastAsia"/>
          <w:i w:val="0"/>
          <w:iCs w:val="0"/>
          <w:caps w:val="0"/>
          <w:spacing w:val="30"/>
          <w:sz w:val="28"/>
          <w:szCs w:val="28"/>
          <w:shd w:val="clear" w:fill="FFFFFF"/>
        </w:rPr>
        <w:t>压力下主动选择。从定价来看，山东省医保局对于零售药店销售集采药品，并没有像江苏、长沙等地“一起切”实施零差价，而是让零售药店统一采用双标签公示药品价格（集采药品中选价格、销售价格），确保价格信息公开透明，相对比较市场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另外，此次参与入围集采对于药店的门槛相对不高，连锁药店和单体药店都能参与；而且，药店是采用自主遴选确定品种，要求药店采购不少于50种药品即可，这对拥有2000多个药品的药店来说，对利润影响在可控范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最为关键的是，销售集采药品从短期来看并未直接给药店带来利润，但在门诊统筹共济的压力下，主动加入集采可一定程度上为药店带来客流。</w:t>
      </w:r>
    </w:p>
    <w:p>
      <w:pPr>
        <w:keepNext w:val="0"/>
        <w:keepLines w:val="0"/>
        <w:widowControl/>
        <w:suppressLineNumbers w:val="0"/>
        <w:spacing w:before="0" w:beforeAutospacing="0" w:after="0" w:afterAutospacing="0"/>
        <w:ind w:left="0" w:right="0"/>
        <w:jc w:val="left"/>
        <w:rPr>
          <w:sz w:val="28"/>
          <w:szCs w:val="28"/>
        </w:rPr>
      </w:pPr>
      <w:r>
        <w:rPr>
          <w:rFonts w:hint="eastAsia" w:asciiTheme="minorEastAsia" w:hAnsiTheme="minorEastAsia" w:eastAsiaTheme="minorEastAsia" w:cstheme="minorEastAsia"/>
          <w:i w:val="0"/>
          <w:iCs w:val="0"/>
          <w:caps w:val="0"/>
          <w:spacing w:val="8"/>
          <w:kern w:val="0"/>
          <w:sz w:val="28"/>
          <w:szCs w:val="28"/>
          <w:shd w:val="clear" w:fill="FFFFFF"/>
          <w:lang w:val="en-US" w:eastAsia="zh-CN" w:bidi="ar"/>
        </w:rPr>
        <w:br w:type="textWrapping"/>
      </w:r>
      <w:r>
        <w:rPr>
          <w:rStyle w:val="15"/>
          <w:rFonts w:hint="eastAsia" w:ascii="Microsoft YaHei UI" w:hAnsi="Microsoft YaHei UI" w:eastAsia="Microsoft YaHei UI" w:cs="Microsoft YaHei UI"/>
          <w:color w:val="CD0202"/>
          <w:spacing w:val="9"/>
          <w:kern w:val="0"/>
          <w:sz w:val="60"/>
          <w:szCs w:val="60"/>
          <w:shd w:val="clear" w:fill="FFFFFF"/>
          <w:lang w:val="en-US" w:eastAsia="zh-CN" w:bidi="ar"/>
        </w:rPr>
        <w:t>01</w:t>
      </w:r>
      <w:r>
        <w:rPr>
          <w:rStyle w:val="15"/>
          <w:rFonts w:hint="eastAsia" w:ascii="Microsoft YaHei UI" w:hAnsi="Microsoft YaHei UI" w:eastAsia="Microsoft YaHei UI" w:cs="Microsoft YaHei UI"/>
          <w:i w:val="0"/>
          <w:iCs w:val="0"/>
          <w:caps w:val="0"/>
          <w:spacing w:val="30"/>
          <w:kern w:val="0"/>
          <w:sz w:val="28"/>
          <w:szCs w:val="28"/>
          <w:shd w:val="clear" w:fill="FFFFFF"/>
          <w:lang w:val="en-US" w:eastAsia="zh-CN" w:bidi="ar"/>
        </w:rPr>
        <w:t>门诊统筹共济背景下社区卫生服务中心成为香饽饽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spacing w:val="9"/>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根据国家医保局最新数据，2023年1-7月，基本医疗保险基金（含生育保险）总收入1.86万亿元，同比增长8.8%；基本医疗保险基金（含生育保险）总支出1.55万亿元，同比增长19.3%。其中，1-7月城乡居民医保基金的支出超过收入，结余为负。</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spacing w:val="9"/>
        </w:rPr>
      </w:pPr>
    </w:p>
    <w:p>
      <w:pPr>
        <w:keepNext w:val="0"/>
        <w:keepLines w:val="0"/>
        <w:widowControl/>
        <w:suppressLineNumbers w:val="0"/>
        <w:spacing w:before="0" w:beforeAutospacing="0" w:after="0" w:afterAutospacing="0"/>
        <w:ind w:left="0" w:right="0"/>
        <w:jc w:val="left"/>
      </w:pPr>
      <w:r>
        <w:rPr>
          <w:rStyle w:val="15"/>
          <w:rFonts w:hint="eastAsia" w:ascii="Microsoft YaHei UI" w:hAnsi="Microsoft YaHei UI" w:eastAsia="Microsoft YaHei UI" w:cs="Microsoft YaHei UI"/>
          <w:i w:val="0"/>
          <w:iCs w:val="0"/>
          <w:caps w:val="0"/>
          <w:spacing w:val="30"/>
          <w:kern w:val="0"/>
          <w:sz w:val="18"/>
          <w:szCs w:val="18"/>
          <w:shd w:val="clear" w:fill="FFFFFF"/>
          <w:lang w:val="en-US" w:eastAsia="zh-CN" w:bidi="ar"/>
        </w:rPr>
        <w:t>2023年1-7月基本医疗保险和生育保险运行情况</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00345" cy="1193165"/>
            <wp:effectExtent l="0" t="0" r="14605" b="6985"/>
            <wp:docPr id="41"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IMG_257"/>
                    <pic:cNvPicPr>
                      <a:picLocks noChangeAspect="1"/>
                    </pic:cNvPicPr>
                  </pic:nvPicPr>
                  <pic:blipFill>
                    <a:blip r:embed="rId9"/>
                    <a:stretch>
                      <a:fillRect/>
                    </a:stretch>
                  </pic:blipFill>
                  <pic:spPr>
                    <a:xfrm>
                      <a:off x="0" y="0"/>
                      <a:ext cx="5300345" cy="119316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r>
        <w:rPr>
          <w:rFonts w:hint="eastAsia" w:ascii="Microsoft YaHei UI" w:hAnsi="Microsoft YaHei UI" w:eastAsia="Microsoft YaHei UI" w:cs="Microsoft YaHei UI"/>
          <w:i w:val="0"/>
          <w:iCs w:val="0"/>
          <w:caps w:val="0"/>
          <w:color w:val="888888"/>
          <w:spacing w:val="30"/>
          <w:sz w:val="18"/>
          <w:szCs w:val="18"/>
          <w:shd w:val="clear" w:fill="FFFFFF"/>
        </w:rPr>
        <w:t>数据来源：国家医保局、中康产业研究院整理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spacing w:val="9"/>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今年1-7月医保支出增长量率远高于医保收入，原因包括去年因疫情影响，群众就诊受到一定限制，基数较低；另一方面是门诊统筹共济下，门诊报销比例提升，客流回到医院，特别是社区卫生服务中心。根据国家统计信息中心数据，2023年3月，基层医疗卫生机构2.2亿人次（不包含诊所、医务室、村卫生室数据），同比提高18.0%，环比提高30.3%，其中：社区卫生服务中心（站）0.8亿人次，同比提高34.2%，环比提高31.1%；乡镇卫生院1.1亿人次，同比提高10.0%，环比提高32.2%。</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p>
    <w:p>
      <w:pPr>
        <w:keepNext w:val="0"/>
        <w:keepLines w:val="0"/>
        <w:widowControl/>
        <w:suppressLineNumbers w:val="0"/>
        <w:spacing w:before="0" w:beforeAutospacing="0" w:after="0" w:afterAutospacing="0"/>
        <w:ind w:left="0" w:right="0"/>
        <w:jc w:val="left"/>
      </w:pPr>
      <w:r>
        <w:rPr>
          <w:rStyle w:val="15"/>
          <w:rFonts w:hint="eastAsia" w:ascii="Microsoft YaHei UI" w:hAnsi="Microsoft YaHei UI" w:eastAsia="Microsoft YaHei UI" w:cs="Microsoft YaHei UI"/>
          <w:i w:val="0"/>
          <w:iCs w:val="0"/>
          <w:caps w:val="0"/>
          <w:color w:val="000000"/>
          <w:spacing w:val="30"/>
          <w:kern w:val="0"/>
          <w:sz w:val="18"/>
          <w:szCs w:val="18"/>
          <w:shd w:val="clear" w:fill="FFFFFF"/>
          <w:lang w:val="en-US" w:eastAsia="zh-CN" w:bidi="ar"/>
        </w:rPr>
        <w:t>2023年3月全国医疗卫生机构诊疗人次情况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r>
        <w:rPr>
          <w:rFonts w:hint="eastAsia" w:ascii="Microsoft YaHei UI" w:hAnsi="Microsoft YaHei UI" w:eastAsia="Microsoft YaHei UI" w:cs="Microsoft YaHei UI"/>
          <w:i w:val="0"/>
          <w:iCs w:val="0"/>
          <w:caps w:val="0"/>
          <w:spacing w:val="9"/>
          <w:shd w:val="clear" w:fill="FFFFFF"/>
        </w:rPr>
        <w:drawing>
          <wp:inline distT="0" distB="0" distL="114300" distR="114300">
            <wp:extent cx="5238750" cy="5879465"/>
            <wp:effectExtent l="0" t="0" r="0" b="6985"/>
            <wp:docPr id="40"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58"/>
                    <pic:cNvPicPr>
                      <a:picLocks noChangeAspect="1"/>
                    </pic:cNvPicPr>
                  </pic:nvPicPr>
                  <pic:blipFill>
                    <a:blip r:embed="rId10"/>
                    <a:stretch>
                      <a:fillRect/>
                    </a:stretch>
                  </pic:blipFill>
                  <pic:spPr>
                    <a:xfrm>
                      <a:off x="0" y="0"/>
                      <a:ext cx="5238750" cy="587946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r>
        <w:rPr>
          <w:rFonts w:hint="eastAsia" w:ascii="Microsoft YaHei UI" w:hAnsi="Microsoft YaHei UI" w:eastAsia="Microsoft YaHei UI" w:cs="Microsoft YaHei UI"/>
          <w:i w:val="0"/>
          <w:iCs w:val="0"/>
          <w:caps w:val="0"/>
          <w:color w:val="888888"/>
          <w:spacing w:val="30"/>
          <w:sz w:val="18"/>
          <w:szCs w:val="18"/>
          <w:shd w:val="clear" w:fill="FFFFFF"/>
        </w:rPr>
        <w:t>数据来源：国家统计信息中心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p>
    <w:p>
      <w:pPr>
        <w:keepNext w:val="0"/>
        <w:keepLines w:val="0"/>
        <w:widowControl/>
        <w:suppressLineNumbers w:val="0"/>
        <w:spacing w:before="0" w:beforeAutospacing="0" w:after="240" w:afterAutospacing="0"/>
        <w:ind w:left="0" w:right="0"/>
        <w:jc w:val="left"/>
        <w:rPr>
          <w:sz w:val="28"/>
          <w:szCs w:val="28"/>
        </w:rPr>
      </w:pPr>
      <w:r>
        <w:rPr>
          <w:rStyle w:val="15"/>
          <w:rFonts w:hint="eastAsia" w:ascii="Microsoft YaHei UI" w:hAnsi="Microsoft YaHei UI" w:eastAsia="Microsoft YaHei UI" w:cs="Microsoft YaHei UI"/>
          <w:color w:val="CD0202"/>
          <w:spacing w:val="9"/>
          <w:kern w:val="0"/>
          <w:sz w:val="60"/>
          <w:szCs w:val="60"/>
          <w:shd w:val="clear" w:fill="FFFFFF"/>
          <w:lang w:val="en-US" w:eastAsia="zh-CN" w:bidi="ar"/>
        </w:rPr>
        <w:t>02</w:t>
      </w:r>
      <w:r>
        <w:rPr>
          <w:rStyle w:val="15"/>
          <w:rFonts w:hint="eastAsia" w:ascii="Microsoft YaHei UI" w:hAnsi="Microsoft YaHei UI" w:eastAsia="Microsoft YaHei UI" w:cs="Microsoft YaHei UI"/>
          <w:i w:val="0"/>
          <w:iCs w:val="0"/>
          <w:caps w:val="0"/>
          <w:spacing w:val="30"/>
          <w:kern w:val="0"/>
          <w:sz w:val="28"/>
          <w:szCs w:val="28"/>
          <w:shd w:val="clear" w:fill="FFFFFF"/>
          <w:lang w:val="en-US" w:eastAsia="zh-CN" w:bidi="ar"/>
        </w:rPr>
        <w:t>药品零售行业的机遇与挑战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根据中国零售药店行业指数数据，2023年7月中国零售药店行业销售规模指数同比下降 1.6%。从具体细分品类来看，7月呼吸系统疾病用药、维生素矿物质补充剂和肌肉-</w:t>
      </w:r>
      <w:r>
        <w:rPr>
          <w:rFonts w:hint="eastAsia" w:asciiTheme="minorEastAsia" w:hAnsiTheme="minorEastAsia" w:eastAsiaTheme="minorEastAsia" w:cstheme="minorEastAsia"/>
          <w:i w:val="0"/>
          <w:iCs w:val="0"/>
          <w:caps w:val="0"/>
          <w:spacing w:val="30"/>
          <w:sz w:val="28"/>
          <w:szCs w:val="28"/>
          <w:u w:val="none"/>
          <w:shd w:val="clear" w:fill="FFFFFF"/>
        </w:rPr>
        <w:t>骨骼系统</w:t>
      </w:r>
      <w:r>
        <w:rPr>
          <w:rFonts w:hint="eastAsia" w:asciiTheme="minorEastAsia" w:hAnsiTheme="minorEastAsia" w:eastAsiaTheme="minorEastAsia" w:cstheme="minorEastAsia"/>
          <w:i w:val="0"/>
          <w:iCs w:val="0"/>
          <w:caps w:val="0"/>
          <w:spacing w:val="30"/>
          <w:sz w:val="28"/>
          <w:szCs w:val="28"/>
          <w:shd w:val="clear" w:fill="FFFFFF"/>
        </w:rPr>
        <w:t>用药销售规模指数同比下降近10%，慢病中的高血压用药同比下降5.3%。其中，下滑的原因包括个账改革限制了保健品的刷卡、医药电商的低价进一步占据的市场份额、购药人群回流社区服务中心等。如果药店放弃集采这一客流，其竞争力将继续下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从长远来看，医药分家、处方药外流是大势所趋。一方面要彻底杜绝医药腐败，就必须让药品流向院外，医药彻底分家。根据厚生劳动省数据，日本医药分家经过几十年的改革，医药分业率从1998年的30.3%增加到2020年的75.7%。</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hint="eastAsia" w:asciiTheme="minorEastAsia" w:hAnsiTheme="minorEastAsia" w:eastAsiaTheme="minorEastAsia" w:cstheme="minorEastAsia"/>
          <w:spacing w:val="9"/>
          <w:sz w:val="28"/>
          <w:szCs w:val="28"/>
        </w:rPr>
      </w:pPr>
    </w:p>
    <w:p>
      <w:pPr>
        <w:keepNext w:val="0"/>
        <w:keepLines w:val="0"/>
        <w:widowControl/>
        <w:suppressLineNumbers w:val="0"/>
        <w:spacing w:before="0" w:beforeAutospacing="0" w:after="0" w:afterAutospacing="0"/>
        <w:ind w:left="0" w:right="0"/>
        <w:jc w:val="left"/>
      </w:pPr>
      <w:r>
        <w:rPr>
          <w:rStyle w:val="15"/>
          <w:rFonts w:hint="eastAsia" w:ascii="Microsoft YaHei UI" w:hAnsi="Microsoft YaHei UI" w:eastAsia="Microsoft YaHei UI" w:cs="Microsoft YaHei UI"/>
          <w:i w:val="0"/>
          <w:iCs w:val="0"/>
          <w:caps w:val="0"/>
          <w:color w:val="000000"/>
          <w:spacing w:val="30"/>
          <w:kern w:val="0"/>
          <w:sz w:val="18"/>
          <w:szCs w:val="18"/>
          <w:shd w:val="clear" w:fill="FFFFFF"/>
          <w:lang w:val="en-US" w:eastAsia="zh-CN" w:bidi="ar"/>
        </w:rPr>
        <w:t>日本开具处方量和药房接受处方率</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71135" cy="3061970"/>
            <wp:effectExtent l="0" t="0" r="5715" b="5080"/>
            <wp:docPr id="39"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IMG_259"/>
                    <pic:cNvPicPr>
                      <a:picLocks noChangeAspect="1"/>
                    </pic:cNvPicPr>
                  </pic:nvPicPr>
                  <pic:blipFill>
                    <a:blip r:embed="rId11"/>
                    <a:stretch>
                      <a:fillRect/>
                    </a:stretch>
                  </pic:blipFill>
                  <pic:spPr>
                    <a:xfrm>
                      <a:off x="0" y="0"/>
                      <a:ext cx="5271135" cy="306197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spacing w:val="9"/>
        </w:rPr>
      </w:pPr>
      <w:r>
        <w:rPr>
          <w:rFonts w:hint="eastAsia" w:ascii="Microsoft YaHei UI" w:hAnsi="Microsoft YaHei UI" w:eastAsia="Microsoft YaHei UI" w:cs="Microsoft YaHei UI"/>
          <w:i w:val="0"/>
          <w:iCs w:val="0"/>
          <w:caps w:val="0"/>
          <w:color w:val="888888"/>
          <w:spacing w:val="30"/>
          <w:sz w:val="18"/>
          <w:szCs w:val="18"/>
          <w:shd w:val="clear" w:fill="FFFFFF"/>
        </w:rPr>
        <w:t>数据来源：厚生劳动省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spacing w:val="9"/>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spacing w:val="9"/>
        </w:rPr>
      </w:pPr>
      <w:r>
        <w:rPr>
          <w:rFonts w:hint="eastAsia" w:asciiTheme="minorEastAsia" w:hAnsiTheme="minorEastAsia" w:eastAsiaTheme="minorEastAsia" w:cstheme="minorEastAsia"/>
          <w:i w:val="0"/>
          <w:iCs w:val="0"/>
          <w:caps w:val="0"/>
          <w:spacing w:val="30"/>
          <w:sz w:val="28"/>
          <w:szCs w:val="28"/>
          <w:shd w:val="clear" w:fill="FFFFFF"/>
        </w:rPr>
        <w:t>另一方面，零售药店正积极纳入门诊统筹。截至2023年7月全国已有20省市公布统筹试点药店名单，占比65%，涉及城市数量达105个，门店数量达超4.4万家。而医院药房已是零加成，医院处方流向院外的阻力将在国家高压反腐下逐渐减弱，对于医保控费和患者购药可及性来说都是双赢。</w:t>
      </w:r>
    </w:p>
    <w:p/>
    <w:p/>
    <w:p>
      <w:pPr>
        <w:pStyle w:val="3"/>
        <w:tabs>
          <w:tab w:val="left" w:pos="2293"/>
        </w:tabs>
        <w:spacing w:before="0" w:beforeAutospacing="0" w:after="210" w:afterAutospacing="0" w:line="21" w:lineRule="atLeast"/>
        <w:rPr>
          <w:rFonts w:hint="eastAsia" w:ascii="微软雅黑" w:hAnsi="微软雅黑" w:eastAsia="微软雅黑"/>
          <w:b/>
          <w:color w:val="333333"/>
          <w:kern w:val="36"/>
          <w:sz w:val="24"/>
          <w:szCs w:val="24"/>
        </w:rPr>
      </w:pPr>
    </w:p>
    <w:p>
      <w:pPr>
        <w:pStyle w:val="3"/>
        <w:tabs>
          <w:tab w:val="left" w:pos="2293"/>
        </w:tabs>
        <w:spacing w:before="0" w:beforeAutospacing="0" w:after="210" w:afterAutospacing="0" w:line="21" w:lineRule="atLeast"/>
        <w:rPr>
          <w:rFonts w:hint="eastAsia" w:ascii="微软雅黑" w:hAnsi="微软雅黑" w:eastAsia="微软雅黑"/>
          <w:b/>
          <w:color w:val="333333"/>
          <w:kern w:val="36"/>
          <w:sz w:val="24"/>
          <w:szCs w:val="24"/>
        </w:rPr>
      </w:pPr>
    </w:p>
    <w:p>
      <w:pPr>
        <w:pStyle w:val="3"/>
        <w:tabs>
          <w:tab w:val="left" w:pos="2293"/>
        </w:tabs>
        <w:spacing w:before="0" w:beforeAutospacing="0" w:after="210" w:afterAutospacing="0" w:line="21" w:lineRule="atLeast"/>
        <w:rPr>
          <w:rFonts w:hint="eastAsia" w:ascii="微软雅黑" w:hAnsi="微软雅黑" w:eastAsia="微软雅黑"/>
          <w:b/>
          <w:color w:val="333333"/>
          <w:kern w:val="36"/>
          <w:sz w:val="24"/>
          <w:szCs w:val="24"/>
        </w:rPr>
      </w:pPr>
    </w:p>
    <w:p>
      <w:pPr>
        <w:pStyle w:val="3"/>
        <w:tabs>
          <w:tab w:val="left" w:pos="2293"/>
        </w:tabs>
        <w:spacing w:before="0" w:beforeAutospacing="0" w:after="210" w:afterAutospacing="0" w:line="21" w:lineRule="atLeast"/>
        <w:rPr>
          <w:rFonts w:hint="eastAsia" w:ascii="微软雅黑" w:hAnsi="微软雅黑" w:eastAsia="微软雅黑"/>
          <w:b/>
          <w:color w:val="333333"/>
          <w:kern w:val="36"/>
          <w:sz w:val="24"/>
          <w:szCs w:val="24"/>
        </w:rPr>
      </w:pPr>
    </w:p>
    <w:p>
      <w:pPr>
        <w:pStyle w:val="3"/>
        <w:tabs>
          <w:tab w:val="left" w:pos="2293"/>
        </w:tabs>
        <w:spacing w:before="0" w:beforeAutospacing="0" w:after="210" w:afterAutospacing="0" w:line="21" w:lineRule="atLeast"/>
        <w:rPr>
          <w:rFonts w:hint="eastAsia" w:ascii="微软雅黑" w:hAnsi="微软雅黑" w:eastAsia="微软雅黑"/>
          <w:b/>
          <w:color w:val="333333"/>
          <w:kern w:val="36"/>
          <w:sz w:val="24"/>
          <w:szCs w:val="24"/>
        </w:rPr>
      </w:pPr>
    </w:p>
    <w:p>
      <w:pPr>
        <w:pStyle w:val="3"/>
        <w:tabs>
          <w:tab w:val="left" w:pos="2293"/>
        </w:tabs>
        <w:spacing w:before="0" w:beforeAutospacing="0" w:after="210" w:afterAutospacing="0" w:line="21" w:lineRule="atLeast"/>
      </w:pPr>
      <w:r>
        <w:rPr>
          <w:rFonts w:hint="eastAsia" w:ascii="微软雅黑" w:hAnsi="微软雅黑" w:eastAsia="微软雅黑"/>
          <w:b/>
          <w:color w:val="333333"/>
          <w:kern w:val="36"/>
          <w:sz w:val="24"/>
          <w:szCs w:val="24"/>
        </w:rPr>
        <w:t xml:space="preserve">附件4 </w:t>
      </w:r>
      <w:r>
        <w:rPr>
          <w:rFonts w:hint="eastAsia" w:ascii="微软雅黑" w:hAnsi="微软雅黑" w:eastAsia="微软雅黑"/>
          <w:b/>
          <w:color w:val="333333"/>
          <w:kern w:val="36"/>
          <w:sz w:val="24"/>
          <w:szCs w:val="24"/>
        </w:rPr>
        <w:tab/>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rFonts w:asciiTheme="majorEastAsia" w:hAnsiTheme="majorEastAsia" w:eastAsiaTheme="majorEastAsia" w:cstheme="majorEastAsia"/>
          <w:b/>
          <w:bCs/>
          <w:spacing w:val="8"/>
          <w:kern w:val="44"/>
          <w:sz w:val="33"/>
          <w:szCs w:val="33"/>
          <w:shd w:val="clear" w:color="auto" w:fill="FFFFFF"/>
        </w:rPr>
        <w:t xml:space="preserve"> </w:t>
      </w:r>
      <w:r>
        <w:rPr>
          <w:sz w:val="33"/>
          <w:szCs w:val="33"/>
        </w:rPr>
        <w:t>门诊统筹药店，已突破14万家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ascii="Microsoft YaHei UI" w:hAnsi="Microsoft YaHei UI" w:eastAsia="Microsoft YaHei UI" w:cs="Microsoft YaHei UI"/>
          <w:i w:val="0"/>
          <w:iCs w:val="0"/>
          <w:caps w:val="0"/>
          <w:spacing w:val="8"/>
          <w:sz w:val="25"/>
          <w:szCs w:val="25"/>
        </w:rPr>
      </w:pPr>
      <w:r>
        <w:rPr>
          <w:rFonts w:ascii="宋体" w:hAnsi="宋体" w:eastAsia="宋体" w:cs="宋体"/>
          <w:kern w:val="0"/>
          <w:sz w:val="22"/>
          <w:szCs w:val="22"/>
          <w:u w:val="none"/>
          <w:lang w:val="en-US" w:eastAsia="zh-CN" w:bidi="ar"/>
        </w:rPr>
        <w:fldChar w:fldCharType="begin"/>
      </w:r>
      <w:r>
        <w:rPr>
          <w:rFonts w:ascii="宋体" w:hAnsi="宋体" w:eastAsia="宋体" w:cs="宋体"/>
          <w:kern w:val="0"/>
          <w:sz w:val="22"/>
          <w:szCs w:val="22"/>
          <w:u w:val="none"/>
          <w:lang w:val="en-US" w:eastAsia="zh-CN" w:bidi="ar"/>
        </w:rPr>
        <w:instrText xml:space="preserve"> HYPERLINK "javascript:void(0);" </w:instrText>
      </w:r>
      <w:r>
        <w:rPr>
          <w:rFonts w:ascii="宋体" w:hAnsi="宋体" w:eastAsia="宋体" w:cs="宋体"/>
          <w:kern w:val="0"/>
          <w:sz w:val="22"/>
          <w:szCs w:val="22"/>
          <w:u w:val="none"/>
          <w:lang w:val="en-US" w:eastAsia="zh-CN" w:bidi="ar"/>
        </w:rPr>
        <w:fldChar w:fldCharType="separate"/>
      </w:r>
      <w:r>
        <w:rPr>
          <w:rStyle w:val="17"/>
          <w:rFonts w:ascii="宋体" w:hAnsi="宋体" w:eastAsia="宋体" w:cs="宋体"/>
          <w:sz w:val="22"/>
          <w:szCs w:val="22"/>
          <w:u w:val="none"/>
        </w:rPr>
        <w:t>第一药店财智</w:t>
      </w:r>
      <w:r>
        <w:rPr>
          <w:rFonts w:ascii="宋体" w:hAnsi="宋体" w:eastAsia="宋体" w:cs="宋体"/>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Style w:val="16"/>
          <w:rFonts w:ascii="宋体" w:hAnsi="宋体" w:eastAsia="宋体" w:cs="宋体"/>
          <w:i w:val="0"/>
          <w:iCs w:val="0"/>
          <w:kern w:val="0"/>
          <w:sz w:val="22"/>
          <w:szCs w:val="22"/>
          <w:lang w:val="en-US" w:eastAsia="zh-CN" w:bidi="ar"/>
        </w:rPr>
        <w:t>2023-09-25 18:58</w:t>
      </w:r>
      <w:r>
        <w:rPr>
          <w:rFonts w:ascii="宋体" w:hAnsi="宋体" w:eastAsia="宋体" w:cs="宋体"/>
          <w:kern w:val="0"/>
          <w:sz w:val="0"/>
          <w:szCs w:val="0"/>
          <w:lang w:val="en-US" w:eastAsia="zh-CN" w:bidi="ar"/>
        </w:rPr>
        <w:t> </w:t>
      </w:r>
      <w:r>
        <w:rPr>
          <w:rStyle w:val="16"/>
          <w:rFonts w:ascii="宋体" w:hAnsi="宋体" w:eastAsia="宋体" w:cs="宋体"/>
          <w:i w:val="0"/>
          <w:iCs w:val="0"/>
          <w:kern w:val="0"/>
          <w:sz w:val="22"/>
          <w:szCs w:val="22"/>
          <w:lang w:val="en-US" w:eastAsia="zh-CN" w:bidi="ar"/>
        </w:rPr>
        <w:t>发表于四川</w:t>
      </w: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304800" cy="304800"/>
            <wp:effectExtent l="0" t="0" r="0" b="0"/>
            <wp:docPr id="4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368" w:lineRule="atLeast"/>
        <w:ind w:left="0" w:right="0" w:firstLine="560" w:firstLineChars="200"/>
        <w:jc w:val="both"/>
        <w:rPr>
          <w:rFonts w:hint="eastAsia" w:ascii="Microsoft YaHei UI" w:hAnsi="Microsoft YaHei UI" w:eastAsia="Microsoft YaHei UI" w:cs="Microsoft YaHei UI"/>
          <w:b/>
          <w:bCs/>
          <w:i w:val="0"/>
          <w:spacing w:val="8"/>
        </w:rPr>
      </w:pPr>
      <w:r>
        <w:rPr>
          <w:rStyle w:val="16"/>
          <w:rFonts w:ascii="Helvetica" w:hAnsi="Helvetica" w:eastAsia="Helvetica" w:cs="Helvetica"/>
          <w:b/>
          <w:bCs/>
          <w:i w:val="0"/>
          <w:iCs/>
          <w:color w:val="888888"/>
          <w:spacing w:val="30"/>
          <w:sz w:val="22"/>
          <w:szCs w:val="22"/>
          <w:shd w:val="clear" w:fill="F7F7F7"/>
        </w:rPr>
        <w:t>截至今年8月，</w:t>
      </w:r>
      <w:r>
        <w:rPr>
          <w:rStyle w:val="16"/>
          <w:rFonts w:hint="default" w:ascii="Helvetica" w:hAnsi="Helvetica" w:eastAsia="Helvetica" w:cs="Helvetica"/>
          <w:b/>
          <w:bCs/>
          <w:i w:val="0"/>
          <w:iCs/>
          <w:color w:val="888888"/>
          <w:spacing w:val="30"/>
          <w:sz w:val="22"/>
          <w:szCs w:val="22"/>
          <w:shd w:val="clear" w:fill="F7F7F7"/>
        </w:rPr>
        <w:t>全国已有约14.14万家定点零售药店开通了门诊统筹报销服务。</w:t>
      </w:r>
    </w:p>
    <w:p>
      <w:pPr>
        <w:keepNext w:val="0"/>
        <w:keepLines w:val="0"/>
        <w:widowControl/>
        <w:suppressLineNumbers w:val="0"/>
        <w:spacing w:before="0" w:beforeAutospacing="0" w:after="0" w:afterAutospacing="0"/>
        <w:ind w:left="0" w:right="0"/>
        <w:jc w:val="left"/>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9月22日上午，国家医保局举行2023年下半年例行新闻发布会，通报今年1-8月医保基金整体运行与门诊统筹报销情况，并就医保目录调整、药品及高值医用耗材集采落地、医保基金安全情况等多个问题进行解答。</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据悉，截至2023年8月，全国已有约14.14万家定点零售药店开通了门诊统筹报销服务，累计结算1.74亿人次，结算医保基金69.36亿元。人民网公开报道显示，今年8月底全国定点零售药店搭48.4万家。由此推断全国范围内，门诊统筹药店数量（约14.14万家）占定点药店数量的比例为29%左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both"/>
        <w:rPr>
          <w:rFonts w:hint="eastAsia" w:asciiTheme="minorEastAsia" w:hAnsiTheme="minorEastAsia" w:eastAsiaTheme="minorEastAsia" w:cstheme="minorEastAsia"/>
          <w:i w:val="0"/>
          <w:iCs w:val="0"/>
          <w:caps w:val="0"/>
          <w:spacing w:val="9"/>
          <w:sz w:val="28"/>
          <w:szCs w:val="2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5238115" cy="3516630"/>
            <wp:effectExtent l="0" t="0" r="635" b="7620"/>
            <wp:docPr id="45"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IMG_258"/>
                    <pic:cNvPicPr>
                      <a:picLocks noChangeAspect="1"/>
                    </pic:cNvPicPr>
                  </pic:nvPicPr>
                  <pic:blipFill>
                    <a:blip r:embed="rId13"/>
                    <a:stretch>
                      <a:fillRect/>
                    </a:stretch>
                  </pic:blipFill>
                  <pic:spPr>
                    <a:xfrm>
                      <a:off x="0" y="0"/>
                      <a:ext cx="5238115" cy="35166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888888"/>
          <w:spacing w:val="30"/>
          <w:sz w:val="18"/>
          <w:szCs w:val="18"/>
          <w:shd w:val="clear" w:fill="FFFFFF"/>
        </w:rPr>
        <w:t>来源：国家医疗保障局官网</w:t>
      </w:r>
    </w:p>
    <w:p>
      <w:pPr>
        <w:keepNext w:val="0"/>
        <w:keepLines w:val="0"/>
        <w:widowControl/>
        <w:suppressLineNumbers w:val="0"/>
        <w:spacing w:before="0" w:beforeAutospacing="0" w:after="0" w:afterAutospacing="0"/>
        <w:ind w:left="0" w:right="0"/>
        <w:jc w:val="left"/>
        <w:rPr>
          <w:rStyle w:val="15"/>
          <w:rFonts w:hint="eastAsia" w:ascii="Microsoft YaHei UI" w:hAnsi="Microsoft YaHei UI" w:eastAsia="Microsoft YaHei UI" w:cs="Microsoft YaHei UI"/>
          <w:i w:val="0"/>
          <w:iCs w:val="0"/>
          <w:caps w:val="0"/>
          <w:color w:val="CD0202"/>
          <w:spacing w:val="9"/>
          <w:kern w:val="0"/>
          <w:sz w:val="28"/>
          <w:szCs w:val="28"/>
          <w:shd w:val="clear" w:fill="FFFFFF"/>
          <w:lang w:val="en-US" w:eastAsia="zh-CN" w:bidi="ar"/>
        </w:rPr>
      </w:pPr>
      <w:r>
        <w:rPr>
          <w:rStyle w:val="15"/>
          <w:rFonts w:hint="eastAsia" w:ascii="Microsoft YaHei UI" w:hAnsi="Microsoft YaHei UI" w:eastAsia="Microsoft YaHei UI" w:cs="Microsoft YaHei UI"/>
          <w:color w:val="CD0202"/>
          <w:spacing w:val="9"/>
          <w:kern w:val="0"/>
          <w:sz w:val="60"/>
          <w:szCs w:val="60"/>
          <w:shd w:val="clear" w:fill="FFFFFF"/>
          <w:lang w:val="en-US" w:eastAsia="zh-CN" w:bidi="ar"/>
        </w:rPr>
        <w:t>01</w:t>
      </w:r>
      <w:r>
        <w:rPr>
          <w:rStyle w:val="15"/>
          <w:rFonts w:hint="eastAsia" w:ascii="Microsoft YaHei UI" w:hAnsi="Microsoft YaHei UI" w:eastAsia="Microsoft YaHei UI" w:cs="Microsoft YaHei UI"/>
          <w:i w:val="0"/>
          <w:iCs w:val="0"/>
          <w:caps w:val="0"/>
          <w:color w:val="auto"/>
          <w:spacing w:val="9"/>
          <w:kern w:val="0"/>
          <w:sz w:val="28"/>
          <w:szCs w:val="28"/>
          <w:shd w:val="clear" w:fill="FFFFFF"/>
          <w:lang w:val="en-US" w:eastAsia="zh-CN" w:bidi="ar"/>
        </w:rPr>
        <w:t>2024年1月1日起正式执行新版医保药品目录</w:t>
      </w:r>
      <w:r>
        <w:rPr>
          <w:rStyle w:val="15"/>
          <w:rFonts w:hint="eastAsia" w:ascii="Microsoft YaHei UI" w:hAnsi="Microsoft YaHei UI" w:eastAsia="Microsoft YaHei UI" w:cs="Microsoft YaHei UI"/>
          <w:i w:val="0"/>
          <w:iCs w:val="0"/>
          <w:caps w:val="0"/>
          <w:color w:val="CD0202"/>
          <w:spacing w:val="9"/>
          <w:kern w:val="0"/>
          <w:sz w:val="28"/>
          <w:szCs w:val="28"/>
          <w:shd w:val="clear" w:fill="FFFFFF"/>
          <w:lang w:val="en-US" w:eastAsia="zh-CN" w:bidi="ar"/>
        </w:rPr>
        <w:br w:type="textWrapping"/>
      </w:r>
    </w:p>
    <w:p>
      <w:pPr>
        <w:keepNext w:val="0"/>
        <w:keepLines w:val="0"/>
        <w:widowControl/>
        <w:suppressLineNumbers w:val="0"/>
        <w:spacing w:before="0" w:beforeAutospacing="0" w:after="0" w:afterAutospacing="0"/>
        <w:ind w:left="0" w:right="0" w:firstLine="68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0"/>
          <w:kern w:val="0"/>
          <w:sz w:val="28"/>
          <w:szCs w:val="28"/>
          <w:lang w:val="en-US" w:eastAsia="zh-CN" w:bidi="ar"/>
        </w:rPr>
        <w:t>日前，国家医保局已正式启动2023年国家医保药品目录相关工作。</w:t>
      </w:r>
      <w:r>
        <w:rPr>
          <w:rFonts w:hint="eastAsia" w:asciiTheme="minorEastAsia" w:hAnsiTheme="minorEastAsia" w:eastAsiaTheme="minorEastAsia" w:cstheme="minorEastAsia"/>
          <w:spacing w:val="30"/>
          <w:kern w:val="0"/>
          <w:sz w:val="28"/>
          <w:szCs w:val="28"/>
          <w:lang w:val="en-US" w:eastAsia="zh-CN" w:bidi="ar"/>
        </w:rPr>
        <w:br w:type="textWrapping"/>
      </w:r>
      <w:r>
        <w:rPr>
          <w:rFonts w:hint="eastAsia" w:asciiTheme="minorEastAsia" w:hAnsiTheme="minorEastAsia" w:eastAsiaTheme="minorEastAsia" w:cstheme="minorEastAsia"/>
          <w:spacing w:val="30"/>
          <w:kern w:val="0"/>
          <w:sz w:val="28"/>
          <w:szCs w:val="28"/>
          <w:lang w:val="en-US" w:eastAsia="zh-CN" w:bidi="ar"/>
        </w:rPr>
        <w:t xml:space="preserve">    国家医保局医药管理司司长黄心宇表示，按照今年目录调整工作方案，工作程序仍然分为准备、申报、评审、谈判和公布5大阶段。本月月初在官网上公布了通过形式审查的申报药品名单，包括224个目录外药品、164个目录内药品在内，总计有388个药品通过了形式审查。国家医保局将按照计划开展评审、测算和谈判等工作，预计将在今年12月初公布目录，今年的调整结果计划从明年1月1日起正式执行新版医保药品目录。</w:t>
      </w:r>
      <w:r>
        <w:rPr>
          <w:rFonts w:hint="eastAsia" w:asciiTheme="minorEastAsia" w:hAnsiTheme="minorEastAsia" w:eastAsiaTheme="minorEastAsia" w:cstheme="minorEastAsia"/>
          <w:spacing w:val="7"/>
          <w:kern w:val="0"/>
          <w:sz w:val="28"/>
          <w:szCs w:val="28"/>
          <w:lang w:val="en-US" w:eastAsia="zh-CN" w:bidi="ar"/>
        </w:rPr>
        <w:br w:type="textWrapping"/>
      </w:r>
      <w:r>
        <w:rPr>
          <w:rFonts w:hint="eastAsia" w:asciiTheme="minorEastAsia" w:hAnsiTheme="minorEastAsia" w:eastAsiaTheme="minorEastAsia" w:cstheme="minorEastAsia"/>
          <w:spacing w:val="7"/>
          <w:kern w:val="0"/>
          <w:sz w:val="28"/>
          <w:szCs w:val="28"/>
          <w:lang w:val="en-US" w:eastAsia="zh-CN" w:bidi="ar"/>
        </w:rPr>
        <w:t xml:space="preserve">    </w:t>
      </w:r>
      <w:r>
        <w:rPr>
          <w:rFonts w:hint="eastAsia" w:asciiTheme="minorEastAsia" w:hAnsiTheme="minorEastAsia" w:eastAsiaTheme="minorEastAsia" w:cstheme="minorEastAsia"/>
          <w:spacing w:val="30"/>
          <w:kern w:val="0"/>
          <w:sz w:val="28"/>
          <w:szCs w:val="28"/>
          <w:lang w:val="en-US" w:eastAsia="zh-CN" w:bidi="ar"/>
        </w:rPr>
        <w:t>据介绍，《2022年版国家医保药品目录》于今年3月1日正式实施，目录协议期内的谈判药品合计达到了346种。到今年8月底，全国已经有23.4万家定点医药机构配备了协议期内的谈判药品，其中定点医疗机构6.5万家，定点零售药店16.9万家，91个去年新增的谈判药已经在55000家定点医药机构有了配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right="120" w:firstLine="680" w:firstLineChars="200"/>
        <w:jc w:val="both"/>
        <w:rPr>
          <w:rFonts w:hint="eastAsia" w:asciiTheme="minorEastAsia" w:hAnsiTheme="minorEastAsia" w:eastAsiaTheme="minorEastAsia" w:cstheme="minorEastAsia"/>
          <w:i w:val="0"/>
          <w:iCs w:val="0"/>
          <w:caps w:val="0"/>
          <w:spacing w:val="8"/>
          <w:sz w:val="28"/>
          <w:szCs w:val="28"/>
        </w:rPr>
      </w:pPr>
      <w:r>
        <w:rPr>
          <w:rFonts w:hint="eastAsia" w:asciiTheme="minorEastAsia" w:hAnsiTheme="minorEastAsia" w:eastAsiaTheme="minorEastAsia" w:cstheme="minorEastAsia"/>
          <w:i w:val="0"/>
          <w:iCs w:val="0"/>
          <w:caps w:val="0"/>
          <w:spacing w:val="30"/>
          <w:sz w:val="28"/>
          <w:szCs w:val="28"/>
          <w:shd w:val="clear" w:fill="FFFFFF"/>
        </w:rPr>
        <w:t>今年3月至8月，346种协议期内的谈判药品累计报销1.23亿人次，医保基金支出491.7亿元。目前已为患者累计减负1097亿元。叠加降价和医保报销双重因素，3-8月的半年时间，346种谈判药品已为患者减负1097亿元。</w:t>
      </w:r>
    </w:p>
    <w:p>
      <w:pPr>
        <w:keepNext w:val="0"/>
        <w:keepLines w:val="0"/>
        <w:widowControl/>
        <w:suppressLineNumbers w:val="0"/>
        <w:spacing w:before="0" w:beforeAutospacing="0" w:after="0" w:afterAutospacing="0"/>
        <w:ind w:left="618" w:right="0" w:hanging="618" w:hangingChars="100"/>
        <w:jc w:val="left"/>
        <w:rPr>
          <w:rStyle w:val="15"/>
          <w:rFonts w:hint="eastAsia" w:ascii="Microsoft YaHei UI" w:hAnsi="Microsoft YaHei UI" w:eastAsia="Microsoft YaHei UI" w:cs="Microsoft YaHei UI"/>
          <w:i w:val="0"/>
          <w:iCs w:val="0"/>
          <w:caps w:val="0"/>
          <w:color w:val="auto"/>
          <w:spacing w:val="9"/>
          <w:kern w:val="0"/>
          <w:sz w:val="28"/>
          <w:szCs w:val="28"/>
          <w:shd w:val="clear" w:fill="FFFFFF"/>
          <w:lang w:val="en-US" w:eastAsia="zh-CN" w:bidi="ar"/>
        </w:rPr>
      </w:pPr>
      <w:r>
        <w:rPr>
          <w:rStyle w:val="15"/>
          <w:rFonts w:hint="eastAsia" w:ascii="Microsoft YaHei UI" w:hAnsi="Microsoft YaHei UI" w:eastAsia="Microsoft YaHei UI" w:cs="Microsoft YaHei UI"/>
          <w:color w:val="CD0202"/>
          <w:spacing w:val="9"/>
          <w:kern w:val="0"/>
          <w:sz w:val="60"/>
          <w:szCs w:val="60"/>
          <w:shd w:val="clear" w:fill="FFFFFF"/>
          <w:lang w:val="en-US" w:eastAsia="zh-CN" w:bidi="ar"/>
        </w:rPr>
        <w:t>02</w:t>
      </w:r>
      <w:r>
        <w:rPr>
          <w:rStyle w:val="15"/>
          <w:rFonts w:hint="eastAsia" w:ascii="Microsoft YaHei UI" w:hAnsi="Microsoft YaHei UI" w:eastAsia="Microsoft YaHei UI" w:cs="Microsoft YaHei UI"/>
          <w:i w:val="0"/>
          <w:iCs w:val="0"/>
          <w:caps w:val="0"/>
          <w:color w:val="auto"/>
          <w:spacing w:val="9"/>
          <w:kern w:val="0"/>
          <w:sz w:val="28"/>
          <w:szCs w:val="28"/>
          <w:shd w:val="clear" w:fill="FFFFFF"/>
          <w:lang w:val="en-US" w:eastAsia="zh-CN" w:bidi="ar"/>
        </w:rPr>
        <w:t>继续强化医保基金监管力度</w:t>
      </w:r>
    </w:p>
    <w:p>
      <w:pPr>
        <w:keepNext w:val="0"/>
        <w:keepLines w:val="0"/>
        <w:widowControl/>
        <w:suppressLineNumbers w:val="0"/>
        <w:spacing w:before="0" w:beforeAutospacing="0" w:after="0" w:afterAutospacing="0"/>
        <w:ind w:left="323" w:leftChars="154" w:right="0" w:firstLine="680" w:firstLineChars="200"/>
        <w:jc w:val="left"/>
        <w:rPr>
          <w:rFonts w:hint="eastAsia" w:asciiTheme="minorEastAsia" w:hAnsiTheme="minorEastAsia" w:eastAsiaTheme="minorEastAsia" w:cstheme="minorEastAsia"/>
          <w:spacing w:val="30"/>
          <w:kern w:val="0"/>
          <w:sz w:val="28"/>
          <w:szCs w:val="28"/>
          <w:lang w:val="en-US" w:eastAsia="zh-CN" w:bidi="ar"/>
        </w:rPr>
      </w:pPr>
      <w:r>
        <w:rPr>
          <w:rFonts w:hint="eastAsia" w:asciiTheme="minorEastAsia" w:hAnsiTheme="minorEastAsia" w:eastAsiaTheme="minorEastAsia" w:cstheme="minorEastAsia"/>
          <w:spacing w:val="30"/>
          <w:kern w:val="0"/>
          <w:sz w:val="28"/>
          <w:szCs w:val="28"/>
          <w:lang w:val="en-US" w:eastAsia="zh-CN" w:bidi="ar"/>
        </w:rPr>
        <w:t>会议明确了要继续打好基金监管组合拳，严厉打击各类违法违规使用医保基金的行为。</w:t>
      </w:r>
      <w:r>
        <w:rPr>
          <w:rFonts w:hint="eastAsia" w:asciiTheme="minorEastAsia" w:hAnsiTheme="minorEastAsia" w:eastAsiaTheme="minorEastAsia" w:cstheme="minorEastAsia"/>
          <w:spacing w:val="30"/>
          <w:kern w:val="0"/>
          <w:sz w:val="28"/>
          <w:szCs w:val="28"/>
          <w:lang w:val="en-US" w:eastAsia="zh-CN" w:bidi="ar"/>
        </w:rPr>
        <w:br w:type="textWrapping"/>
      </w:r>
      <w:r>
        <w:rPr>
          <w:rFonts w:hint="eastAsia" w:asciiTheme="minorEastAsia" w:hAnsiTheme="minorEastAsia" w:eastAsiaTheme="minorEastAsia" w:cstheme="minorEastAsia"/>
          <w:spacing w:val="30"/>
          <w:kern w:val="0"/>
          <w:sz w:val="28"/>
          <w:szCs w:val="28"/>
          <w:lang w:val="en-US" w:eastAsia="zh-CN" w:bidi="ar"/>
        </w:rPr>
        <w:t xml:space="preserve">   一是深入开展专项整治。国家医保局基金监管司副司长顾荣介绍，国家医保局已连续5年联合公安、卫健等部门开展打击欺诈骗保专项整治，今年新加入检察机关和财政部门，专项整治骨科、血透、心内、检查、检验、康复理疗等重点领域，聚焦医保结算费用排名靠前的重点药品耗材，力争做到查处一批重点案件。</w:t>
      </w:r>
      <w:r>
        <w:rPr>
          <w:rFonts w:hint="eastAsia" w:asciiTheme="minorEastAsia" w:hAnsiTheme="minorEastAsia" w:eastAsiaTheme="minorEastAsia" w:cstheme="minorEastAsia"/>
          <w:spacing w:val="30"/>
          <w:kern w:val="0"/>
          <w:sz w:val="28"/>
          <w:szCs w:val="28"/>
          <w:lang w:val="en-US" w:eastAsia="zh-CN" w:bidi="ar"/>
        </w:rPr>
        <w:br w:type="textWrapping"/>
      </w:r>
      <w:r>
        <w:rPr>
          <w:rFonts w:hint="eastAsia" w:asciiTheme="minorEastAsia" w:hAnsiTheme="minorEastAsia" w:eastAsiaTheme="minorEastAsia" w:cstheme="minorEastAsia"/>
          <w:spacing w:val="30"/>
          <w:kern w:val="0"/>
          <w:sz w:val="28"/>
          <w:szCs w:val="28"/>
          <w:lang w:val="en-US" w:eastAsia="zh-CN" w:bidi="ar"/>
        </w:rPr>
        <w:t xml:space="preserve">   二是常态化开展飞行检查。今年的飞检已经正式启动，将覆盖全国31个省市区和新疆生产建设兵团，聚焦医学影像检查、临床检验、康复三个群众反映比较集中的领域，同时首次将定点零售药店纳入飞检。针对定点零售药店的检查，包括将医保基金不予支付的药品或其他商品串换成医保药品，空刷、盗刷医保凭证，伪造、变造医保药品“进、销、存”票据和账目等。</w:t>
      </w:r>
      <w:r>
        <w:rPr>
          <w:rFonts w:hint="eastAsia" w:asciiTheme="minorEastAsia" w:hAnsiTheme="minorEastAsia" w:eastAsiaTheme="minorEastAsia" w:cstheme="minorEastAsia"/>
          <w:spacing w:val="30"/>
          <w:kern w:val="0"/>
          <w:sz w:val="28"/>
          <w:szCs w:val="28"/>
          <w:lang w:val="en-US" w:eastAsia="zh-CN" w:bidi="ar"/>
        </w:rPr>
        <w:br w:type="textWrapping"/>
      </w:r>
      <w:r>
        <w:rPr>
          <w:rFonts w:hint="eastAsia" w:asciiTheme="minorEastAsia" w:hAnsiTheme="minorEastAsia" w:eastAsiaTheme="minorEastAsia" w:cstheme="minorEastAsia"/>
          <w:spacing w:val="30"/>
          <w:kern w:val="0"/>
          <w:sz w:val="28"/>
          <w:szCs w:val="28"/>
          <w:lang w:val="en-US" w:eastAsia="zh-CN" w:bidi="ar"/>
        </w:rPr>
        <w:t xml:space="preserve">    截至目前，相关人员已先后赴贵州、陕西、四川、新疆、上海等15个省区市开展检查，不少省份也参照国家模式开展了省级飞行检查。今年上半年省级飞检已经覆盖84个地市、488家定点医疗机构、30家医保经办机构，处理违法违规机构298家，追回医保相关资金2.1亿元。</w:t>
      </w:r>
    </w:p>
    <w:p>
      <w:pPr>
        <w:keepNext w:val="0"/>
        <w:keepLines w:val="0"/>
        <w:widowControl/>
        <w:suppressLineNumbers w:val="0"/>
        <w:spacing w:before="0" w:beforeAutospacing="0" w:after="0" w:afterAutospacing="0"/>
        <w:ind w:right="0" w:firstLine="680" w:firstLineChars="200"/>
        <w:jc w:val="left"/>
        <w:rPr>
          <w:rStyle w:val="15"/>
          <w:rFonts w:hint="eastAsia" w:ascii="Microsoft YaHei UI" w:hAnsi="Microsoft YaHei UI" w:eastAsia="Microsoft YaHei UI" w:cs="Microsoft YaHei UI"/>
          <w:i w:val="0"/>
          <w:iCs w:val="0"/>
          <w:caps w:val="0"/>
          <w:color w:val="auto"/>
          <w:spacing w:val="9"/>
          <w:kern w:val="0"/>
          <w:sz w:val="28"/>
          <w:szCs w:val="28"/>
          <w:shd w:val="clear" w:fill="FFFFFF"/>
          <w:lang w:val="en-US" w:eastAsia="zh-CN" w:bidi="ar"/>
        </w:rPr>
      </w:pPr>
      <w:r>
        <w:rPr>
          <w:rFonts w:hint="eastAsia" w:asciiTheme="minorEastAsia" w:hAnsiTheme="minorEastAsia" w:eastAsiaTheme="minorEastAsia" w:cstheme="minorEastAsia"/>
          <w:spacing w:val="30"/>
          <w:kern w:val="0"/>
          <w:sz w:val="28"/>
          <w:szCs w:val="28"/>
          <w:lang w:val="en-US" w:eastAsia="zh-CN" w:bidi="ar"/>
        </w:rPr>
        <w:t>三是积极开展大数据监管。国家医保局今年在全国选取11个省区市和53个统筹地区，开展医保反欺诈大数据应用监管试点，鼓励各级医保部门创新运用大数据、人工智能等新技术，逐步构建起严密有力的大数据监管体系。今年上半年全国智能审核监控拒付追回医保资金9.8亿元。下一步，国家医保局将继续加大医保基金监管力度，持续构建全方位、多层次、立体化的医保基金监管体系。</w:t>
      </w:r>
      <w:r>
        <w:rPr>
          <w:rFonts w:hint="eastAsia" w:asciiTheme="minorEastAsia" w:hAnsiTheme="minorEastAsia" w:eastAsiaTheme="minorEastAsia" w:cstheme="minorEastAsia"/>
          <w:spacing w:val="30"/>
          <w:kern w:val="0"/>
          <w:sz w:val="28"/>
          <w:szCs w:val="28"/>
          <w:lang w:val="en-US" w:eastAsia="zh-CN" w:bidi="ar"/>
        </w:rPr>
        <w:br w:type="textWrapping"/>
      </w:r>
      <w:r>
        <w:rPr>
          <w:rStyle w:val="15"/>
          <w:rFonts w:hint="eastAsia" w:ascii="Microsoft YaHei UI" w:hAnsi="Microsoft YaHei UI" w:eastAsia="Microsoft YaHei UI" w:cs="Microsoft YaHei UI"/>
          <w:color w:val="CD0202"/>
          <w:spacing w:val="9"/>
          <w:kern w:val="0"/>
          <w:sz w:val="60"/>
          <w:szCs w:val="60"/>
          <w:shd w:val="clear" w:fill="FFFFFF"/>
          <w:lang w:val="en-US" w:eastAsia="zh-CN" w:bidi="ar"/>
        </w:rPr>
        <w:t>03</w:t>
      </w:r>
      <w:r>
        <w:rPr>
          <w:rStyle w:val="15"/>
          <w:rFonts w:hint="eastAsia" w:ascii="Microsoft YaHei UI" w:hAnsi="Microsoft YaHei UI" w:eastAsia="Microsoft YaHei UI" w:cs="Microsoft YaHei UI"/>
          <w:i w:val="0"/>
          <w:iCs w:val="0"/>
          <w:caps w:val="0"/>
          <w:color w:val="auto"/>
          <w:spacing w:val="9"/>
          <w:kern w:val="0"/>
          <w:sz w:val="28"/>
          <w:szCs w:val="28"/>
          <w:shd w:val="clear" w:fill="FFFFFF"/>
          <w:lang w:val="en-US" w:eastAsia="zh-CN" w:bidi="ar"/>
        </w:rPr>
        <w:t>电子处方流转仍有堵点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今年初，国家医保局发布《关于进一步做好定点零售药店纳入门诊统筹管理的通知》，药店门诊统筹政策加速推进，目前已经覆盖25个省份共计14万家药店。与此同时，“医院电子处方流转药店”的步伐也在明显加快。目前安徽、江西、湖南等省份均已出具省内首张电子流转处方。但此过程中，仍有一些问题亟待解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首先，部分地区面临电子处方流转难的情况。一方面，当地电子处方信息化建设进展相对缓慢，且医院、药店等信息系统不统一，带来客观难度；另一方面，部分公立医疗机构对电子处方这种新兴事物仍然态度审慎，或是只在院内药品缺乏、无库存的情况下处方才会流出外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其次，一些地区医生和药师相关人员培训不够，对电子处方流转结算相关流程不熟悉，难以满足患者的用药需求。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80" w:firstLineChars="200"/>
        <w:jc w:val="both"/>
        <w:rPr>
          <w:rFonts w:hint="eastAsia" w:asciiTheme="minorEastAsia" w:hAnsiTheme="minorEastAsia" w:eastAsiaTheme="minorEastAsia" w:cstheme="minorEastAsia"/>
          <w:i w:val="0"/>
          <w:iCs w:val="0"/>
          <w:caps w:val="0"/>
          <w:spacing w:val="9"/>
          <w:sz w:val="28"/>
          <w:szCs w:val="28"/>
        </w:rPr>
      </w:pPr>
      <w:r>
        <w:rPr>
          <w:rFonts w:hint="eastAsia" w:asciiTheme="minorEastAsia" w:hAnsiTheme="minorEastAsia" w:eastAsiaTheme="minorEastAsia" w:cstheme="minorEastAsia"/>
          <w:i w:val="0"/>
          <w:iCs w:val="0"/>
          <w:caps w:val="0"/>
          <w:spacing w:val="30"/>
          <w:sz w:val="28"/>
          <w:szCs w:val="28"/>
          <w:shd w:val="clear" w:fill="FFFFFF"/>
        </w:rPr>
        <w:t>尽管电子处方流转已经跑通，但其牵涉环节太多，还需要时间成熟。多数试点地区医保电子处方流转还停留在单向流转——即由定点医疗机构流向定点零售药店，区域内的多向流转、跨区域流转仍在探索。行业需要加快思考，如何推动电子处方流转“扩围”、物尽其用。</w:t>
      </w:r>
    </w:p>
    <w:p>
      <w:pPr>
        <w:keepNext w:val="0"/>
        <w:keepLines w:val="0"/>
        <w:widowControl/>
        <w:suppressLineNumbers w:val="0"/>
        <w:spacing w:before="0" w:beforeAutospacing="0" w:after="0" w:afterAutospacing="0"/>
        <w:ind w:left="0" w:right="0"/>
        <w:jc w:val="left"/>
      </w:pPr>
    </w:p>
    <w:p>
      <w:pPr>
        <w:widowControl/>
        <w:shd w:val="clear" w:color="auto" w:fill="FFFFFF"/>
        <w:rPr>
          <w:rFonts w:hint="eastAsia" w:ascii="微软雅黑" w:hAnsi="微软雅黑" w:eastAsia="微软雅黑" w:cs="宋体"/>
          <w:b/>
          <w:color w:val="333333"/>
          <w:kern w:val="36"/>
          <w:sz w:val="24"/>
          <w:szCs w:val="24"/>
        </w:rPr>
      </w:pPr>
    </w:p>
    <w:p>
      <w:pPr>
        <w:widowControl/>
        <w:shd w:val="clear" w:color="auto" w:fill="FFFFFF"/>
        <w:rPr>
          <w:rFonts w:hint="eastAsia" w:ascii="微软雅黑" w:hAnsi="微软雅黑" w:eastAsia="微软雅黑" w:cs="宋体"/>
          <w:b/>
          <w:color w:val="333333"/>
          <w:kern w:val="36"/>
          <w:sz w:val="24"/>
          <w:szCs w:val="24"/>
        </w:rPr>
      </w:pPr>
    </w:p>
    <w:p>
      <w:pPr>
        <w:widowControl/>
        <w:shd w:val="clear" w:color="auto" w:fill="FFFFFF"/>
        <w:rPr>
          <w:rFonts w:ascii="宋体" w:hAnsi="宋体" w:cs="宋体"/>
          <w:b/>
          <w:kern w:val="0"/>
          <w:sz w:val="33"/>
          <w:szCs w:val="33"/>
          <w:lang w:bidi="ar"/>
        </w:rPr>
      </w:pPr>
      <w:r>
        <w:rPr>
          <w:rFonts w:hint="eastAsia" w:ascii="微软雅黑" w:hAnsi="微软雅黑" w:eastAsia="微软雅黑" w:cs="宋体"/>
          <w:b/>
          <w:color w:val="333333"/>
          <w:kern w:val="36"/>
          <w:sz w:val="24"/>
          <w:szCs w:val="24"/>
        </w:rPr>
        <w:t>附件5</w:t>
      </w:r>
      <w:r>
        <w:rPr>
          <w:rFonts w:hint="eastAsia" w:ascii="宋体" w:hAnsi="宋体" w:cs="宋体"/>
          <w:b/>
          <w:kern w:val="0"/>
          <w:sz w:val="33"/>
          <w:szCs w:val="33"/>
          <w:lang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Theme="majorEastAsia" w:hAnsiTheme="majorEastAsia" w:eastAsiaTheme="majorEastAsia" w:cstheme="majorEastAsia"/>
          <w:i w:val="0"/>
          <w:iCs w:val="0"/>
          <w:caps w:val="0"/>
          <w:spacing w:val="8"/>
          <w:sz w:val="33"/>
          <w:szCs w:val="33"/>
        </w:rPr>
      </w:pPr>
      <w:r>
        <w:rPr>
          <w:rFonts w:hint="eastAsia" w:asciiTheme="majorEastAsia" w:hAnsiTheme="majorEastAsia" w:eastAsiaTheme="majorEastAsia" w:cstheme="majorEastAsia"/>
          <w:i w:val="0"/>
          <w:iCs w:val="0"/>
          <w:caps w:val="0"/>
          <w:spacing w:val="8"/>
          <w:sz w:val="33"/>
          <w:szCs w:val="33"/>
          <w:bdr w:val="none" w:color="auto" w:sz="0" w:space="0"/>
          <w:shd w:val="clear" w:fill="FFFFFF"/>
        </w:rPr>
        <w:t>区域龙头批发大比拼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spacing w:val="9"/>
        </w:rPr>
      </w:pPr>
      <w:r>
        <w:rPr>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金钱草</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17"/>
          <w:rFonts w:hint="eastAsia" w:ascii="Microsoft YaHei UI" w:hAnsi="Microsoft YaHei UI" w:eastAsia="Microsoft YaHei UI" w:cs="Microsoft YaHei UI"/>
          <w:i w:val="0"/>
          <w:iCs w:val="0"/>
          <w:caps w:val="0"/>
          <w:spacing w:val="8"/>
          <w:sz w:val="22"/>
          <w:szCs w:val="22"/>
          <w:u w:val="none"/>
          <w:bdr w:val="none" w:color="auto" w:sz="0" w:space="0"/>
          <w:shd w:val="clear" w:fill="FFFFFF"/>
        </w:rPr>
        <w:t>第一药店财智</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2023-09-15 18:04</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16"/>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发表于广东</w:t>
      </w:r>
      <w:r>
        <w:rPr>
          <w:rFonts w:hint="eastAsia" w:ascii="Microsoft YaHei UI" w:hAnsi="Microsoft YaHei UI" w:eastAsia="Microsoft YaHei UI" w:cs="Microsoft YaHei UI"/>
          <w:i w:val="0"/>
          <w:iCs w:val="0"/>
          <w:caps w:val="0"/>
          <w:spacing w:val="9"/>
          <w:bdr w:val="none" w:color="auto" w:sz="0" w:space="0"/>
          <w:shd w:val="clear" w:fill="FFFFFF"/>
        </w:rPr>
        <w:drawing>
          <wp:inline distT="0" distB="0" distL="114300" distR="114300">
            <wp:extent cx="304800" cy="30480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368" w:lineRule="atLeast"/>
        <w:ind w:left="0" w:right="0"/>
        <w:jc w:val="both"/>
        <w:rPr>
          <w:rFonts w:hint="eastAsia" w:ascii="Microsoft YaHei UI" w:hAnsi="Microsoft YaHei UI" w:eastAsia="Microsoft YaHei UI" w:cs="Microsoft YaHei UI"/>
          <w:b/>
          <w:bCs/>
          <w:i w:val="0"/>
          <w:spacing w:val="8"/>
        </w:rPr>
      </w:pPr>
      <w:r>
        <w:rPr>
          <w:rStyle w:val="16"/>
          <w:rFonts w:ascii="Helvetica" w:hAnsi="Helvetica" w:eastAsia="Helvetica" w:cs="Helvetica"/>
          <w:b/>
          <w:bCs/>
          <w:i w:val="0"/>
          <w:iCs/>
          <w:caps w:val="0"/>
          <w:color w:val="888888"/>
          <w:spacing w:val="30"/>
          <w:sz w:val="22"/>
          <w:szCs w:val="22"/>
          <w:bdr w:val="none" w:color="auto" w:sz="0" w:space="0"/>
          <w:shd w:val="clear" w:fill="F7F7F7"/>
        </w:rPr>
        <w:t>疫情和集采后，与千亿药商巨头保持稳定增长不同，区域药商龙头出现了业绩分化。部分区域龙头实现了比千亿药商更加高速的增长，也有一些区域龙头经营陷于低谷。</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bCs/>
          <w:spacing w:val="8"/>
          <w:sz w:val="28"/>
          <w:szCs w:val="28"/>
        </w:rPr>
      </w:pPr>
      <w:r>
        <w:rPr>
          <w:rFonts w:hint="eastAsia" w:ascii="Microsoft YaHei UI" w:hAnsi="Microsoft YaHei UI" w:eastAsia="Microsoft YaHei UI" w:cs="Microsoft YaHei UI"/>
          <w:b/>
          <w:bCs/>
          <w:i w:val="0"/>
          <w:iCs w:val="0"/>
          <w:caps w:val="0"/>
          <w:color w:val="B2B2B2"/>
          <w:spacing w:val="8"/>
          <w:kern w:val="0"/>
          <w:sz w:val="19"/>
          <w:szCs w:val="19"/>
          <w:bdr w:val="none" w:color="auto" w:sz="0" w:space="0"/>
          <w:shd w:val="clear" w:fill="FFFFFF"/>
          <w:lang w:val="en-US" w:eastAsia="zh-CN" w:bidi="ar"/>
        </w:rPr>
        <w:t>来源 | 赛柏蓝</w:t>
      </w:r>
      <w:r>
        <w:rPr>
          <w:rFonts w:hint="eastAsia" w:ascii="Microsoft YaHei UI" w:hAnsi="Microsoft YaHei UI" w:eastAsia="Microsoft YaHei UI" w:cs="Microsoft YaHei UI"/>
          <w:b/>
          <w:bCs/>
          <w:i w:val="0"/>
          <w:iCs w:val="0"/>
          <w:caps w:val="0"/>
          <w:spacing w:val="8"/>
          <w:kern w:val="0"/>
          <w:sz w:val="24"/>
          <w:szCs w:val="24"/>
          <w:bdr w:val="none" w:color="auto" w:sz="0" w:space="0"/>
          <w:shd w:val="clear" w:fill="FFFFFF"/>
          <w:lang w:val="en-US" w:eastAsia="zh-CN" w:bidi="ar"/>
        </w:rPr>
        <w:br w:type="textWrapping"/>
      </w:r>
      <w:r>
        <w:rPr>
          <w:rStyle w:val="15"/>
          <w:rFonts w:hint="eastAsia" w:ascii="Microsoft YaHei UI" w:hAnsi="Microsoft YaHei UI" w:eastAsia="Microsoft YaHei UI" w:cs="Microsoft YaHei UI"/>
          <w:i w:val="0"/>
          <w:iCs w:val="0"/>
          <w:caps w:val="0"/>
          <w:color w:val="CD0202"/>
          <w:spacing w:val="9"/>
          <w:kern w:val="0"/>
          <w:sz w:val="60"/>
          <w:szCs w:val="60"/>
          <w:bdr w:val="none" w:color="auto" w:sz="0" w:space="0"/>
          <w:shd w:val="clear" w:fill="FFFFFF"/>
          <w:lang w:val="en-US" w:eastAsia="zh-CN" w:bidi="ar"/>
        </w:rPr>
        <w:t>01</w:t>
      </w:r>
      <w:r>
        <w:rPr>
          <w:rFonts w:hint="eastAsia" w:ascii="Microsoft YaHei UI" w:hAnsi="Microsoft YaHei UI" w:eastAsia="Microsoft YaHei UI" w:cs="Microsoft YaHei UI"/>
          <w:b/>
          <w:bCs/>
          <w:i w:val="0"/>
          <w:iCs w:val="0"/>
          <w:caps w:val="0"/>
          <w:spacing w:val="30"/>
          <w:sz w:val="28"/>
          <w:szCs w:val="28"/>
          <w:bdr w:val="none" w:color="auto" w:sz="0" w:space="0"/>
          <w:shd w:val="clear" w:fill="FFFFFF"/>
        </w:rPr>
        <w:t>集采后，区域龙头营收分化明显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ascii="PingFangSC-light" w:hAnsi="PingFangSC-light" w:eastAsia="PingFangSC-light" w:cs="PingFangSC-light"/>
          <w:color w:val="3E3E3E"/>
          <w:spacing w:val="15"/>
          <w:sz w:val="22"/>
          <w:szCs w:val="22"/>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纵观区域龙头，从规模上看，笔者所统计的10家区域药商龙头经营规模之和也仅为2000亿元人民币左右，约为国药控股一家的2/3。单拎出来看，任何一家也不足华润医药、上海医药的五成。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其中</w:t>
      </w:r>
      <w:r>
        <w:rPr>
          <w:rStyle w:val="15"/>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规模最大的重庆医药半年营业收入超过400亿元，预计经过未来两年的耕耘，将有望成为千亿药商巨头中的一员。</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其余大部分区域龙头药商维持在100-300亿元之间。</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尽管区域药商的规模和千亿药商巨头有一定差距，但部分区域药商也凭借着在局部地区的深耕细作积极应对集采，营业收入保持了较好的增长态势。</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从同比来看成长性，增长超过20%的区域龙头有重药控股和中国医药，在10%-20%之间和千亿药商增幅接近的也有</w:t>
      </w:r>
      <w:r>
        <w:rPr>
          <w:rFonts w:hint="eastAsia" w:asciiTheme="minorEastAsia" w:hAnsiTheme="minorEastAsia" w:eastAsiaTheme="minorEastAsia" w:cstheme="minorEastAsia"/>
          <w:i w:val="0"/>
          <w:iCs w:val="0"/>
          <w:caps w:val="0"/>
          <w:color w:val="000000"/>
          <w:spacing w:val="30"/>
          <w:sz w:val="28"/>
          <w:szCs w:val="28"/>
          <w:u w:val="none"/>
          <w:bdr w:val="none" w:color="auto" w:sz="0" w:space="0"/>
          <w:shd w:val="clear" w:fill="FFFFFF"/>
        </w:rPr>
        <w:t>嘉事堂</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、南京医药和柳药集团；而同比出现下滑的仅有瑞康医药一家。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从季度环比来看，相对来说嘉事堂和中国医药保持了较好的韧性，季度环比达到15%以上。</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center"/>
        <w:rPr>
          <w:rFonts w:hint="eastAsia" w:ascii="Microsoft YaHei UI" w:hAnsi="Microsoft YaHei UI" w:eastAsia="Microsoft YaHei UI" w:cs="Microsoft YaHei UI"/>
          <w:spacing w:val="8"/>
        </w:rP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187315" cy="2529205"/>
            <wp:effectExtent l="0" t="0" r="13335" b="444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4"/>
                    <a:stretch>
                      <a:fillRect/>
                    </a:stretch>
                  </pic:blipFill>
                  <pic:spPr>
                    <a:xfrm>
                      <a:off x="0" y="0"/>
                      <a:ext cx="5187315" cy="252920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88888"/>
          <w:spacing w:val="30"/>
          <w:sz w:val="18"/>
          <w:szCs w:val="18"/>
          <w:bdr w:val="none" w:color="auto" w:sz="0" w:space="0"/>
          <w:shd w:val="clear" w:fill="FFFFFF"/>
        </w:rPr>
        <w:t>注：数据来源于各公司上市年报，供参考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0" w:afterAutospacing="0"/>
        <w:ind w:left="0" w:right="0"/>
        <w:jc w:val="left"/>
        <w:rPr>
          <w:spacing w:val="8"/>
          <w:sz w:val="28"/>
          <w:szCs w:val="28"/>
        </w:rPr>
      </w:pPr>
      <w:r>
        <w:rPr>
          <w:rStyle w:val="15"/>
          <w:rFonts w:hint="eastAsia" w:ascii="Microsoft YaHei UI" w:hAnsi="Microsoft YaHei UI" w:eastAsia="Microsoft YaHei UI" w:cs="Microsoft YaHei UI"/>
          <w:i w:val="0"/>
          <w:iCs w:val="0"/>
          <w:caps w:val="0"/>
          <w:color w:val="CD0202"/>
          <w:spacing w:val="9"/>
          <w:kern w:val="0"/>
          <w:sz w:val="60"/>
          <w:szCs w:val="60"/>
          <w:bdr w:val="none" w:color="auto" w:sz="0" w:space="0"/>
          <w:shd w:val="clear" w:fill="FFFFFF"/>
          <w:lang w:val="en-US" w:eastAsia="zh-CN" w:bidi="ar"/>
        </w:rPr>
        <w:t>02</w:t>
      </w:r>
      <w:r>
        <w:rPr>
          <w:rStyle w:val="15"/>
          <w:rFonts w:hint="eastAsia" w:ascii="Microsoft YaHei UI" w:hAnsi="Microsoft YaHei UI" w:eastAsia="Microsoft YaHei UI" w:cs="Microsoft YaHei UI"/>
          <w:i w:val="0"/>
          <w:iCs w:val="0"/>
          <w:caps w:val="0"/>
          <w:spacing w:val="30"/>
          <w:sz w:val="28"/>
          <w:szCs w:val="28"/>
          <w:bdr w:val="none" w:color="auto" w:sz="0" w:space="0"/>
          <w:shd w:val="clear" w:fill="FFFFFF"/>
        </w:rPr>
        <w:t>区域龙头利润水平差异大</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从净利润规模和水平上来看，区域药商龙头更是分化明显。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从净利润规模上看，所统计的10家区域药商营收规模最大的重药控股净利润规模排第四位，约为经营规模第四位的国药股份净利润的一半。其他还有南京医药、</w:t>
      </w:r>
      <w:r>
        <w:rPr>
          <w:rFonts w:hint="eastAsia" w:asciiTheme="minorEastAsia" w:hAnsiTheme="minorEastAsia" w:eastAsiaTheme="minorEastAsia" w:cstheme="minorEastAsia"/>
          <w:i w:val="0"/>
          <w:iCs w:val="0"/>
          <w:caps w:val="0"/>
          <w:color w:val="000000"/>
          <w:spacing w:val="30"/>
          <w:sz w:val="28"/>
          <w:szCs w:val="28"/>
          <w:u w:val="none"/>
          <w:bdr w:val="none" w:color="auto" w:sz="0" w:space="0"/>
          <w:shd w:val="clear" w:fill="FFFFFF"/>
        </w:rPr>
        <w:t>英特集团</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、鹭燕医药、嘉事堂等几家半年营收超百亿的区域药商龙头的净利润在1-3亿元。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从净利润成长性来看，所列的10家区域药商龙头也是“喜忧参半”。净利润同比和环比实现双双增长的仅有</w:t>
      </w:r>
      <w:r>
        <w:rPr>
          <w:rFonts w:hint="eastAsia" w:asciiTheme="minorEastAsia" w:hAnsiTheme="minorEastAsia" w:eastAsiaTheme="minorEastAsia" w:cstheme="minorEastAsia"/>
          <w:i w:val="0"/>
          <w:iCs w:val="0"/>
          <w:caps w:val="0"/>
          <w:color w:val="000000"/>
          <w:spacing w:val="30"/>
          <w:sz w:val="28"/>
          <w:szCs w:val="28"/>
          <w:u w:val="none"/>
          <w:bdr w:val="none" w:color="auto" w:sz="0" w:space="0"/>
          <w:shd w:val="clear" w:fill="FFFFFF"/>
        </w:rPr>
        <w:t>国药股份</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、国药一致、重药控股、英特集团和鹭燕医药五家，重药控股、英特集团两家增幅较高；而另外五家则出现了同比和/或季度环比的净利润不同幅度的下滑。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从利润率水平来看，</w:t>
      </w:r>
      <w:r>
        <w:rPr>
          <w:rStyle w:val="15"/>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除国药股份和柳药集团在4%以上之外，其余8家均在3%以内，其中大部分集中在1%-2%的水平</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，与医药商业整体2%左右的净利润率水平相若。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center"/>
        <w:rPr>
          <w:rFonts w:hint="eastAsia" w:ascii="Microsoft YaHei UI" w:hAnsi="Microsoft YaHei UI" w:eastAsia="Microsoft YaHei UI" w:cs="Microsoft YaHei UI"/>
          <w:spacing w:val="8"/>
        </w:rP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12410" cy="2499360"/>
            <wp:effectExtent l="0" t="0" r="2540" b="1524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5"/>
                    <a:stretch>
                      <a:fillRect/>
                    </a:stretch>
                  </pic:blipFill>
                  <pic:spPr>
                    <a:xfrm>
                      <a:off x="0" y="0"/>
                      <a:ext cx="5312410" cy="24993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88888"/>
          <w:spacing w:val="30"/>
          <w:sz w:val="18"/>
          <w:szCs w:val="18"/>
          <w:bdr w:val="none" w:color="auto" w:sz="0" w:space="0"/>
          <w:shd w:val="clear" w:fill="FFFFFF"/>
        </w:rPr>
        <w:t>注：数据来源于各公司上市年报，供参考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0" w:afterAutospacing="0"/>
        <w:ind w:left="0" w:right="0"/>
        <w:jc w:val="left"/>
        <w:rPr>
          <w:spacing w:val="8"/>
          <w:sz w:val="28"/>
          <w:szCs w:val="28"/>
        </w:rPr>
      </w:pPr>
      <w:r>
        <w:rPr>
          <w:rStyle w:val="15"/>
          <w:rFonts w:hint="eastAsia" w:ascii="Microsoft YaHei UI" w:hAnsi="Microsoft YaHei UI" w:eastAsia="Microsoft YaHei UI" w:cs="Microsoft YaHei UI"/>
          <w:i w:val="0"/>
          <w:iCs w:val="0"/>
          <w:caps w:val="0"/>
          <w:color w:val="CD0202"/>
          <w:spacing w:val="9"/>
          <w:kern w:val="0"/>
          <w:sz w:val="60"/>
          <w:szCs w:val="60"/>
          <w:bdr w:val="none" w:color="auto" w:sz="0" w:space="0"/>
          <w:shd w:val="clear" w:fill="FFFFFF"/>
          <w:lang w:val="en-US" w:eastAsia="zh-CN" w:bidi="ar"/>
        </w:rPr>
        <w:t>03</w:t>
      </w:r>
      <w:r>
        <w:rPr>
          <w:rStyle w:val="15"/>
          <w:rFonts w:hint="eastAsia" w:ascii="Microsoft YaHei UI" w:hAnsi="Microsoft YaHei UI" w:eastAsia="Microsoft YaHei UI" w:cs="Microsoft YaHei UI"/>
          <w:i w:val="0"/>
          <w:iCs w:val="0"/>
          <w:caps w:val="0"/>
          <w:spacing w:val="30"/>
          <w:sz w:val="28"/>
          <w:szCs w:val="28"/>
          <w:bdr w:val="none" w:color="auto" w:sz="0" w:space="0"/>
          <w:shd w:val="clear" w:fill="FFFFFF"/>
        </w:rPr>
        <w:t>区域药商龙头业绩分化的原因何在？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21EAA"/>
          <w:spacing w:val="30"/>
          <w:sz w:val="28"/>
          <w:szCs w:val="28"/>
          <w:bdr w:val="none" w:color="auto" w:sz="0" w:space="0"/>
          <w:shd w:val="clear" w:fill="FFFFFF"/>
        </w:rPr>
        <w:t>部分区域药商经营全国化</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在这些区域药商龙头中，部分药商随着业务网络覆盖不断延伸，有部分企业已逐步向省外扩张业务，甚至走向了全国多个省份，如南京医药、重庆医药、中国医药、</w:t>
      </w:r>
      <w:r>
        <w:rPr>
          <w:rFonts w:hint="eastAsia" w:asciiTheme="minorEastAsia" w:hAnsiTheme="minorEastAsia" w:eastAsiaTheme="minorEastAsia" w:cstheme="minorEastAsia"/>
          <w:i w:val="0"/>
          <w:iCs w:val="0"/>
          <w:caps w:val="0"/>
          <w:color w:val="000000"/>
          <w:spacing w:val="30"/>
          <w:sz w:val="28"/>
          <w:szCs w:val="28"/>
          <w:u w:val="none"/>
          <w:bdr w:val="none" w:color="auto" w:sz="0" w:space="0"/>
          <w:shd w:val="clear" w:fill="FFFFFF"/>
        </w:rPr>
        <w:t>鹭燕医药</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等药商的业务也覆盖到了多个省份，</w:t>
      </w:r>
      <w:r>
        <w:rPr>
          <w:rStyle w:val="15"/>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其中重药控股和中国医药的业务经营范围超过了10个省份。</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此外，也有国药一致、英特集团、柳药股份实施聚焦战略，业务经营区域范围稳定在1-2个省份。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Theme="minorEastAsia" w:hAnsiTheme="minorEastAsia" w:eastAsiaTheme="minorEastAsia" w:cstheme="minorEastAsia"/>
          <w:spacing w:val="8"/>
          <w:sz w:val="28"/>
          <w:szCs w:val="2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center"/>
        <w:rPr>
          <w:rFonts w:hint="eastAsia" w:ascii="Microsoft YaHei UI" w:hAnsi="Microsoft YaHei UI" w:eastAsia="Microsoft YaHei UI" w:cs="Microsoft YaHei UI"/>
          <w:spacing w:val="8"/>
        </w:rP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40985" cy="2825750"/>
            <wp:effectExtent l="0" t="0" r="12065" b="1270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6"/>
                    <a:stretch>
                      <a:fillRect/>
                    </a:stretch>
                  </pic:blipFill>
                  <pic:spPr>
                    <a:xfrm>
                      <a:off x="0" y="0"/>
                      <a:ext cx="5340985" cy="28257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88888"/>
          <w:spacing w:val="30"/>
          <w:sz w:val="18"/>
          <w:szCs w:val="18"/>
          <w:bdr w:val="none" w:color="auto" w:sz="0" w:space="0"/>
          <w:shd w:val="clear" w:fill="FFFFFF"/>
        </w:rPr>
        <w:t>注：根据各公司半年报整理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21EAA"/>
          <w:spacing w:val="30"/>
          <w:sz w:val="28"/>
          <w:szCs w:val="28"/>
          <w:bdr w:val="none" w:color="auto" w:sz="0" w:space="0"/>
          <w:shd w:val="clear" w:fill="FFFFFF"/>
        </w:rPr>
        <w:t>成也扩张，败也扩张？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区域药商在发展过程中既有成功的典型，也有失败的教训。</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bookmarkStart w:id="0" w:name="_GoBack"/>
      <w:bookmarkEnd w:id="0"/>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发展势头较好的部分龙头药商如重药控股、中国医药和嘉事堂等企业不断通过扩张业务区域范围实现了较好的增长势头，当前增速超过了在集采后具有全国覆盖网络的千亿药商巨头，部分药商未来有望成为千亿级药商的一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业绩下滑的瑞康医药，最初立足于山东，在资本市场上市后，资金充足，开始逐步将营销网络向全国扩散。瑞康医药通过“并购+合伙人”模式打造遍布全国的营销采购网络。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在2017年瑞康医药正式通过这种方式快速在全国30个省份（直辖市）设立有200余家子公司，将业务网络覆盖到31个省市区。2018年其在已经完成全国31个省市布局的基础上，系统地对现有业务条块进行梳理、完善业务网络及产品线布局。彼时业务范围已经覆盖到了全国的31个省市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2018年山东省外业务高速发展，省外业务收入首次超过省内，销售收入占比已经达到56.60%。但好景不长，在2019年实现业务的小幅增长后，在2020年疫情开始之年业绩快速急转直下，当年营收锐减超过20%，在2021年再次下降超过20%，在2022年下降超过40%，此时营业规模不到2019年峰值时的35%。业务覆盖网络也在大幅收缩，注销了大量分公司，在2023年上半年，又回归至山东省内的业务收入贡献占比超过80%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rPr>
      </w:pPr>
    </w:p>
    <w:p>
      <w:pPr>
        <w:keepNext w:val="0"/>
        <w:keepLines w:val="0"/>
        <w:widowControl/>
        <w:suppressLineNumbers w:val="0"/>
        <w:spacing w:before="0" w:beforeAutospacing="0" w:after="0" w:afterAutospacing="0"/>
        <w:ind w:left="0" w:right="0"/>
        <w:jc w:val="left"/>
        <w:rPr>
          <w:spacing w:val="8"/>
          <w:sz w:val="28"/>
          <w:szCs w:val="28"/>
        </w:rPr>
      </w:pPr>
      <w:r>
        <w:rPr>
          <w:rStyle w:val="15"/>
          <w:rFonts w:hint="eastAsia" w:ascii="Microsoft YaHei UI" w:hAnsi="Microsoft YaHei UI" w:eastAsia="Microsoft YaHei UI" w:cs="Microsoft YaHei UI"/>
          <w:i w:val="0"/>
          <w:iCs w:val="0"/>
          <w:caps w:val="0"/>
          <w:color w:val="CD0202"/>
          <w:spacing w:val="9"/>
          <w:kern w:val="0"/>
          <w:sz w:val="60"/>
          <w:szCs w:val="60"/>
          <w:bdr w:val="none" w:color="auto" w:sz="0" w:space="0"/>
          <w:shd w:val="clear" w:fill="FFFFFF"/>
          <w:lang w:val="en-US" w:eastAsia="zh-CN" w:bidi="ar"/>
        </w:rPr>
        <w:t>04</w:t>
      </w:r>
      <w:r>
        <w:rPr>
          <w:rStyle w:val="15"/>
          <w:rFonts w:hint="eastAsia" w:ascii="Microsoft YaHei UI" w:hAnsi="Microsoft YaHei UI" w:eastAsia="Microsoft YaHei UI" w:cs="Microsoft YaHei UI"/>
          <w:i w:val="0"/>
          <w:iCs w:val="0"/>
          <w:caps w:val="0"/>
          <w:spacing w:val="30"/>
          <w:sz w:val="28"/>
          <w:szCs w:val="28"/>
          <w:bdr w:val="none" w:color="auto" w:sz="0" w:space="0"/>
          <w:shd w:val="clear" w:fill="FFFFFF"/>
        </w:rPr>
        <w:t>集采常态化后，区域药商如何打造竞争力？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spacing w:val="8"/>
          <w:sz w:val="28"/>
          <w:szCs w:val="28"/>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根据成长势头相对理想的几家药商的核心竞争力的打造方向来看，药商需要打造的核心能力主要是：</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2" w:firstLineChars="200"/>
        <w:jc w:val="both"/>
        <w:rPr>
          <w:rFonts w:hint="eastAsia" w:asciiTheme="minorEastAsia" w:hAnsiTheme="minorEastAsia" w:eastAsiaTheme="minorEastAsia" w:cstheme="minorEastAsia"/>
          <w:spacing w:val="8"/>
          <w:sz w:val="28"/>
          <w:szCs w:val="28"/>
        </w:rPr>
      </w:pPr>
      <w:r>
        <w:rPr>
          <w:rStyle w:val="15"/>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丰富的下游渠道资源</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——这是医药商业公司业务上量的保证。有了丰富的客户资源才能将产品快速分销出去；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2" w:firstLineChars="200"/>
        <w:jc w:val="both"/>
        <w:rPr>
          <w:rFonts w:hint="eastAsia" w:asciiTheme="minorEastAsia" w:hAnsiTheme="minorEastAsia" w:eastAsiaTheme="minorEastAsia" w:cstheme="minorEastAsia"/>
          <w:spacing w:val="8"/>
          <w:sz w:val="28"/>
          <w:szCs w:val="28"/>
        </w:rPr>
      </w:pPr>
      <w:r>
        <w:rPr>
          <w:rStyle w:val="15"/>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其次是尽可能丰富的上游品种资源</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，以便做到“东方不亮西方亮”，不会因某个/些类别产品销售下滑大幅影响业绩。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最后，一起看几个比较好的发展案例。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重药控股：突出四大核心竞争力的打造。一是从区域走向全国。已逐渐从西南地区医药流通企业发展为医药流通行业内的全国性集团化企业，拥有全级次分子公司220余家，布局在全国30个省、市、自治区及特别行政区。二是坚守医院渠道优势。主营医药商业，并以纯销业务为核心业务，报告期内拥有二级及以上纯销客户约7000家，纯销业务占总体销售的比例近80%。三是数字化、科技化增值服务赋能。高度重视并持续投入数字化建设，充分利用信息化手段，建设财务苍穹系统、审计预警系统，批零业务</w:t>
      </w:r>
      <w:r>
        <w:rPr>
          <w:rFonts w:hint="eastAsia" w:asciiTheme="minorEastAsia" w:hAnsiTheme="minorEastAsia" w:eastAsiaTheme="minorEastAsia" w:cstheme="minorEastAsia"/>
          <w:i w:val="0"/>
          <w:iCs w:val="0"/>
          <w:caps w:val="0"/>
          <w:color w:val="000000"/>
          <w:spacing w:val="30"/>
          <w:sz w:val="28"/>
          <w:szCs w:val="28"/>
          <w:u w:val="none"/>
          <w:bdr w:val="none" w:color="auto" w:sz="0" w:space="0"/>
          <w:shd w:val="clear" w:fill="FFFFFF"/>
        </w:rPr>
        <w:t>ERP系统</w:t>
      </w: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物流WMS系统等经营管理系统，促进业务高速发展和创新转型。四是营销产品多样化。重药控股是“中央和地方”两级药品器械储备单位，经营各类商品品规20万余个，包括药品、医疗器械、化妆品、食品等多样化的品种组合；与14000余家国内外供应商保持紧密合作关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嘉事堂：突出四大核心竞争力的培育。一是终端网络覆盖能力强、医疗资源丰富。药品、器械销售业务覆盖终端主流医疗机构超过4000家。终端医院和医生的专业覆盖形成了完整的业务链条，衍生出流量与数据的高水平价值，也为开展康复医疗业务奠定了基础；二是与上游企业深厚合作，经营品规数量丰富。目前与嘉事堂合作的上游生产企业超过2000家，其与国际领先生产企业以及国内一流生产企业建立了深厚的合作关系。随着与上游企业合作紧密程度不断加深，经营产品的品规数量逐年增加及品种质量不断提升。三是稳固固有市场份额，培育新的业务增长点。顺应行业改革政策和医院新的需求，积极开拓新业务，探索更大市场空间。四是严格遵循质量第一的经营原则。从采购、仓储、运输、销售各环节严格按照GSP要求执行，冷链产品等特殊产品严格执行国家监管标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80" w:firstLineChars="200"/>
        <w:jc w:val="both"/>
        <w:rPr>
          <w:rFonts w:hint="eastAsia" w:asciiTheme="minorEastAsia" w:hAnsiTheme="minorEastAsia" w:eastAsiaTheme="minorEastAsia" w:cstheme="minorEastAsia"/>
          <w:spacing w:val="8"/>
          <w:sz w:val="28"/>
          <w:szCs w:val="28"/>
        </w:rPr>
      </w:pPr>
      <w:r>
        <w:rPr>
          <w:rFonts w:hint="eastAsia" w:asciiTheme="minorEastAsia" w:hAnsiTheme="minorEastAsia" w:eastAsiaTheme="minorEastAsia" w:cstheme="minorEastAsia"/>
          <w:i w:val="0"/>
          <w:iCs w:val="0"/>
          <w:caps w:val="0"/>
          <w:color w:val="000000"/>
          <w:spacing w:val="30"/>
          <w:sz w:val="28"/>
          <w:szCs w:val="28"/>
          <w:bdr w:val="none" w:color="auto" w:sz="0" w:space="0"/>
          <w:shd w:val="clear" w:fill="FFFFFF"/>
        </w:rPr>
        <w:t>国药股份：突出三大核心竞争力优势。一是规模及商业网络优势。国药股份已经实现北京地区等级医院的100%覆盖，并覆盖超过4700家的基层医疗机构。其中，公司在二、三级医院的销售居于区域首位，具有强大的北京地区医疗终端覆盖及服务能力。下游药店终端客户直接覆盖3万余家，渠道延伸覆盖22万家。二是全品类产品优势。经过多年的商业资源积累，在药品、医疗器械、耗材等多个领域均有丰富的品种资源，与上千家国内外上游供应商保持多年的稳定合作关系，整体经营品规上万个。三是专业服务能力优势。为上下游客户提供增值服务，不断提升供应链价值，并为终端医疗机构改善诊疗服务能力提供支持。</w:t>
      </w:r>
    </w:p>
    <w:p>
      <w:pPr>
        <w:keepNext w:val="0"/>
        <w:keepLines w:val="0"/>
        <w:widowControl/>
        <w:suppressLineNumbers w:val="0"/>
        <w:spacing w:before="0" w:beforeAutospacing="0" w:after="0" w:afterAutospacing="0"/>
        <w:ind w:left="0" w:right="0"/>
        <w:jc w:val="left"/>
        <w:rPr>
          <w:rStyle w:val="15"/>
          <w:rFonts w:hint="eastAsia" w:asciiTheme="minorEastAsia" w:hAnsiTheme="minorEastAsia" w:eastAsiaTheme="minorEastAsia" w:cstheme="minorEastAsia"/>
          <w:i w:val="0"/>
          <w:iCs w:val="0"/>
          <w:caps w:val="0"/>
          <w:color w:val="auto"/>
          <w:spacing w:val="9"/>
          <w:kern w:val="0"/>
          <w:sz w:val="28"/>
          <w:szCs w:val="28"/>
          <w:shd w:val="clear" w:fill="FFFFFF"/>
          <w:lang w:val="en-US" w:eastAsia="zh-CN" w:bidi="ar"/>
        </w:rPr>
      </w:pPr>
    </w:p>
    <w:sectPr>
      <w:footerReference r:id="rId3"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iti SC Light">
    <w:altName w:val="微软雅黑"/>
    <w:panose1 w:val="00000000000000000000"/>
    <w:charset w:val="50"/>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SC-light">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HP Simplified Jpan">
    <w:panose1 w:val="020B0500000000000000"/>
    <w:charset w:val="86"/>
    <w:family w:val="auto"/>
    <w:pitch w:val="default"/>
    <w:sig w:usb0="E00002FF" w:usb1="38C7EDFA" w:usb2="00000012" w:usb3="00000000" w:csb0="2016019F" w:csb1="41000000"/>
  </w:font>
  <w:font w:name="HP Simplified Jpan Light">
    <w:panose1 w:val="020B0300000000000000"/>
    <w:charset w:val="86"/>
    <w:family w:val="auto"/>
    <w:pitch w:val="default"/>
    <w:sig w:usb0="E00002FF" w:usb1="38C7EDFA" w:usb2="00000012" w:usb3="00000000" w:csb0="2016019F" w:csb1="41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sdtPr>
    <w:sdtContent>
      <w:p>
        <w:pPr>
          <w:pStyle w:val="8"/>
          <w:jc w:val="center"/>
        </w:pPr>
        <w:r>
          <w:fldChar w:fldCharType="begin"/>
        </w:r>
        <w:r>
          <w:instrText xml:space="preserve"> PAGE   \* MERGEFORMAT </w:instrText>
        </w:r>
        <w:r>
          <w:fldChar w:fldCharType="separate"/>
        </w:r>
        <w:r>
          <w:rPr>
            <w:lang w:val="zh-CN"/>
          </w:rPr>
          <w:t>24</w:t>
        </w:r>
        <w:r>
          <w:rPr>
            <w:lang w:val="zh-CN"/>
          </w:rP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613DF4"/>
    <w:multiLevelType w:val="multilevel"/>
    <w:tmpl w:val="1D613DF4"/>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2320D523"/>
    <w:multiLevelType w:val="singleLevel"/>
    <w:tmpl w:val="2320D523"/>
    <w:lvl w:ilvl="0" w:tentative="0">
      <w:start w:val="2"/>
      <w:numFmt w:val="decimal"/>
      <w:suff w:val="nothing"/>
      <w:lvlText w:val="%1、"/>
      <w:lvlJc w:val="left"/>
    </w:lvl>
  </w:abstractNum>
  <w:abstractNum w:abstractNumId="2">
    <w:nsid w:val="4F7B9FD2"/>
    <w:multiLevelType w:val="singleLevel"/>
    <w:tmpl w:val="4F7B9FD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zMzI2NDAwNGEwODdhNGVkOTE2ODUxNmE2MDU3MmM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24F"/>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0BA"/>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533"/>
    <w:rsid w:val="001257A6"/>
    <w:rsid w:val="00126255"/>
    <w:rsid w:val="00126BF8"/>
    <w:rsid w:val="00126CC5"/>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23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3F8"/>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2E4"/>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636"/>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19"/>
    <w:rsid w:val="0054699E"/>
    <w:rsid w:val="00547F88"/>
    <w:rsid w:val="00550EE7"/>
    <w:rsid w:val="0055123E"/>
    <w:rsid w:val="00551CA2"/>
    <w:rsid w:val="00551D58"/>
    <w:rsid w:val="00551E2B"/>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33D"/>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5BE5"/>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2F"/>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07"/>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57FF"/>
    <w:rsid w:val="0086769C"/>
    <w:rsid w:val="008677ED"/>
    <w:rsid w:val="00867B2A"/>
    <w:rsid w:val="00867DB1"/>
    <w:rsid w:val="00870961"/>
    <w:rsid w:val="00870B32"/>
    <w:rsid w:val="008739B0"/>
    <w:rsid w:val="00874011"/>
    <w:rsid w:val="0087508B"/>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25F"/>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645"/>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142"/>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390"/>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62F5"/>
    <w:rsid w:val="00967284"/>
    <w:rsid w:val="0096775C"/>
    <w:rsid w:val="009711B8"/>
    <w:rsid w:val="009719FB"/>
    <w:rsid w:val="00972192"/>
    <w:rsid w:val="00972664"/>
    <w:rsid w:val="00973C73"/>
    <w:rsid w:val="0097538D"/>
    <w:rsid w:val="00975E74"/>
    <w:rsid w:val="00976911"/>
    <w:rsid w:val="00977742"/>
    <w:rsid w:val="009778BA"/>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578"/>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229"/>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36"/>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2FBF"/>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68E"/>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24EB"/>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6FA4"/>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3220"/>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B76DA"/>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122"/>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B7C"/>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088"/>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5"/>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0F64"/>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7C9"/>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8F0"/>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35FE7"/>
    <w:rsid w:val="016F637D"/>
    <w:rsid w:val="0180000E"/>
    <w:rsid w:val="01F076C8"/>
    <w:rsid w:val="022F6E3F"/>
    <w:rsid w:val="02F55CFA"/>
    <w:rsid w:val="043929F2"/>
    <w:rsid w:val="05A25F04"/>
    <w:rsid w:val="06B122BF"/>
    <w:rsid w:val="07534106"/>
    <w:rsid w:val="07554B90"/>
    <w:rsid w:val="076B3B9B"/>
    <w:rsid w:val="07BF1379"/>
    <w:rsid w:val="07DF5B1D"/>
    <w:rsid w:val="08A31CBC"/>
    <w:rsid w:val="09D05DEC"/>
    <w:rsid w:val="09F63639"/>
    <w:rsid w:val="0BEF1E5E"/>
    <w:rsid w:val="0C231896"/>
    <w:rsid w:val="0CCC4F6A"/>
    <w:rsid w:val="10283414"/>
    <w:rsid w:val="104510EC"/>
    <w:rsid w:val="11820132"/>
    <w:rsid w:val="11951C6C"/>
    <w:rsid w:val="11D108B4"/>
    <w:rsid w:val="11DC15A3"/>
    <w:rsid w:val="120E4283"/>
    <w:rsid w:val="12FE547B"/>
    <w:rsid w:val="13105CBE"/>
    <w:rsid w:val="13725B5C"/>
    <w:rsid w:val="13D4113C"/>
    <w:rsid w:val="1437337D"/>
    <w:rsid w:val="14C15224"/>
    <w:rsid w:val="151A2CC3"/>
    <w:rsid w:val="152B31F8"/>
    <w:rsid w:val="15D77075"/>
    <w:rsid w:val="162669D4"/>
    <w:rsid w:val="16B54D41"/>
    <w:rsid w:val="16C62AAA"/>
    <w:rsid w:val="16CE3A0D"/>
    <w:rsid w:val="17744A6A"/>
    <w:rsid w:val="17B369E0"/>
    <w:rsid w:val="180D4573"/>
    <w:rsid w:val="18347947"/>
    <w:rsid w:val="18AB5CBA"/>
    <w:rsid w:val="18DB1319"/>
    <w:rsid w:val="19174EF9"/>
    <w:rsid w:val="1AEA2059"/>
    <w:rsid w:val="1BDA2E8E"/>
    <w:rsid w:val="1CD1367D"/>
    <w:rsid w:val="1D806D30"/>
    <w:rsid w:val="1DC1536C"/>
    <w:rsid w:val="1E58289A"/>
    <w:rsid w:val="1F191D04"/>
    <w:rsid w:val="1F2F265E"/>
    <w:rsid w:val="1FEC11A7"/>
    <w:rsid w:val="20E241CE"/>
    <w:rsid w:val="2189211E"/>
    <w:rsid w:val="21F57C31"/>
    <w:rsid w:val="226D27CD"/>
    <w:rsid w:val="22ED6155"/>
    <w:rsid w:val="235F1A86"/>
    <w:rsid w:val="2384659F"/>
    <w:rsid w:val="24263CBA"/>
    <w:rsid w:val="24CF7447"/>
    <w:rsid w:val="25D043BC"/>
    <w:rsid w:val="260B5C01"/>
    <w:rsid w:val="260F7586"/>
    <w:rsid w:val="261F4388"/>
    <w:rsid w:val="264045E2"/>
    <w:rsid w:val="2689550D"/>
    <w:rsid w:val="26A0199C"/>
    <w:rsid w:val="26AB0EC4"/>
    <w:rsid w:val="27696974"/>
    <w:rsid w:val="27CC56CF"/>
    <w:rsid w:val="28435462"/>
    <w:rsid w:val="287B18F7"/>
    <w:rsid w:val="29302639"/>
    <w:rsid w:val="29541305"/>
    <w:rsid w:val="29B64C00"/>
    <w:rsid w:val="29BF7C63"/>
    <w:rsid w:val="2AD27817"/>
    <w:rsid w:val="2AD55E55"/>
    <w:rsid w:val="2AE67127"/>
    <w:rsid w:val="2B72149A"/>
    <w:rsid w:val="2B752FD7"/>
    <w:rsid w:val="2BC66A7E"/>
    <w:rsid w:val="2D2129B9"/>
    <w:rsid w:val="2D3C2D65"/>
    <w:rsid w:val="2E652751"/>
    <w:rsid w:val="2EBF09CC"/>
    <w:rsid w:val="2EC27BCE"/>
    <w:rsid w:val="2F8702E9"/>
    <w:rsid w:val="2F972F62"/>
    <w:rsid w:val="2FAF3271"/>
    <w:rsid w:val="2FB45DE0"/>
    <w:rsid w:val="2FE52C0C"/>
    <w:rsid w:val="3018437E"/>
    <w:rsid w:val="304D44B0"/>
    <w:rsid w:val="306A241D"/>
    <w:rsid w:val="30FB7161"/>
    <w:rsid w:val="31376F9A"/>
    <w:rsid w:val="329830F5"/>
    <w:rsid w:val="332E3A59"/>
    <w:rsid w:val="34667B96"/>
    <w:rsid w:val="3500432B"/>
    <w:rsid w:val="350D428B"/>
    <w:rsid w:val="36003D4E"/>
    <w:rsid w:val="365A31BB"/>
    <w:rsid w:val="367F3BE8"/>
    <w:rsid w:val="37B74EB3"/>
    <w:rsid w:val="3A20171F"/>
    <w:rsid w:val="3B427B7F"/>
    <w:rsid w:val="3B49488C"/>
    <w:rsid w:val="3B645E68"/>
    <w:rsid w:val="3BC366A5"/>
    <w:rsid w:val="3C6C4FC1"/>
    <w:rsid w:val="3C914ACF"/>
    <w:rsid w:val="3D03152C"/>
    <w:rsid w:val="3D291B2A"/>
    <w:rsid w:val="3DF329A0"/>
    <w:rsid w:val="3DF645B9"/>
    <w:rsid w:val="3E94048C"/>
    <w:rsid w:val="3EC15781"/>
    <w:rsid w:val="3EF609D0"/>
    <w:rsid w:val="3F231C95"/>
    <w:rsid w:val="3F9A7540"/>
    <w:rsid w:val="3FC74C91"/>
    <w:rsid w:val="407F1B73"/>
    <w:rsid w:val="41287911"/>
    <w:rsid w:val="417E1065"/>
    <w:rsid w:val="41D6745D"/>
    <w:rsid w:val="42421F01"/>
    <w:rsid w:val="4264449E"/>
    <w:rsid w:val="42F74956"/>
    <w:rsid w:val="436573A1"/>
    <w:rsid w:val="4475430E"/>
    <w:rsid w:val="45057032"/>
    <w:rsid w:val="45B545EF"/>
    <w:rsid w:val="45E7197B"/>
    <w:rsid w:val="47251314"/>
    <w:rsid w:val="48F153A5"/>
    <w:rsid w:val="4947221A"/>
    <w:rsid w:val="4A47326A"/>
    <w:rsid w:val="4A831809"/>
    <w:rsid w:val="4AB02478"/>
    <w:rsid w:val="4AB8355D"/>
    <w:rsid w:val="4AE93077"/>
    <w:rsid w:val="4AFA5C20"/>
    <w:rsid w:val="4B782949"/>
    <w:rsid w:val="4BA86969"/>
    <w:rsid w:val="4BDD0A4C"/>
    <w:rsid w:val="4C001DFA"/>
    <w:rsid w:val="4D2E0515"/>
    <w:rsid w:val="4DD565A0"/>
    <w:rsid w:val="4E6D0F26"/>
    <w:rsid w:val="4F3A239D"/>
    <w:rsid w:val="501C6CBB"/>
    <w:rsid w:val="51172746"/>
    <w:rsid w:val="517F3852"/>
    <w:rsid w:val="5222222F"/>
    <w:rsid w:val="5249795B"/>
    <w:rsid w:val="52960257"/>
    <w:rsid w:val="52E0574D"/>
    <w:rsid w:val="53211FCF"/>
    <w:rsid w:val="53E14797"/>
    <w:rsid w:val="53EC390E"/>
    <w:rsid w:val="54344051"/>
    <w:rsid w:val="559910C2"/>
    <w:rsid w:val="55BD7D96"/>
    <w:rsid w:val="55CF0BC5"/>
    <w:rsid w:val="55D6268C"/>
    <w:rsid w:val="55F50648"/>
    <w:rsid w:val="56B009DD"/>
    <w:rsid w:val="584C37F0"/>
    <w:rsid w:val="58535A60"/>
    <w:rsid w:val="58680439"/>
    <w:rsid w:val="58741C5A"/>
    <w:rsid w:val="58DC26CE"/>
    <w:rsid w:val="594A6F4C"/>
    <w:rsid w:val="599853C3"/>
    <w:rsid w:val="59ED08E0"/>
    <w:rsid w:val="5A58006A"/>
    <w:rsid w:val="5B067668"/>
    <w:rsid w:val="5B21158A"/>
    <w:rsid w:val="5B296A45"/>
    <w:rsid w:val="5B532983"/>
    <w:rsid w:val="5B897A39"/>
    <w:rsid w:val="5BB0596F"/>
    <w:rsid w:val="5CCC5500"/>
    <w:rsid w:val="5D6F3C5B"/>
    <w:rsid w:val="5EDC6BF2"/>
    <w:rsid w:val="5F18231B"/>
    <w:rsid w:val="60714CAF"/>
    <w:rsid w:val="60723523"/>
    <w:rsid w:val="60C64193"/>
    <w:rsid w:val="611C2F2E"/>
    <w:rsid w:val="6185567A"/>
    <w:rsid w:val="61A85346"/>
    <w:rsid w:val="61C6632C"/>
    <w:rsid w:val="62DC368C"/>
    <w:rsid w:val="6310415D"/>
    <w:rsid w:val="644308FF"/>
    <w:rsid w:val="6495790C"/>
    <w:rsid w:val="658D2E98"/>
    <w:rsid w:val="65D00BEB"/>
    <w:rsid w:val="666E2F65"/>
    <w:rsid w:val="66A963B5"/>
    <w:rsid w:val="66BB2BE0"/>
    <w:rsid w:val="673958B7"/>
    <w:rsid w:val="679E4648"/>
    <w:rsid w:val="67B652C8"/>
    <w:rsid w:val="68AC6647"/>
    <w:rsid w:val="68DA2FED"/>
    <w:rsid w:val="69065FBE"/>
    <w:rsid w:val="6A2A571F"/>
    <w:rsid w:val="6A64728A"/>
    <w:rsid w:val="6AC3277B"/>
    <w:rsid w:val="6ACC3641"/>
    <w:rsid w:val="6BE425C0"/>
    <w:rsid w:val="6BF70848"/>
    <w:rsid w:val="6C5C6DD8"/>
    <w:rsid w:val="6CE566C7"/>
    <w:rsid w:val="6D4D7092"/>
    <w:rsid w:val="6E5E5913"/>
    <w:rsid w:val="6E8A0931"/>
    <w:rsid w:val="6EFF046E"/>
    <w:rsid w:val="6FF13637"/>
    <w:rsid w:val="7075522F"/>
    <w:rsid w:val="70980461"/>
    <w:rsid w:val="70A3788F"/>
    <w:rsid w:val="70AA2CE6"/>
    <w:rsid w:val="71335998"/>
    <w:rsid w:val="71746DAA"/>
    <w:rsid w:val="71876026"/>
    <w:rsid w:val="71C85B07"/>
    <w:rsid w:val="71E07B48"/>
    <w:rsid w:val="7231215E"/>
    <w:rsid w:val="724E7FC4"/>
    <w:rsid w:val="72D4487B"/>
    <w:rsid w:val="73694B50"/>
    <w:rsid w:val="75A84C46"/>
    <w:rsid w:val="76241F35"/>
    <w:rsid w:val="76F24A51"/>
    <w:rsid w:val="77006B5D"/>
    <w:rsid w:val="777B53DA"/>
    <w:rsid w:val="77A50FD3"/>
    <w:rsid w:val="77D4039C"/>
    <w:rsid w:val="77DD3AED"/>
    <w:rsid w:val="77E40508"/>
    <w:rsid w:val="780821CF"/>
    <w:rsid w:val="78263735"/>
    <w:rsid w:val="78397F16"/>
    <w:rsid w:val="78834766"/>
    <w:rsid w:val="794D01A0"/>
    <w:rsid w:val="79BE7B03"/>
    <w:rsid w:val="7A050DD7"/>
    <w:rsid w:val="7A6E1C73"/>
    <w:rsid w:val="7AC775E1"/>
    <w:rsid w:val="7B055CE0"/>
    <w:rsid w:val="7B10569F"/>
    <w:rsid w:val="7B8A37CF"/>
    <w:rsid w:val="7BEB3EB3"/>
    <w:rsid w:val="7C777E67"/>
    <w:rsid w:val="7C8D5540"/>
    <w:rsid w:val="7D7934B9"/>
    <w:rsid w:val="7E5107C6"/>
    <w:rsid w:val="7E88183C"/>
    <w:rsid w:val="7EC568B4"/>
    <w:rsid w:val="7EF13CB2"/>
    <w:rsid w:val="7F471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link w:val="25"/>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paragraph" w:styleId="5">
    <w:name w:val="heading 4"/>
    <w:basedOn w:val="1"/>
    <w:next w:val="1"/>
    <w:link w:val="26"/>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6"/>
    <w:semiHidden/>
    <w:unhideWhenUsed/>
    <w:qFormat/>
    <w:uiPriority w:val="0"/>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semiHidden/>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3">
    <w:name w:val="Table Grid"/>
    <w:basedOn w:val="1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unhideWhenUsed/>
    <w:qFormat/>
    <w:uiPriority w:val="99"/>
    <w:rPr>
      <w:color w:val="0000FF"/>
      <w:u w:val="single"/>
    </w:rPr>
  </w:style>
  <w:style w:type="character" w:customStyle="1" w:styleId="18">
    <w:name w:val="批注框文本 Char"/>
    <w:basedOn w:val="14"/>
    <w:link w:val="7"/>
    <w:semiHidden/>
    <w:qFormat/>
    <w:uiPriority w:val="99"/>
    <w:rPr>
      <w:sz w:val="18"/>
      <w:szCs w:val="18"/>
    </w:rPr>
  </w:style>
  <w:style w:type="character" w:customStyle="1" w:styleId="19">
    <w:name w:val="页眉 Char"/>
    <w:basedOn w:val="14"/>
    <w:link w:val="9"/>
    <w:semiHidden/>
    <w:qFormat/>
    <w:uiPriority w:val="99"/>
    <w:rPr>
      <w:sz w:val="18"/>
      <w:szCs w:val="18"/>
    </w:rPr>
  </w:style>
  <w:style w:type="character" w:customStyle="1" w:styleId="20">
    <w:name w:val="页脚 Char"/>
    <w:basedOn w:val="14"/>
    <w:link w:val="8"/>
    <w:qFormat/>
    <w:uiPriority w:val="99"/>
    <w:rPr>
      <w:sz w:val="18"/>
      <w:szCs w:val="18"/>
    </w:rPr>
  </w:style>
  <w:style w:type="paragraph" w:styleId="21">
    <w:name w:val="No Spacing"/>
    <w:link w:val="22"/>
    <w:qFormat/>
    <w:uiPriority w:val="1"/>
    <w:rPr>
      <w:rFonts w:asciiTheme="minorHAnsi" w:hAnsiTheme="minorHAnsi" w:eastAsiaTheme="minorEastAsia" w:cstheme="minorBidi"/>
      <w:sz w:val="22"/>
      <w:szCs w:val="22"/>
      <w:lang w:val="en-US" w:eastAsia="zh-CN" w:bidi="ar-SA"/>
    </w:rPr>
  </w:style>
  <w:style w:type="character" w:customStyle="1" w:styleId="22">
    <w:name w:val="无间隔 Char"/>
    <w:basedOn w:val="14"/>
    <w:link w:val="21"/>
    <w:qFormat/>
    <w:uiPriority w:val="1"/>
    <w:rPr>
      <w:rFonts w:asciiTheme="minorHAnsi" w:hAnsiTheme="minorHAnsi" w:eastAsiaTheme="minorEastAsia" w:cstheme="minorBidi"/>
      <w:sz w:val="22"/>
      <w:szCs w:val="22"/>
    </w:rPr>
  </w:style>
  <w:style w:type="paragraph" w:styleId="23">
    <w:name w:val="List Paragraph"/>
    <w:basedOn w:val="1"/>
    <w:unhideWhenUsed/>
    <w:qFormat/>
    <w:uiPriority w:val="34"/>
    <w:pPr>
      <w:ind w:firstLine="420" w:firstLineChars="200"/>
    </w:pPr>
  </w:style>
  <w:style w:type="paragraph" w:customStyle="1" w:styleId="24">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5">
    <w:name w:val="标题 2 Char"/>
    <w:basedOn w:val="14"/>
    <w:link w:val="3"/>
    <w:qFormat/>
    <w:uiPriority w:val="9"/>
    <w:rPr>
      <w:rFonts w:ascii="宋体" w:hAnsi="宋体" w:cs="宋体"/>
      <w:sz w:val="36"/>
      <w:szCs w:val="36"/>
    </w:rPr>
  </w:style>
  <w:style w:type="character" w:customStyle="1" w:styleId="26">
    <w:name w:val="标题 4 Char"/>
    <w:basedOn w:val="14"/>
    <w:link w:val="5"/>
    <w:qFormat/>
    <w:uiPriority w:val="9"/>
    <w:rPr>
      <w:rFonts w:ascii="宋体" w:hAnsi="宋体" w:cs="宋体"/>
      <w:sz w:val="24"/>
      <w:szCs w:val="24"/>
    </w:rPr>
  </w:style>
  <w:style w:type="paragraph" w:customStyle="1" w:styleId="27">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8">
    <w:name w:val="articlel"/>
    <w:basedOn w:val="14"/>
    <w:qFormat/>
    <w:uiPriority w:val="0"/>
  </w:style>
  <w:style w:type="character" w:customStyle="1" w:styleId="29">
    <w:name w:val="articler"/>
    <w:basedOn w:val="14"/>
    <w:qFormat/>
    <w:uiPriority w:val="0"/>
  </w:style>
  <w:style w:type="paragraph" w:customStyle="1" w:styleId="30">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1">
    <w:name w:val="rich_media_meta1"/>
    <w:basedOn w:val="14"/>
    <w:qFormat/>
    <w:uiPriority w:val="0"/>
    <w:rPr>
      <w:sz w:val="24"/>
      <w:szCs w:val="24"/>
    </w:rPr>
  </w:style>
  <w:style w:type="character" w:customStyle="1" w:styleId="32">
    <w:name w:val="profile_meta_value1"/>
    <w:basedOn w:val="14"/>
    <w:qFormat/>
    <w:uiPriority w:val="0"/>
    <w:rPr>
      <w:color w:val="ADADAD"/>
    </w:rPr>
  </w:style>
  <w:style w:type="character" w:customStyle="1" w:styleId="33">
    <w:name w:val="apple-converted-space"/>
    <w:basedOn w:val="14"/>
    <w:qFormat/>
    <w:uiPriority w:val="0"/>
  </w:style>
  <w:style w:type="character" w:customStyle="1" w:styleId="34">
    <w:name w:val="rich_media_meta"/>
    <w:basedOn w:val="14"/>
    <w:qFormat/>
    <w:uiPriority w:val="0"/>
  </w:style>
  <w:style w:type="character" w:customStyle="1" w:styleId="35">
    <w:name w:val="blue"/>
    <w:basedOn w:val="14"/>
    <w:qFormat/>
    <w:uiPriority w:val="0"/>
  </w:style>
  <w:style w:type="character" w:customStyle="1" w:styleId="36">
    <w:name w:val="日期 Char"/>
    <w:basedOn w:val="14"/>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NUL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A6F10-C1CA-420D-9F51-A4AD4BF01843}">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40</Pages>
  <Words>13042</Words>
  <Characters>13699</Characters>
  <Lines>109</Lines>
  <Paragraphs>30</Paragraphs>
  <TotalTime>6</TotalTime>
  <ScaleCrop>false</ScaleCrop>
  <LinksUpToDate>false</LinksUpToDate>
  <CharactersWithSpaces>13951</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陈琳琳</cp:lastModifiedBy>
  <cp:lastPrinted>2018-09-29T05:55:00Z</cp:lastPrinted>
  <dcterms:modified xsi:type="dcterms:W3CDTF">2023-09-28T03:02:52Z</dcterms:modified>
  <dc:subject>2015年7月29日</dc:subject>
  <dc:title>2015年第一期</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FCDB5DDC26AA45F7935E2583AC25563D</vt:lpwstr>
  </property>
</Properties>
</file>